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Stock Trend Predictor</w:t>
      </w:r>
    </w:p>
    <w:p>
      <w:pPr>
        <w:jc w:val="center"/>
      </w:pPr>
      <w:r>
        <w:rPr>
          <w:color w:val="555577"/>
          <w:sz w:val="32"/>
        </w:rPr>
        <w:t>Technical Indicators, Backtesting Engine &amp; Signal Analysis</w:t>
      </w:r>
    </w:p>
    <w:p/>
    <w:p>
      <w:pPr>
        <w:jc w:val="center"/>
      </w:pPr>
      <w:r>
        <w:rPr>
          <w:i/>
          <w:sz w:val="24"/>
        </w:rPr>
        <w:t>Crypto &amp; Indian Market Analysis Platform</w:t>
      </w:r>
    </w:p>
    <w:p/>
    <w:p>
      <w:pPr>
        <w:jc w:val="center"/>
      </w:pPr>
      <w:r>
        <w:rPr>
          <w:sz w:val="22"/>
        </w:rPr>
        <w:t>Date: June 23, 2026</w:t>
      </w:r>
    </w:p>
    <w:p>
      <w:pPr>
        <w:jc w:val="center"/>
      </w:pPr>
      <w:r>
        <w:rPr>
          <w:color w:val="888888"/>
          <w:sz w:val="20"/>
        </w:rPr>
        <w:t>Built with Next.js 16 · TypeScript · React 19 · Recharts</w:t>
      </w:r>
    </w:p>
    <w:p>
      <w:r>
        <w:br w:type="page"/>
      </w:r>
    </w:p>
    <w:p>
      <w:pPr>
        <w:pStyle w:val="Heading1"/>
      </w:pPr>
      <w:r>
        <w:rPr>
          <w:color w:val="1A1A2E"/>
        </w:rPr>
        <w:t>Table of Contents</w:t>
      </w:r>
    </w:p>
    <w:p>
      <w:pPr>
        <w:spacing w:after="40"/>
      </w:pPr>
      <w:r>
        <w:rPr>
          <w:sz w:val="22"/>
        </w:rPr>
        <w:t>1. Project Overview</w:t>
      </w:r>
    </w:p>
    <w:p>
      <w:pPr>
        <w:spacing w:after="40"/>
      </w:pPr>
      <w:r>
        <w:rPr>
          <w:sz w:val="22"/>
        </w:rPr>
        <w:t>2. Architecture &amp; Data Flow</w:t>
      </w:r>
    </w:p>
    <w:p>
      <w:pPr>
        <w:spacing w:after="40"/>
      </w:pPr>
      <w:r>
        <w:rPr>
          <w:sz w:val="22"/>
        </w:rPr>
        <w:t>3. Data Sources &amp; API Fallback Mechanism</w:t>
      </w:r>
    </w:p>
    <w:p>
      <w:pPr>
        <w:spacing w:after="40"/>
      </w:pPr>
      <w:r>
        <w:rPr>
          <w:sz w:val="22"/>
        </w:rPr>
        <w:t>4. Technical Indicators (12 Implemented)</w:t>
      </w:r>
    </w:p>
    <w:p>
      <w:pPr>
        <w:spacing w:after="40"/>
      </w:pPr>
      <w:r>
        <w:rPr>
          <w:sz w:val="22"/>
        </w:rPr>
        <w:t xml:space="preserve">    4.1  Exponential Moving Average (EMA)</w:t>
      </w:r>
    </w:p>
    <w:p>
      <w:pPr>
        <w:spacing w:after="40"/>
      </w:pPr>
      <w:r>
        <w:rPr>
          <w:sz w:val="22"/>
        </w:rPr>
        <w:t xml:space="preserve">    4.2  Relative Strength Index (RSI)</w:t>
      </w:r>
    </w:p>
    <w:p>
      <w:pPr>
        <w:spacing w:after="40"/>
      </w:pPr>
      <w:r>
        <w:rPr>
          <w:sz w:val="22"/>
        </w:rPr>
        <w:t xml:space="preserve">    4.3  Moving Average Convergence Divergence (MACD)</w:t>
      </w:r>
    </w:p>
    <w:p>
      <w:pPr>
        <w:spacing w:after="40"/>
      </w:pPr>
      <w:r>
        <w:rPr>
          <w:sz w:val="22"/>
        </w:rPr>
        <w:t xml:space="preserve">    4.4  Bollinger Bands</w:t>
      </w:r>
    </w:p>
    <w:p>
      <w:pPr>
        <w:spacing w:after="40"/>
      </w:pPr>
      <w:r>
        <w:rPr>
          <w:sz w:val="22"/>
        </w:rPr>
        <w:t xml:space="preserve">    4.5  Stochastic Oscillator</w:t>
      </w:r>
    </w:p>
    <w:p>
      <w:pPr>
        <w:spacing w:after="40"/>
      </w:pPr>
      <w:r>
        <w:rPr>
          <w:sz w:val="22"/>
        </w:rPr>
        <w:t xml:space="preserve">    4.6  Average True Range (ATR)</w:t>
      </w:r>
    </w:p>
    <w:p>
      <w:pPr>
        <w:spacing w:after="40"/>
      </w:pPr>
      <w:r>
        <w:rPr>
          <w:sz w:val="22"/>
        </w:rPr>
        <w:t xml:space="preserve">    4.7  On-Balance Volume (OBV)</w:t>
      </w:r>
    </w:p>
    <w:p>
      <w:pPr>
        <w:spacing w:after="40"/>
      </w:pPr>
      <w:r>
        <w:rPr>
          <w:sz w:val="22"/>
        </w:rPr>
        <w:t xml:space="preserve">    4.8  Volume Weighted Average Price (VWAP)</w:t>
      </w:r>
    </w:p>
    <w:p>
      <w:pPr>
        <w:spacing w:after="40"/>
      </w:pPr>
      <w:r>
        <w:rPr>
          <w:sz w:val="22"/>
        </w:rPr>
        <w:t xml:space="preserve">    4.9  Average Directional Index (ADX)</w:t>
      </w:r>
    </w:p>
    <w:p>
      <w:pPr>
        <w:spacing w:after="40"/>
      </w:pPr>
      <w:r>
        <w:rPr>
          <w:sz w:val="22"/>
        </w:rPr>
        <w:t xml:space="preserve">    4.10 SuperTrend</w:t>
      </w:r>
    </w:p>
    <w:p>
      <w:pPr>
        <w:spacing w:after="40"/>
      </w:pPr>
      <w:r>
        <w:rPr>
          <w:sz w:val="22"/>
        </w:rPr>
        <w:t xml:space="preserve">    4.11 Z-Score</w:t>
      </w:r>
    </w:p>
    <w:p>
      <w:pPr>
        <w:spacing w:after="40"/>
      </w:pPr>
      <w:r>
        <w:rPr>
          <w:sz w:val="22"/>
        </w:rPr>
        <w:t xml:space="preserve">    4.12 Money Flow Index (MFI)</w:t>
      </w:r>
    </w:p>
    <w:p>
      <w:pPr>
        <w:spacing w:after="40"/>
      </w:pPr>
      <w:r>
        <w:rPr>
          <w:sz w:val="22"/>
        </w:rPr>
        <w:t>5. Signal Generation Engine</w:t>
      </w:r>
    </w:p>
    <w:p>
      <w:pPr>
        <w:spacing w:after="40"/>
      </w:pPr>
      <w:r>
        <w:rPr>
          <w:sz w:val="22"/>
        </w:rPr>
        <w:t>6. Backtesting Engine</w:t>
      </w:r>
    </w:p>
    <w:p>
      <w:pPr>
        <w:spacing w:after="40"/>
      </w:pPr>
      <w:r>
        <w:rPr>
          <w:sz w:val="22"/>
        </w:rPr>
        <w:t>7. Risk-Adjusted Performance Metrics</w:t>
      </w:r>
    </w:p>
    <w:p>
      <w:pPr>
        <w:spacing w:after="40"/>
      </w:pPr>
      <w:r>
        <w:rPr>
          <w:sz w:val="22"/>
        </w:rPr>
        <w:t>8. Trading Strategies</w:t>
      </w:r>
    </w:p>
    <w:p>
      <w:pPr>
        <w:spacing w:after="40"/>
      </w:pPr>
      <w:r>
        <w:rPr>
          <w:sz w:val="22"/>
        </w:rPr>
        <w:t>9. Technology Stack</w:t>
      </w:r>
    </w:p>
    <w:p>
      <w:pPr>
        <w:spacing w:after="40"/>
      </w:pPr>
      <w:r>
        <w:rPr>
          <w:sz w:val="22"/>
        </w:rPr>
        <w:t>10. Conclusion</w:t>
      </w:r>
    </w:p>
    <w:p>
      <w:r>
        <w:br w:type="page"/>
      </w:r>
    </w:p>
    <w:p>
      <w:pPr>
        <w:pStyle w:val="Heading1"/>
      </w:pPr>
      <w:r>
        <w:rPr>
          <w:color w:val="1A1A2E"/>
        </w:rPr>
        <w:t>1. Project Overview</w:t>
      </w:r>
    </w:p>
    <w:p>
      <w:r>
        <w:rPr>
          <w:rFonts w:ascii="Calibri" w:hAnsi="Calibri"/>
          <w:b w:val="0"/>
          <w:i w:val="0"/>
          <w:sz w:val="22"/>
        </w:rPr>
        <w:t>The Stock Trend Predictor is a full-stack quantitative analysis dashboard that ingests live market data, computes 12 technical indicators from scratch, generates rule-based trading signals from indicator confluence, and evaluates strategies through a comprehensive backtesting engine with institutional-grade risk metrics.</w:t>
      </w:r>
    </w:p>
    <w:p>
      <w:r>
        <w:rPr>
          <w:rFonts w:ascii="Calibri" w:hAnsi="Calibri"/>
          <w:b w:val="0"/>
          <w:i w:val="0"/>
          <w:sz w:val="22"/>
        </w:rPr>
        <w:t>The platform supports two asset classes — cryptocurrency (Bitcoin, Ethereum, Binance Coin) with live data via CoinGecko and Binance WebSocket, and Indian equities (Reliance, TCS, HDFC Bank, Infosys, ICICI Bank) with realistic simulated data generators that model proper market hours, volatility regimes, and volume patterns.</w:t>
      </w:r>
    </w:p>
    <w:p>
      <w:r>
        <w:rPr>
          <w:rFonts w:ascii="Calibri" w:hAnsi="Calibri"/>
          <w:b/>
          <w:i w:val="0"/>
          <w:sz w:val="22"/>
        </w:rPr>
        <w:t>Key Capabilities:</w:t>
      </w:r>
    </w:p>
    <w:p>
      <w:pPr>
        <w:pStyle w:val="ListBullet"/>
        <w:ind w:left="720"/>
      </w:pPr>
      <w:r>
        <w:t>12 technical indicators implemented from mathematical definitions (504 lines)</w:t>
      </w:r>
    </w:p>
    <w:p>
      <w:pPr>
        <w:pStyle w:val="ListBullet"/>
        <w:ind w:left="720"/>
      </w:pPr>
      <w:r>
        <w:t>Multi-timeframe analysis (5m, 15m, 1h, 4h, 1d resolution)</w:t>
      </w:r>
    </w:p>
    <w:p>
      <w:pPr>
        <w:pStyle w:val="ListBullet"/>
        <w:ind w:left="720"/>
      </w:pPr>
      <w:r>
        <w:t>Real-time price streaming via Binance WebSocket for crypto</w:t>
      </w:r>
    </w:p>
    <w:p>
      <w:pPr>
        <w:pStyle w:val="ListBullet"/>
        <w:ind w:left="720"/>
      </w:pPr>
      <w:r>
        <w:t>Rule-based signal aggregation engine with weighted indicator voting</w:t>
      </w:r>
    </w:p>
    <w:p>
      <w:pPr>
        <w:pStyle w:val="ListBullet"/>
        <w:ind w:left="720"/>
      </w:pPr>
      <w:r>
        <w:t>Backtesting engine with 7 trading strategies</w:t>
      </w:r>
    </w:p>
    <w:p>
      <w:pPr>
        <w:pStyle w:val="ListBullet"/>
        <w:ind w:left="720"/>
      </w:pPr>
      <w:r>
        <w:t>Risk metrics: Sharpe Ratio, Sortino Ratio, Max Drawdown, Profit Factor</w:t>
      </w:r>
    </w:p>
    <w:p>
      <w:pPr>
        <w:pStyle w:val="ListBullet"/>
        <w:ind w:left="720"/>
      </w:pPr>
      <w:r>
        <w:t>Interactive candlestick, line, and volume charts with Recharts</w:t>
      </w:r>
    </w:p>
    <w:p>
      <w:pPr>
        <w:pStyle w:val="ListBullet"/>
        <w:ind w:left="720"/>
      </w:pPr>
      <w:r>
        <w:t>Automatic API fallback mechanism for data resilience</w:t>
      </w:r>
    </w:p>
    <w:p>
      <w:r>
        <w:br w:type="page"/>
      </w:r>
    </w:p>
    <w:p>
      <w:pPr>
        <w:pStyle w:val="Heading1"/>
      </w:pPr>
      <w:r>
        <w:rPr>
          <w:color w:val="1A1A2E"/>
        </w:rPr>
        <w:t>2. Architecture &amp; Data Flow</w:t>
      </w:r>
    </w:p>
    <w:p>
      <w:r>
        <w:rPr>
          <w:rFonts w:ascii="Calibri" w:hAnsi="Calibri"/>
          <w:b w:val="0"/>
          <w:i w:val="0"/>
          <w:sz w:val="22"/>
        </w:rPr>
        <w:t>The application follows a client-server architecture within the Next.js framework. API routes handle server-side data fetching, while the client performs indicator computation, signal generation, and visualization.</w:t>
      </w:r>
    </w:p>
    <w:p>
      <w:r>
        <w:rPr>
          <w:rFonts w:ascii="Calibri" w:hAnsi="Calibri"/>
          <w:b/>
          <w:i w:val="0"/>
          <w:sz w:val="22"/>
        </w:rPr>
        <w:t>End-to-End Data Flow:</w:t>
      </w:r>
    </w:p>
    <w:p>
      <w:pPr>
        <w:pStyle w:val="ListBullet"/>
        <w:ind w:left="720"/>
      </w:pPr>
      <w:r>
        <w:t>Step 1: User selects a ticker (e.g., BTC) and timeframe (e.g., 15m) from the dashboard.</w:t>
      </w:r>
    </w:p>
    <w:p>
      <w:pPr>
        <w:pStyle w:val="ListBullet"/>
        <w:ind w:left="720"/>
      </w:pPr>
      <w:r>
        <w:t>Step 2: Client sends a request to /api/stock/intraday/[ticker]?timeframe=15m.</w:t>
      </w:r>
    </w:p>
    <w:p>
      <w:pPr>
        <w:pStyle w:val="ListBullet"/>
        <w:ind w:left="720"/>
      </w:pPr>
      <w:r>
        <w:t>Step 3: The API route fetches OHLCV data from CoinGecko (or falls back to mock generator).</w:t>
      </w:r>
    </w:p>
    <w:p>
      <w:pPr>
        <w:pStyle w:val="ListBullet"/>
        <w:ind w:left="720"/>
      </w:pPr>
      <w:r>
        <w:t>Step 4: Raw OHLCV data is returned to the client as a JSON array.</w:t>
      </w:r>
    </w:p>
    <w:p>
      <w:pPr>
        <w:pStyle w:val="ListBullet"/>
        <w:ind w:left="720"/>
      </w:pPr>
      <w:r>
        <w:t>Step 5: market-data.ts runs all 12 indicator calculations over the price arrays.</w:t>
      </w:r>
    </w:p>
    <w:p>
      <w:pPr>
        <w:pStyle w:val="ListBullet"/>
        <w:ind w:left="720"/>
      </w:pPr>
      <w:r>
        <w:t>Step 6: The enriched ChartDataPoint[] (with all indicator values) feeds into Recharts charts.</w:t>
      </w:r>
    </w:p>
    <w:p>
      <w:pPr>
        <w:pStyle w:val="ListBullet"/>
        <w:ind w:left="720"/>
      </w:pPr>
      <w:r>
        <w:t>Step 7: The signal engine evaluates each indicator and outputs buy/hold/sell with confidence.</w:t>
      </w:r>
    </w:p>
    <w:p>
      <w:pPr>
        <w:pStyle w:val="ListBullet"/>
        <w:ind w:left="720"/>
      </w:pPr>
      <w:r>
        <w:t>Step 8: For crypto, a Binance WebSocket streams real-time ticks updating the last candle.</w:t>
      </w:r>
    </w:p>
    <w:p>
      <w:pPr>
        <w:pStyle w:val="ListBullet"/>
        <w:ind w:left="720"/>
      </w:pPr>
      <w:r>
        <w:t>Step 9: Every 30s (crypto) or 10s (stocks), the full dataset is refreshed from the API.</w:t>
      </w:r>
    </w:p>
    <w:p>
      <w:r>
        <w:br w:type="page"/>
      </w:r>
    </w:p>
    <w:p>
      <w:pPr>
        <w:pStyle w:val="Heading1"/>
      </w:pPr>
      <w:r>
        <w:rPr>
          <w:color w:val="1A1A2E"/>
        </w:rPr>
        <w:t>3. Data Sources &amp; API Fallback Mechanism</w:t>
      </w:r>
    </w:p>
    <w:p>
      <w:r>
        <w:rPr>
          <w:rFonts w:ascii="Calibri" w:hAnsi="Calibri"/>
          <w:b/>
          <w:i w:val="0"/>
          <w:sz w:val="22"/>
        </w:rPr>
        <w:t>Data Sources: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Source</w:t>
            </w:r>
          </w:p>
        </w:tc>
        <w:tc>
          <w:tcPr>
            <w:tcW w:type="dxa" w:w="2340"/>
          </w:tcPr>
          <w:p>
            <w:r>
              <w:rPr>
                <w:b/>
                <w:sz w:val="20"/>
              </w:rPr>
              <w:t>Asset Class</w:t>
            </w:r>
          </w:p>
        </w:tc>
        <w:tc>
          <w:tcPr>
            <w:tcW w:type="dxa" w:w="2340"/>
          </w:tcPr>
          <w:p>
            <w:r>
              <w:rPr>
                <w:b/>
                <w:sz w:val="20"/>
              </w:rPr>
              <w:t>Data Type</w:t>
            </w:r>
          </w:p>
        </w:tc>
        <w:tc>
          <w:tcPr>
            <w:tcW w:type="dxa" w:w="2340"/>
          </w:tcPr>
          <w:p>
            <w:r>
              <w:rPr>
                <w:b/>
                <w:sz w:val="20"/>
              </w:rPr>
              <w:t>Status</w:t>
            </w:r>
          </w:p>
        </w:tc>
      </w:tr>
      <w:tr>
        <w:tc>
          <w:tcPr>
            <w:tcW w:type="dxa" w:w="2340"/>
          </w:tcPr>
          <w:p>
            <w:r>
              <w:rPr>
                <w:sz w:val="20"/>
              </w:rPr>
              <w:t>CoinGecko API</w:t>
            </w:r>
          </w:p>
        </w:tc>
        <w:tc>
          <w:tcPr>
            <w:tcW w:type="dxa" w:w="2340"/>
          </w:tcPr>
          <w:p>
            <w:r>
              <w:rPr>
                <w:sz w:val="20"/>
              </w:rPr>
              <w:t>Cryptocurrency (BTC, ETH, BNB)</w:t>
            </w:r>
          </w:p>
        </w:tc>
        <w:tc>
          <w:tcPr>
            <w:tcW w:type="dxa" w:w="2340"/>
          </w:tcPr>
          <w:p>
            <w:r>
              <w:rPr>
                <w:sz w:val="20"/>
              </w:rPr>
              <w:t>30-day OHLCV, 24h quote</w:t>
            </w:r>
          </w:p>
        </w:tc>
        <w:tc>
          <w:tcPr>
            <w:tcW w:type="dxa" w:w="2340"/>
          </w:tcPr>
          <w:p>
            <w:r>
              <w:rPr>
                <w:sz w:val="20"/>
              </w:rPr>
              <w:t>Live (free, no key)</w:t>
            </w:r>
          </w:p>
        </w:tc>
      </w:tr>
      <w:tr>
        <w:tc>
          <w:tcPr>
            <w:tcW w:type="dxa" w:w="2340"/>
          </w:tcPr>
          <w:p>
            <w:r>
              <w:rPr>
                <w:sz w:val="20"/>
              </w:rPr>
              <w:t>Binance WebSocket</w:t>
            </w:r>
          </w:p>
        </w:tc>
        <w:tc>
          <w:tcPr>
            <w:tcW w:type="dxa" w:w="2340"/>
          </w:tcPr>
          <w:p>
            <w:r>
              <w:rPr>
                <w:sz w:val="20"/>
              </w:rPr>
              <w:t>Cryptocurrency (BTC, ETH, BNB)</w:t>
            </w:r>
          </w:p>
        </w:tc>
        <w:tc>
          <w:tcPr>
            <w:tcW w:type="dxa" w:w="2340"/>
          </w:tcPr>
          <w:p>
            <w:r>
              <w:rPr>
                <w:sz w:val="20"/>
              </w:rPr>
              <w:t>Real-time tick stream</w:t>
            </w:r>
          </w:p>
        </w:tc>
        <w:tc>
          <w:tcPr>
            <w:tcW w:type="dxa" w:w="2340"/>
          </w:tcPr>
          <w:p>
            <w:r>
              <w:rPr>
                <w:sz w:val="20"/>
              </w:rPr>
              <w:t>Live (free, no key)</w:t>
            </w:r>
          </w:p>
        </w:tc>
      </w:tr>
      <w:tr>
        <w:tc>
          <w:tcPr>
            <w:tcW w:type="dxa" w:w="2340"/>
          </w:tcPr>
          <w:p>
            <w:r>
              <w:rPr>
                <w:sz w:val="20"/>
              </w:rPr>
              <w:t>Mock Generator</w:t>
            </w:r>
          </w:p>
        </w:tc>
        <w:tc>
          <w:tcPr>
            <w:tcW w:type="dxa" w:w="2340"/>
          </w:tcPr>
          <w:p>
            <w:r>
              <w:rPr>
                <w:sz w:val="20"/>
              </w:rPr>
              <w:t>Indian Stocks (5 tickers)</w:t>
            </w:r>
          </w:p>
        </w:tc>
        <w:tc>
          <w:tcPr>
            <w:tcW w:type="dxa" w:w="2340"/>
          </w:tcPr>
          <w:p>
            <w:r>
              <w:rPr>
                <w:sz w:val="20"/>
              </w:rPr>
              <w:t>Simulated OHLCV</w:t>
            </w:r>
          </w:p>
        </w:tc>
        <w:tc>
          <w:tcPr>
            <w:tcW w:type="dxa" w:w="2340"/>
          </w:tcPr>
          <w:p>
            <w:r>
              <w:rPr>
                <w:sz w:val="20"/>
              </w:rPr>
              <w:t>Realistic simulation</w:t>
            </w:r>
          </w:p>
        </w:tc>
      </w:tr>
    </w:tbl>
    <w:p/>
    <w:p>
      <w:r>
        <w:rPr>
          <w:rFonts w:ascii="Calibri" w:hAnsi="Calibri"/>
          <w:b/>
          <w:i w:val="0"/>
          <w:sz w:val="22"/>
        </w:rPr>
        <w:t>API Fallback Mechanism:</w:t>
      </w:r>
    </w:p>
    <w:p>
      <w:r>
        <w:rPr>
          <w:rFonts w:ascii="Calibri" w:hAnsi="Calibri"/>
          <w:b w:val="0"/>
          <w:i w:val="0"/>
          <w:sz w:val="22"/>
        </w:rPr>
        <w:t>The system implements a cascading fallback to ensure uninterrupted data availability:</w:t>
      </w:r>
    </w:p>
    <w:p>
      <w:pPr>
        <w:pStyle w:val="ListBullet"/>
        <w:ind w:left="720"/>
      </w:pPr>
      <w:r>
        <w:t>Primary: Fetch from CoinGecko API.</w:t>
      </w:r>
    </w:p>
    <w:p>
      <w:pPr>
        <w:pStyle w:val="ListBullet"/>
        <w:ind w:left="720"/>
      </w:pPr>
      <w:r>
        <w:t>If HTTP 429 (rate limit): Catch and fall back to mock data generator.</w:t>
      </w:r>
    </w:p>
    <w:p>
      <w:pPr>
        <w:pStyle w:val="ListBullet"/>
        <w:ind w:left="720"/>
      </w:pPr>
      <w:r>
        <w:t>If any other error (network, timeout, malformed JSON): Catch and fall back to mock data generator.</w:t>
      </w:r>
    </w:p>
    <w:p>
      <w:pPr>
        <w:pStyle w:val="ListBullet"/>
        <w:ind w:left="720"/>
      </w:pPr>
      <w:r>
        <w:t>Mock generators produce chronologically-ordered OHLCV data with realistic random-walk volatility anchored to known base prices in INR.</w:t>
      </w:r>
    </w:p>
    <w:p>
      <w:r>
        <w:br w:type="page"/>
      </w:r>
    </w:p>
    <w:p>
      <w:pPr>
        <w:pStyle w:val="Heading1"/>
      </w:pPr>
      <w:r>
        <w:rPr>
          <w:color w:val="1A1A2E"/>
        </w:rPr>
        <w:t>4. Technical Indicators</w:t>
      </w:r>
    </w:p>
    <w:p>
      <w:r>
        <w:rPr>
          <w:rFonts w:ascii="Calibri" w:hAnsi="Calibri"/>
          <w:b w:val="0"/>
          <w:i w:val="0"/>
          <w:sz w:val="22"/>
        </w:rPr>
        <w:t>All 12 indicators are implemented from scratch in TypeScript (lib/indicators.ts, 504 lines). No external technical analysis library is used. Each indicator is computed from its mathematical definition.</w:t>
      </w:r>
    </w:p>
    <w:p>
      <w:pPr>
        <w:pStyle w:val="Heading2"/>
      </w:pPr>
      <w:r>
        <w:rPr>
          <w:color w:val="1A1A2E"/>
        </w:rPr>
        <w:t>4.1 Exponential Moving Average (EMA)</w:t>
      </w:r>
    </w:p>
    <w:p>
      <w:r>
        <w:rPr>
          <w:rFonts w:ascii="Calibri" w:hAnsi="Calibri"/>
          <w:b w:val="0"/>
          <w:i w:val="0"/>
          <w:sz w:val="22"/>
        </w:rPr>
        <w:t>The EMA weights recent prices more heavily than older ones using an exponential decay, making it more responsive to recent price changes than a Simple Moving Average (SMA).</w:t>
      </w:r>
    </w:p>
    <w:p>
      <w:r>
        <w:rPr>
          <w:rFonts w:ascii="Calibri" w:hAnsi="Calibri"/>
          <w:b/>
          <w:i w:val="0"/>
          <w:sz w:val="22"/>
        </w:rPr>
        <w:t>Formula:</w:t>
      </w:r>
    </w:p>
    <w:p>
      <w:pPr>
        <w:ind w:left="720"/>
      </w:pPr>
      <w:r>
        <w:rPr>
          <w:b/>
          <w:sz w:val="20"/>
        </w:rPr>
        <w:t xml:space="preserve">Multiplier (k): </w:t>
      </w:r>
      <w:r>
        <w:rPr>
          <w:rFonts w:ascii="Consolas" w:hAnsi="Consolas"/>
          <w:i/>
          <w:sz w:val="20"/>
        </w:rPr>
        <w:t>k = 2 / (N + 1)</w:t>
      </w:r>
    </w:p>
    <w:p>
      <w:pPr>
        <w:ind w:left="720"/>
      </w:pPr>
      <w:r>
        <w:rPr>
          <w:b/>
          <w:sz w:val="20"/>
        </w:rPr>
        <w:t xml:space="preserve">EMA: </w:t>
      </w:r>
      <w:r>
        <w:rPr>
          <w:rFonts w:ascii="Consolas" w:hAnsi="Consolas"/>
          <w:i/>
          <w:sz w:val="20"/>
        </w:rPr>
        <w:t>EMA_today = Price_today × k + EMA_yesterday × (1 − k)</w:t>
      </w:r>
    </w:p>
    <w:p>
      <w:r>
        <w:rPr>
          <w:rFonts w:ascii="Calibri" w:hAnsi="Calibri"/>
          <w:b/>
          <w:i w:val="0"/>
          <w:sz w:val="22"/>
        </w:rPr>
        <w:t>Implementation Notes:</w:t>
      </w:r>
    </w:p>
    <w:p>
      <w:pPr>
        <w:pStyle w:val="ListBullet"/>
        <w:ind w:left="720"/>
      </w:pPr>
      <w:r>
        <w:t>Seeded with an SMA for the first N periods to initialize the recursion.</w:t>
      </w:r>
    </w:p>
    <w:p>
      <w:pPr>
        <w:pStyle w:val="ListBullet"/>
        <w:ind w:left="720"/>
      </w:pPr>
      <w:r>
        <w:t>Three periods used in the app: EMA(8), EMA(20), EMA(50).</w:t>
      </w:r>
    </w:p>
    <w:p>
      <w:r>
        <w:rPr>
          <w:rFonts w:ascii="Calibri" w:hAnsi="Calibri"/>
          <w:b/>
          <w:i w:val="0"/>
          <w:sz w:val="22"/>
        </w:rPr>
        <w:t>Trading Signal:</w:t>
      </w:r>
    </w:p>
    <w:p>
      <w:pPr>
        <w:pStyle w:val="ListBullet"/>
        <w:ind w:left="720"/>
      </w:pPr>
      <w:r>
        <w:t>EMA(8) crossing above EMA(20) → Bullish (buy signal, strength 0.5)</w:t>
      </w:r>
    </w:p>
    <w:p>
      <w:pPr>
        <w:pStyle w:val="ListBullet"/>
        <w:ind w:left="720"/>
      </w:pPr>
      <w:r>
        <w:t>EMA(8) crossing below EMA(20) → Bearish (sell signal, strength 0.5)</w:t>
      </w:r>
    </w:p>
    <w:p>
      <w:pPr>
        <w:pStyle w:val="Heading2"/>
      </w:pPr>
      <w:r>
        <w:rPr>
          <w:color w:val="1A1A2E"/>
        </w:rPr>
        <w:t>4.2 Relative Strength Index (RSI)</w:t>
      </w:r>
    </w:p>
    <w:p>
      <w:r>
        <w:rPr>
          <w:rFonts w:ascii="Calibri" w:hAnsi="Calibri"/>
          <w:b w:val="0"/>
          <w:i w:val="0"/>
          <w:sz w:val="22"/>
        </w:rPr>
        <w:t>RSI is a momentum oscillator (0–100) measuring the speed and magnitude of recent price movements to evaluate overbought or oversold conditions.</w:t>
      </w:r>
    </w:p>
    <w:p>
      <w:r>
        <w:rPr>
          <w:rFonts w:ascii="Calibri" w:hAnsi="Calibri"/>
          <w:b/>
          <w:i w:val="0"/>
          <w:sz w:val="22"/>
        </w:rPr>
        <w:t>Formula:</w:t>
      </w:r>
    </w:p>
    <w:p>
      <w:pPr>
        <w:ind w:left="720"/>
      </w:pPr>
      <w:r>
        <w:rPr>
          <w:b/>
          <w:sz w:val="20"/>
        </w:rPr>
        <w:t xml:space="preserve">RS: </w:t>
      </w:r>
      <w:r>
        <w:rPr>
          <w:rFonts w:ascii="Consolas" w:hAnsi="Consolas"/>
          <w:i/>
          <w:sz w:val="20"/>
        </w:rPr>
        <w:t>RS = Average Gain / Average Loss  (over N periods, default N=14)</w:t>
      </w:r>
    </w:p>
    <w:p>
      <w:pPr>
        <w:ind w:left="720"/>
      </w:pPr>
      <w:r>
        <w:rPr>
          <w:b/>
          <w:sz w:val="20"/>
        </w:rPr>
        <w:t xml:space="preserve">RSI: </w:t>
      </w:r>
      <w:r>
        <w:rPr>
          <w:rFonts w:ascii="Consolas" w:hAnsi="Consolas"/>
          <w:i/>
          <w:sz w:val="20"/>
        </w:rPr>
        <w:t>RSI = 100 − [100 / (1 + RS)]</w:t>
      </w:r>
    </w:p>
    <w:p>
      <w:r>
        <w:rPr>
          <w:rFonts w:ascii="Calibri" w:hAnsi="Calibri"/>
          <w:b/>
          <w:i w:val="0"/>
          <w:sz w:val="22"/>
        </w:rPr>
        <w:t>Interpretation:</w:t>
      </w:r>
    </w:p>
    <w:p>
      <w:pPr>
        <w:pStyle w:val="ListBullet"/>
        <w:ind w:left="720"/>
      </w:pPr>
      <w:r>
        <w:t>RSI &gt; 70 → Overbought (potential reversal downward, sell signal, strength 0.7)</w:t>
      </w:r>
    </w:p>
    <w:p>
      <w:pPr>
        <w:pStyle w:val="ListBullet"/>
        <w:ind w:left="720"/>
      </w:pPr>
      <w:r>
        <w:t>RSI &lt; 30 → Oversold (potential reversal upward, buy signal, strength 0.7)</w:t>
      </w:r>
    </w:p>
    <w:p>
      <w:pPr>
        <w:pStyle w:val="ListBullet"/>
        <w:ind w:left="720"/>
      </w:pPr>
      <w:r>
        <w:t>RSI between 30–70 → Neutral zone, no signal generated.</w:t>
      </w:r>
    </w:p>
    <w:p>
      <w:pPr>
        <w:pStyle w:val="Heading2"/>
      </w:pPr>
      <w:r>
        <w:rPr>
          <w:color w:val="1A1A2E"/>
        </w:rPr>
        <w:t>4.3 Moving Average Convergence Divergence (MACD)</w:t>
      </w:r>
    </w:p>
    <w:p>
      <w:r>
        <w:rPr>
          <w:rFonts w:ascii="Calibri" w:hAnsi="Calibri"/>
          <w:b w:val="0"/>
          <w:i w:val="0"/>
          <w:sz w:val="22"/>
        </w:rPr>
        <w:t>MACD is a trend-following momentum indicator derived from the relationship between two EMAs. It reveals changes in the strength, direction, momentum, and duration of a trend.</w:t>
      </w:r>
    </w:p>
    <w:p>
      <w:r>
        <w:rPr>
          <w:rFonts w:ascii="Calibri" w:hAnsi="Calibri"/>
          <w:b/>
          <w:i w:val="0"/>
          <w:sz w:val="22"/>
        </w:rPr>
        <w:t>Components:</w:t>
      </w:r>
    </w:p>
    <w:p>
      <w:pPr>
        <w:ind w:left="720"/>
      </w:pPr>
      <w:r>
        <w:rPr>
          <w:b/>
          <w:sz w:val="20"/>
        </w:rPr>
        <w:t xml:space="preserve">MACD Line: </w:t>
      </w:r>
      <w:r>
        <w:rPr>
          <w:rFonts w:ascii="Consolas" w:hAnsi="Consolas"/>
          <w:i/>
          <w:sz w:val="20"/>
        </w:rPr>
        <w:t>EMA(12) − EMA(26)</w:t>
      </w:r>
    </w:p>
    <w:p>
      <w:pPr>
        <w:ind w:left="720"/>
      </w:pPr>
      <w:r>
        <w:rPr>
          <w:b/>
          <w:sz w:val="20"/>
        </w:rPr>
        <w:t xml:space="preserve">Signal Line: </w:t>
      </w:r>
      <w:r>
        <w:rPr>
          <w:rFonts w:ascii="Consolas" w:hAnsi="Consolas"/>
          <w:i/>
          <w:sz w:val="20"/>
        </w:rPr>
        <w:t>EMA(9) of the MACD Line</w:t>
      </w:r>
    </w:p>
    <w:p>
      <w:pPr>
        <w:ind w:left="720"/>
      </w:pPr>
      <w:r>
        <w:rPr>
          <w:b/>
          <w:sz w:val="20"/>
        </w:rPr>
        <w:t xml:space="preserve">Histogram: </w:t>
      </w:r>
      <w:r>
        <w:rPr>
          <w:rFonts w:ascii="Consolas" w:hAnsi="Consolas"/>
          <w:i/>
          <w:sz w:val="20"/>
        </w:rPr>
        <w:t>MACD Line − Signal Line</w:t>
      </w:r>
    </w:p>
    <w:p>
      <w:r>
        <w:rPr>
          <w:rFonts w:ascii="Calibri" w:hAnsi="Calibri"/>
          <w:b/>
          <w:i w:val="0"/>
          <w:sz w:val="22"/>
        </w:rPr>
        <w:t>Trading Signal:</w:t>
      </w:r>
    </w:p>
    <w:p>
      <w:pPr>
        <w:pStyle w:val="ListBullet"/>
        <w:ind w:left="720"/>
      </w:pPr>
      <w:r>
        <w:t>MACD crosses above Signal Line → Bullish crossover (buy signal, strength 0.6)</w:t>
      </w:r>
    </w:p>
    <w:p>
      <w:pPr>
        <w:pStyle w:val="ListBullet"/>
        <w:ind w:left="720"/>
      </w:pPr>
      <w:r>
        <w:t>MACD crosses below Signal Line → Bearish crossover (sell signal, strength 0.6)</w:t>
      </w:r>
    </w:p>
    <w:p>
      <w:pPr>
        <w:pStyle w:val="Heading2"/>
      </w:pPr>
      <w:r>
        <w:rPr>
          <w:color w:val="1A1A2E"/>
        </w:rPr>
        <w:t>4.4 Bollinger Bands</w:t>
      </w:r>
    </w:p>
    <w:p>
      <w:r>
        <w:rPr>
          <w:rFonts w:ascii="Calibri" w:hAnsi="Calibri"/>
          <w:b w:val="0"/>
          <w:i w:val="0"/>
          <w:sz w:val="22"/>
        </w:rPr>
        <w:t>Bollinger Bands measure volatility by placing bands above and below a moving average. The band width expands during high volatility and contracts during low volatility.</w:t>
      </w:r>
    </w:p>
    <w:p>
      <w:r>
        <w:rPr>
          <w:rFonts w:ascii="Calibri" w:hAnsi="Calibri"/>
          <w:b/>
          <w:i w:val="0"/>
          <w:sz w:val="22"/>
        </w:rPr>
        <w:t>Formula:</w:t>
      </w:r>
    </w:p>
    <w:p>
      <w:pPr>
        <w:ind w:left="720"/>
      </w:pPr>
      <w:r>
        <w:rPr>
          <w:b/>
          <w:sz w:val="20"/>
        </w:rPr>
        <w:t xml:space="preserve">Middle Band: </w:t>
      </w:r>
      <w:r>
        <w:rPr>
          <w:rFonts w:ascii="Consolas" w:hAnsi="Consolas"/>
          <w:i/>
          <w:sz w:val="20"/>
        </w:rPr>
        <w:t>SMA(20)</w:t>
      </w:r>
    </w:p>
    <w:p>
      <w:pPr>
        <w:ind w:left="720"/>
      </w:pPr>
      <w:r>
        <w:rPr>
          <w:b/>
          <w:sz w:val="20"/>
        </w:rPr>
        <w:t xml:space="preserve">Upper Band: </w:t>
      </w:r>
      <w:r>
        <w:rPr>
          <w:rFonts w:ascii="Consolas" w:hAnsi="Consolas"/>
          <w:i/>
          <w:sz w:val="20"/>
        </w:rPr>
        <w:t>SMA(20) + 2 × σ  (σ = standard deviation of 20 periods)</w:t>
      </w:r>
    </w:p>
    <w:p>
      <w:pPr>
        <w:ind w:left="720"/>
      </w:pPr>
      <w:r>
        <w:rPr>
          <w:b/>
          <w:sz w:val="20"/>
        </w:rPr>
        <w:t xml:space="preserve">Lower Band: </w:t>
      </w:r>
      <w:r>
        <w:rPr>
          <w:rFonts w:ascii="Consolas" w:hAnsi="Consolas"/>
          <w:i/>
          <w:sz w:val="20"/>
        </w:rPr>
        <w:t>SMA(20) − 2 × σ</w:t>
      </w:r>
    </w:p>
    <w:p>
      <w:r>
        <w:rPr>
          <w:rFonts w:ascii="Calibri" w:hAnsi="Calibri"/>
          <w:b/>
          <w:i w:val="0"/>
          <w:sz w:val="22"/>
        </w:rPr>
        <w:t>Trading Signal:</w:t>
      </w:r>
    </w:p>
    <w:p>
      <w:pPr>
        <w:pStyle w:val="ListBullet"/>
        <w:ind w:left="720"/>
      </w:pPr>
      <w:r>
        <w:t>Price &lt; Lower Band → Oversold (buy signal, strength 0.6)</w:t>
      </w:r>
    </w:p>
    <w:p>
      <w:pPr>
        <w:pStyle w:val="ListBullet"/>
        <w:ind w:left="720"/>
      </w:pPr>
      <w:r>
        <w:t>Price &gt; Upper Band → Overbought (sell signal, strength 0.6)</w:t>
      </w:r>
    </w:p>
    <w:p>
      <w:pPr>
        <w:pStyle w:val="Heading2"/>
      </w:pPr>
      <w:r>
        <w:rPr>
          <w:color w:val="1A1A2E"/>
        </w:rPr>
        <w:t>4.5 Stochastic Oscillator</w:t>
      </w:r>
    </w:p>
    <w:p>
      <w:r>
        <w:rPr>
          <w:rFonts w:ascii="Calibri" w:hAnsi="Calibri"/>
          <w:b w:val="0"/>
          <w:i w:val="0"/>
          <w:sz w:val="22"/>
        </w:rPr>
        <w:t>The Stochastic Oscillator compares a closing price to its price range over a given period. It generates overbought and oversold signals similar to RSI but based on price position within the range.</w:t>
      </w:r>
    </w:p>
    <w:p>
      <w:r>
        <w:rPr>
          <w:rFonts w:ascii="Calibri" w:hAnsi="Calibri"/>
          <w:b/>
          <w:i w:val="0"/>
          <w:sz w:val="22"/>
        </w:rPr>
        <w:t>Formula:</w:t>
      </w:r>
    </w:p>
    <w:p>
      <w:pPr>
        <w:ind w:left="720"/>
      </w:pPr>
      <w:r>
        <w:rPr>
          <w:b/>
          <w:sz w:val="20"/>
        </w:rPr>
        <w:t xml:space="preserve">%K: </w:t>
      </w:r>
      <w:r>
        <w:rPr>
          <w:rFonts w:ascii="Consolas" w:hAnsi="Consolas"/>
          <w:i/>
          <w:sz w:val="20"/>
        </w:rPr>
        <w:t>%K = [(Close − Lowest Low) / (Highest High − Lowest Low)] × 100  (period=14)</w:t>
      </w:r>
    </w:p>
    <w:p>
      <w:pPr>
        <w:ind w:left="720"/>
      </w:pPr>
      <w:r>
        <w:rPr>
          <w:b/>
          <w:sz w:val="20"/>
        </w:rPr>
        <w:t xml:space="preserve">%D: </w:t>
      </w:r>
      <w:r>
        <w:rPr>
          <w:rFonts w:ascii="Consolas" w:hAnsi="Consolas"/>
          <w:i/>
          <w:sz w:val="20"/>
        </w:rPr>
        <w:t>%D = SMA(3) of %K</w:t>
      </w:r>
    </w:p>
    <w:p>
      <w:r>
        <w:rPr>
          <w:rFonts w:ascii="Calibri" w:hAnsi="Calibri"/>
          <w:b/>
          <w:i w:val="0"/>
          <w:sz w:val="22"/>
        </w:rPr>
        <w:t>Trading Signal:</w:t>
      </w:r>
    </w:p>
    <w:p>
      <w:pPr>
        <w:pStyle w:val="ListBullet"/>
        <w:ind w:left="720"/>
      </w:pPr>
      <w:r>
        <w:t>%K &lt; 20 → Oversold (buy signal, strength 0.5)</w:t>
      </w:r>
    </w:p>
    <w:p>
      <w:pPr>
        <w:pStyle w:val="ListBullet"/>
        <w:ind w:left="720"/>
      </w:pPr>
      <w:r>
        <w:t>%K &gt; 80 → Overbought (sell signal, strength 0.5)</w:t>
      </w:r>
    </w:p>
    <w:p>
      <w:pPr>
        <w:pStyle w:val="Heading2"/>
      </w:pPr>
      <w:r>
        <w:rPr>
          <w:color w:val="1A1A2E"/>
        </w:rPr>
        <w:t>4.6 Average True Range (ATR)</w:t>
      </w:r>
    </w:p>
    <w:p>
      <w:r>
        <w:rPr>
          <w:rFonts w:ascii="Calibri" w:hAnsi="Calibri"/>
          <w:b w:val="0"/>
          <w:i w:val="0"/>
          <w:sz w:val="22"/>
        </w:rPr>
        <w:t>ATR measures market volatility by decomposing the entire range of a price for a given period. It is used for position sizing and stop-loss placement, not for directional signals.</w:t>
      </w:r>
    </w:p>
    <w:p>
      <w:r>
        <w:rPr>
          <w:rFonts w:ascii="Calibri" w:hAnsi="Calibri"/>
          <w:b/>
          <w:i w:val="0"/>
          <w:sz w:val="22"/>
        </w:rPr>
        <w:t>Formula:</w:t>
      </w:r>
    </w:p>
    <w:p>
      <w:pPr>
        <w:ind w:left="720"/>
      </w:pPr>
      <w:r>
        <w:rPr>
          <w:b/>
          <w:sz w:val="20"/>
        </w:rPr>
        <w:t xml:space="preserve">True Range: </w:t>
      </w:r>
      <w:r>
        <w:rPr>
          <w:rFonts w:ascii="Consolas" w:hAnsi="Consolas"/>
          <w:i/>
          <w:sz w:val="20"/>
        </w:rPr>
        <w:t>TR = max(High−Low, |High−PrevClose|, |Low−PrevClose|)</w:t>
      </w:r>
    </w:p>
    <w:p>
      <w:pPr>
        <w:ind w:left="720"/>
      </w:pPr>
      <w:r>
        <w:rPr>
          <w:b/>
          <w:sz w:val="20"/>
        </w:rPr>
        <w:t xml:space="preserve">ATR: </w:t>
      </w:r>
      <w:r>
        <w:rPr>
          <w:rFonts w:ascii="Consolas" w:hAnsi="Consolas"/>
          <w:i/>
          <w:sz w:val="20"/>
        </w:rPr>
        <w:t>ATR = Wilder's Smoothing of TR over 14 periods</w:t>
      </w:r>
    </w:p>
    <w:p>
      <w:r>
        <w:rPr>
          <w:rFonts w:ascii="Calibri" w:hAnsi="Calibri"/>
          <w:b/>
          <w:i w:val="0"/>
          <w:sz w:val="22"/>
        </w:rPr>
        <w:t>Usage:</w:t>
      </w:r>
    </w:p>
    <w:p>
      <w:pPr>
        <w:pStyle w:val="ListBullet"/>
        <w:ind w:left="720"/>
      </w:pPr>
      <w:r>
        <w:t>Used internally by the SuperTrend indicator for dynamic band calculation.</w:t>
      </w:r>
    </w:p>
    <w:p>
      <w:pPr>
        <w:pStyle w:val="ListBullet"/>
        <w:ind w:left="720"/>
      </w:pPr>
      <w:r>
        <w:t>Used in the backtesting engine for volatility-aware position sizing.</w:t>
      </w:r>
    </w:p>
    <w:p>
      <w:pPr>
        <w:pStyle w:val="Heading2"/>
      </w:pPr>
      <w:r>
        <w:rPr>
          <w:color w:val="1A1A2E"/>
        </w:rPr>
        <w:t>4.7 On-Balance Volume (OBV)</w:t>
      </w:r>
    </w:p>
    <w:p>
      <w:r>
        <w:rPr>
          <w:rFonts w:ascii="Calibri" w:hAnsi="Calibri"/>
          <w:b w:val="0"/>
          <w:i w:val="0"/>
          <w:sz w:val="22"/>
        </w:rPr>
        <w:t>OBV relates volume to price change, measuring buying and selling pressure as a cumulative indicator.</w:t>
      </w:r>
    </w:p>
    <w:p>
      <w:r>
        <w:rPr>
          <w:rFonts w:ascii="Calibri" w:hAnsi="Calibri"/>
          <w:b/>
          <w:i w:val="0"/>
          <w:sz w:val="22"/>
        </w:rPr>
        <w:t>Formula:</w:t>
      </w:r>
    </w:p>
    <w:p>
      <w:pPr>
        <w:ind w:left="720"/>
      </w:pPr>
      <w:r>
        <w:rPr>
          <w:b/>
          <w:sz w:val="20"/>
        </w:rPr>
        <w:t xml:space="preserve">If Close &gt; PrevClose: </w:t>
      </w:r>
      <w:r>
        <w:rPr>
          <w:rFonts w:ascii="Consolas" w:hAnsi="Consolas"/>
          <w:i/>
          <w:sz w:val="20"/>
        </w:rPr>
        <w:t>OBV = PrevOBV + Volume</w:t>
      </w:r>
    </w:p>
    <w:p>
      <w:pPr>
        <w:ind w:left="720"/>
      </w:pPr>
      <w:r>
        <w:rPr>
          <w:b/>
          <w:sz w:val="20"/>
        </w:rPr>
        <w:t xml:space="preserve">If Close &lt; PrevClose: </w:t>
      </w:r>
      <w:r>
        <w:rPr>
          <w:rFonts w:ascii="Consolas" w:hAnsi="Consolas"/>
          <w:i/>
          <w:sz w:val="20"/>
        </w:rPr>
        <w:t>OBV = PrevOBV − Volume</w:t>
      </w:r>
    </w:p>
    <w:p>
      <w:pPr>
        <w:ind w:left="720"/>
      </w:pPr>
      <w:r>
        <w:rPr>
          <w:b/>
          <w:sz w:val="20"/>
        </w:rPr>
        <w:t xml:space="preserve">If Close = PrevClose: </w:t>
      </w:r>
      <w:r>
        <w:rPr>
          <w:rFonts w:ascii="Consolas" w:hAnsi="Consolas"/>
          <w:i/>
          <w:sz w:val="20"/>
        </w:rPr>
        <w:t>OBV = PrevOBV</w:t>
      </w:r>
    </w:p>
    <w:p>
      <w:r>
        <w:rPr>
          <w:rFonts w:ascii="Calibri" w:hAnsi="Calibri"/>
          <w:b/>
          <w:i w:val="0"/>
          <w:sz w:val="22"/>
        </w:rPr>
        <w:t>Usage:</w:t>
      </w:r>
    </w:p>
    <w:p>
      <w:pPr>
        <w:pStyle w:val="ListBullet"/>
        <w:ind w:left="720"/>
      </w:pPr>
      <w:r>
        <w:t>Rising OBV confirms an uptrend; falling OBV confirms a downtrend.</w:t>
      </w:r>
    </w:p>
    <w:p>
      <w:pPr>
        <w:pStyle w:val="ListBullet"/>
        <w:ind w:left="720"/>
      </w:pPr>
      <w:r>
        <w:t>OBV divergence from price can signal potential reversals.</w:t>
      </w:r>
    </w:p>
    <w:p>
      <w:pPr>
        <w:pStyle w:val="Heading2"/>
      </w:pPr>
      <w:r>
        <w:rPr>
          <w:color w:val="1A1A2E"/>
        </w:rPr>
        <w:t>4.8 Volume Weighted Average Price (VWAP)</w:t>
      </w:r>
    </w:p>
    <w:p>
      <w:r>
        <w:rPr>
          <w:rFonts w:ascii="Calibri" w:hAnsi="Calibri"/>
          <w:b w:val="0"/>
          <w:i w:val="0"/>
          <w:sz w:val="22"/>
        </w:rPr>
        <w:t>VWAP gives the average price a security has traded at throughout the day, based on both volume and price. It is used by institutional traders as a benchmark.</w:t>
      </w:r>
    </w:p>
    <w:p>
      <w:r>
        <w:rPr>
          <w:rFonts w:ascii="Calibri" w:hAnsi="Calibri"/>
          <w:b/>
          <w:i w:val="0"/>
          <w:sz w:val="22"/>
        </w:rPr>
        <w:t>Formula:</w:t>
      </w:r>
    </w:p>
    <w:p>
      <w:pPr>
        <w:ind w:left="720"/>
      </w:pPr>
      <w:r>
        <w:rPr>
          <w:b/>
          <w:sz w:val="20"/>
        </w:rPr>
        <w:t xml:space="preserve">Typical Price: </w:t>
      </w:r>
      <w:r>
        <w:rPr>
          <w:rFonts w:ascii="Consolas" w:hAnsi="Consolas"/>
          <w:i/>
          <w:sz w:val="20"/>
        </w:rPr>
        <w:t>TP = (High + Low + Close) / 3</w:t>
      </w:r>
    </w:p>
    <w:p>
      <w:pPr>
        <w:ind w:left="720"/>
      </w:pPr>
      <w:r>
        <w:rPr>
          <w:b/>
          <w:sz w:val="20"/>
        </w:rPr>
        <w:t xml:space="preserve">VWAP: </w:t>
      </w:r>
      <w:r>
        <w:rPr>
          <w:rFonts w:ascii="Consolas" w:hAnsi="Consolas"/>
          <w:i/>
          <w:sz w:val="20"/>
        </w:rPr>
        <w:t>VWAP = Σ(TP × Volume) / Σ(Volume)</w:t>
      </w:r>
    </w:p>
    <w:p>
      <w:r>
        <w:rPr>
          <w:rFonts w:ascii="Calibri" w:hAnsi="Calibri"/>
          <w:b/>
          <w:i w:val="0"/>
          <w:sz w:val="22"/>
        </w:rPr>
        <w:t>Usage:</w:t>
      </w:r>
    </w:p>
    <w:p>
      <w:pPr>
        <w:pStyle w:val="ListBullet"/>
        <w:ind w:left="720"/>
      </w:pPr>
      <w:r>
        <w:t>Price above VWAP → Bullish bias (buyers are in control).</w:t>
      </w:r>
    </w:p>
    <w:p>
      <w:pPr>
        <w:pStyle w:val="ListBullet"/>
        <w:ind w:left="720"/>
      </w:pPr>
      <w:r>
        <w:t>Price below VWAP → Bearish bias (sellers are in control).</w:t>
      </w:r>
    </w:p>
    <w:p>
      <w:pPr>
        <w:pStyle w:val="Heading2"/>
      </w:pPr>
      <w:r>
        <w:rPr>
          <w:color w:val="1A1A2E"/>
        </w:rPr>
        <w:t>4.9 Average Directional Index (ADX)</w:t>
      </w:r>
    </w:p>
    <w:p>
      <w:r>
        <w:rPr>
          <w:rFonts w:ascii="Calibri" w:hAnsi="Calibri"/>
          <w:b w:val="0"/>
          <w:i w:val="0"/>
          <w:sz w:val="22"/>
        </w:rPr>
        <w:t>ADX measures trend strength on a 0–100 scale regardless of direction. It is derived from the smoothed +DI and −DI (Directional Indicators).</w:t>
      </w:r>
    </w:p>
    <w:p>
      <w:r>
        <w:rPr>
          <w:rFonts w:ascii="Calibri" w:hAnsi="Calibri"/>
          <w:b/>
          <w:i w:val="0"/>
          <w:sz w:val="22"/>
        </w:rPr>
        <w:t>Formula:</w:t>
      </w:r>
    </w:p>
    <w:p>
      <w:pPr>
        <w:ind w:left="720"/>
      </w:pPr>
      <w:r>
        <w:rPr>
          <w:b/>
          <w:sz w:val="20"/>
        </w:rPr>
        <w:t xml:space="preserve">+DM: </w:t>
      </w:r>
      <w:r>
        <w:rPr>
          <w:rFonts w:ascii="Consolas" w:hAnsi="Consolas"/>
          <w:i/>
          <w:sz w:val="20"/>
        </w:rPr>
        <w:t>If (High − PrevHigh) &gt; (PrevLow − Low) and &gt; 0 → +DM = High − PrevHigh</w:t>
      </w:r>
    </w:p>
    <w:p>
      <w:pPr>
        <w:ind w:left="720"/>
      </w:pPr>
      <w:r>
        <w:rPr>
          <w:b/>
          <w:sz w:val="20"/>
        </w:rPr>
        <w:t xml:space="preserve">−DM: </w:t>
      </w:r>
      <w:r>
        <w:rPr>
          <w:rFonts w:ascii="Consolas" w:hAnsi="Consolas"/>
          <w:i/>
          <w:sz w:val="20"/>
        </w:rPr>
        <w:t>If (PrevLow − Low) &gt; (High − PrevHigh) and &gt; 0 → −DM = PrevLow − Low</w:t>
      </w:r>
    </w:p>
    <w:p>
      <w:pPr>
        <w:ind w:left="720"/>
      </w:pPr>
      <w:r>
        <w:rPr>
          <w:b/>
          <w:sz w:val="20"/>
        </w:rPr>
        <w:t xml:space="preserve">+DI / −DI: </w:t>
      </w:r>
      <w:r>
        <w:rPr>
          <w:rFonts w:ascii="Consolas" w:hAnsi="Consolas"/>
          <w:i/>
          <w:sz w:val="20"/>
        </w:rPr>
        <w:t>Smoothed DM / Smoothed TR × 100</w:t>
      </w:r>
    </w:p>
    <w:p>
      <w:pPr>
        <w:ind w:left="720"/>
      </w:pPr>
      <w:r>
        <w:rPr>
          <w:b/>
          <w:sz w:val="20"/>
        </w:rPr>
        <w:t xml:space="preserve">DX: </w:t>
      </w:r>
      <w:r>
        <w:rPr>
          <w:rFonts w:ascii="Consolas" w:hAnsi="Consolas"/>
          <w:i/>
          <w:sz w:val="20"/>
        </w:rPr>
        <w:t>DX = |+DI − −DI| / (+DI + −DI) × 100</w:t>
      </w:r>
    </w:p>
    <w:p>
      <w:pPr>
        <w:ind w:left="720"/>
      </w:pPr>
      <w:r>
        <w:rPr>
          <w:b/>
          <w:sz w:val="20"/>
        </w:rPr>
        <w:t xml:space="preserve">ADX: </w:t>
      </w:r>
      <w:r>
        <w:rPr>
          <w:rFonts w:ascii="Consolas" w:hAnsi="Consolas"/>
          <w:i/>
          <w:sz w:val="20"/>
        </w:rPr>
        <w:t>ADX = Smoothed average of DX over 14 periods</w:t>
      </w:r>
    </w:p>
    <w:p>
      <w:r>
        <w:rPr>
          <w:rFonts w:ascii="Calibri" w:hAnsi="Calibri"/>
          <w:b/>
          <w:i w:val="0"/>
          <w:sz w:val="22"/>
        </w:rPr>
        <w:t>Usage:</w:t>
      </w:r>
    </w:p>
    <w:p>
      <w:pPr>
        <w:pStyle w:val="ListBullet"/>
        <w:ind w:left="720"/>
      </w:pPr>
      <w:r>
        <w:t>ADX &gt; 25 → Strong trend (boosts confidence of other signals by +0.2)</w:t>
      </w:r>
    </w:p>
    <w:p>
      <w:pPr>
        <w:pStyle w:val="ListBullet"/>
        <w:ind w:left="720"/>
      </w:pPr>
      <w:r>
        <w:t>ADX &lt; 20 → Weak/no trend (range-bound market)</w:t>
      </w:r>
    </w:p>
    <w:p>
      <w:pPr>
        <w:pStyle w:val="Heading2"/>
      </w:pPr>
      <w:r>
        <w:rPr>
          <w:color w:val="1A1A2E"/>
        </w:rPr>
        <w:t>4.10 SuperTrend</w:t>
      </w:r>
    </w:p>
    <w:p>
      <w:r>
        <w:rPr>
          <w:rFonts w:ascii="Calibri" w:hAnsi="Calibri"/>
          <w:b w:val="0"/>
          <w:i w:val="0"/>
          <w:sz w:val="22"/>
        </w:rPr>
        <w:t>SuperTrend is an ATR-based trend-following indicator that provides dynamic support and resistance levels, flipping between bullish and bearish states.</w:t>
      </w:r>
    </w:p>
    <w:p>
      <w:r>
        <w:rPr>
          <w:rFonts w:ascii="Calibri" w:hAnsi="Calibri"/>
          <w:b/>
          <w:i w:val="0"/>
          <w:sz w:val="22"/>
        </w:rPr>
        <w:t>Formula:</w:t>
      </w:r>
    </w:p>
    <w:p>
      <w:pPr>
        <w:ind w:left="720"/>
      </w:pPr>
      <w:r>
        <w:rPr>
          <w:b/>
          <w:sz w:val="20"/>
        </w:rPr>
        <w:t xml:space="preserve">Source: </w:t>
      </w:r>
      <w:r>
        <w:rPr>
          <w:rFonts w:ascii="Consolas" w:hAnsi="Consolas"/>
          <w:i/>
          <w:sz w:val="20"/>
        </w:rPr>
        <w:t>Source = (High + Low) / 2</w:t>
      </w:r>
    </w:p>
    <w:p>
      <w:pPr>
        <w:ind w:left="720"/>
      </w:pPr>
      <w:r>
        <w:rPr>
          <w:b/>
          <w:sz w:val="20"/>
        </w:rPr>
        <w:t xml:space="preserve">Basic Upper Band: </w:t>
      </w:r>
      <w:r>
        <w:rPr>
          <w:rFonts w:ascii="Consolas" w:hAnsi="Consolas"/>
          <w:i/>
          <w:sz w:val="20"/>
        </w:rPr>
        <w:t>Source + Multiplier × ATR(10)</w:t>
      </w:r>
    </w:p>
    <w:p>
      <w:pPr>
        <w:ind w:left="720"/>
      </w:pPr>
      <w:r>
        <w:rPr>
          <w:b/>
          <w:sz w:val="20"/>
        </w:rPr>
        <w:t xml:space="preserve">Basic Lower Band: </w:t>
      </w:r>
      <w:r>
        <w:rPr>
          <w:rFonts w:ascii="Consolas" w:hAnsi="Consolas"/>
          <w:i/>
          <w:sz w:val="20"/>
        </w:rPr>
        <w:t>Source − Multiplier × ATR(10)</w:t>
      </w:r>
    </w:p>
    <w:p>
      <w:r>
        <w:rPr>
          <w:rFonts w:ascii="Calibri" w:hAnsi="Calibri"/>
          <w:b w:val="0"/>
          <w:i w:val="0"/>
          <w:sz w:val="22"/>
        </w:rPr>
        <w:t>The bands are adjusted to prevent whipsaws: the upper band only decreases, and the lower band only increases, unless price breaks through.</w:t>
      </w:r>
    </w:p>
    <w:p>
      <w:r>
        <w:rPr>
          <w:rFonts w:ascii="Calibri" w:hAnsi="Calibri"/>
          <w:b/>
          <w:i w:val="0"/>
          <w:sz w:val="22"/>
        </w:rPr>
        <w:t>Trading Signal:</w:t>
      </w:r>
    </w:p>
    <w:p>
      <w:pPr>
        <w:pStyle w:val="ListBullet"/>
        <w:ind w:left="720"/>
      </w:pPr>
      <w:r>
        <w:t>Direction flips from −1 to +1 → Bullish (buy signal, strength 0.6)</w:t>
      </w:r>
    </w:p>
    <w:p>
      <w:pPr>
        <w:pStyle w:val="ListBullet"/>
        <w:ind w:left="720"/>
      </w:pPr>
      <w:r>
        <w:t>Direction flips from +1 to −1 → Bearish (sell signal, strength 0.6)</w:t>
      </w:r>
    </w:p>
    <w:p>
      <w:pPr>
        <w:pStyle w:val="Heading2"/>
      </w:pPr>
      <w:r>
        <w:rPr>
          <w:color w:val="1A1A2E"/>
        </w:rPr>
        <w:t>4.11 Z-Score</w:t>
      </w:r>
    </w:p>
    <w:p>
      <w:r>
        <w:rPr>
          <w:rFonts w:ascii="Calibri" w:hAnsi="Calibri"/>
          <w:b w:val="0"/>
          <w:i w:val="0"/>
          <w:sz w:val="22"/>
        </w:rPr>
        <w:t>Z-Score is a statistical measure indicating how many standard deviations the current price is from the rolling mean. It is used for mean-reversion strategies.</w:t>
      </w:r>
    </w:p>
    <w:p>
      <w:r>
        <w:rPr>
          <w:rFonts w:ascii="Calibri" w:hAnsi="Calibri"/>
          <w:b/>
          <w:i w:val="0"/>
          <w:sz w:val="22"/>
        </w:rPr>
        <w:t>Formula:</w:t>
      </w:r>
    </w:p>
    <w:p>
      <w:pPr>
        <w:ind w:left="720"/>
      </w:pPr>
      <w:r>
        <w:rPr>
          <w:b/>
          <w:sz w:val="20"/>
        </w:rPr>
        <w:t xml:space="preserve">Z-Score: </w:t>
      </w:r>
      <w:r>
        <w:rPr>
          <w:rFonts w:ascii="Consolas" w:hAnsi="Consolas"/>
          <w:i/>
          <w:sz w:val="20"/>
        </w:rPr>
        <w:t>Z = (Price − SMA(20)) / σ(20)</w:t>
      </w:r>
    </w:p>
    <w:p>
      <w:r>
        <w:rPr>
          <w:rFonts w:ascii="Calibri" w:hAnsi="Calibri"/>
          <w:b/>
          <w:i w:val="0"/>
          <w:sz w:val="22"/>
        </w:rPr>
        <w:t>Trading Signal:</w:t>
      </w:r>
    </w:p>
    <w:p>
      <w:pPr>
        <w:pStyle w:val="ListBullet"/>
        <w:ind w:left="720"/>
      </w:pPr>
      <w:r>
        <w:t>Z-Score &lt; −2.0 → Statistically oversold (buy signal, strength 0.6)</w:t>
      </w:r>
    </w:p>
    <w:p>
      <w:pPr>
        <w:pStyle w:val="ListBullet"/>
        <w:ind w:left="720"/>
      </w:pPr>
      <w:r>
        <w:t>Z-Score &gt; +2.0 → Statistically overbought (sell signal, strength 0.6)</w:t>
      </w:r>
    </w:p>
    <w:p>
      <w:pPr>
        <w:pStyle w:val="Heading2"/>
      </w:pPr>
      <w:r>
        <w:rPr>
          <w:color w:val="1A1A2E"/>
        </w:rPr>
        <w:t>4.12 Money Flow Index (MFI)</w:t>
      </w:r>
    </w:p>
    <w:p>
      <w:r>
        <w:rPr>
          <w:rFonts w:ascii="Calibri" w:hAnsi="Calibri"/>
          <w:b w:val="0"/>
          <w:i w:val="0"/>
          <w:sz w:val="22"/>
        </w:rPr>
        <w:t>MFI is a volume-weighted RSI that incorporates both price and volume data. It is sometimes called the 'volume-weighted RSI' because it measures buying and selling pressure.</w:t>
      </w:r>
    </w:p>
    <w:p>
      <w:r>
        <w:rPr>
          <w:rFonts w:ascii="Calibri" w:hAnsi="Calibri"/>
          <w:b/>
          <w:i w:val="0"/>
          <w:sz w:val="22"/>
        </w:rPr>
        <w:t>Formula:</w:t>
      </w:r>
    </w:p>
    <w:p>
      <w:pPr>
        <w:ind w:left="720"/>
      </w:pPr>
      <w:r>
        <w:rPr>
          <w:b/>
          <w:sz w:val="20"/>
        </w:rPr>
        <w:t xml:space="preserve">Typical Price: </w:t>
      </w:r>
      <w:r>
        <w:rPr>
          <w:rFonts w:ascii="Consolas" w:hAnsi="Consolas"/>
          <w:i/>
          <w:sz w:val="20"/>
        </w:rPr>
        <w:t>TP = (High + Low + Close) / 3</w:t>
      </w:r>
    </w:p>
    <w:p>
      <w:pPr>
        <w:ind w:left="720"/>
      </w:pPr>
      <w:r>
        <w:rPr>
          <w:b/>
          <w:sz w:val="20"/>
        </w:rPr>
        <w:t xml:space="preserve">Raw Money Flow: </w:t>
      </w:r>
      <w:r>
        <w:rPr>
          <w:rFonts w:ascii="Consolas" w:hAnsi="Consolas"/>
          <w:i/>
          <w:sz w:val="20"/>
        </w:rPr>
        <w:t>RMF = TP × Volume</w:t>
      </w:r>
    </w:p>
    <w:p>
      <w:pPr>
        <w:ind w:left="720"/>
      </w:pPr>
      <w:r>
        <w:rPr>
          <w:b/>
          <w:sz w:val="20"/>
        </w:rPr>
        <w:t xml:space="preserve">Money Ratio: </w:t>
      </w:r>
      <w:r>
        <w:rPr>
          <w:rFonts w:ascii="Consolas" w:hAnsi="Consolas"/>
          <w:i/>
          <w:sz w:val="20"/>
        </w:rPr>
        <w:t>MR = Positive Money Flow / Negative Money Flow  (over 14 periods)</w:t>
      </w:r>
    </w:p>
    <w:p>
      <w:pPr>
        <w:ind w:left="720"/>
      </w:pPr>
      <w:r>
        <w:rPr>
          <w:b/>
          <w:sz w:val="20"/>
        </w:rPr>
        <w:t xml:space="preserve">MFI: </w:t>
      </w:r>
      <w:r>
        <w:rPr>
          <w:rFonts w:ascii="Consolas" w:hAnsi="Consolas"/>
          <w:i/>
          <w:sz w:val="20"/>
        </w:rPr>
        <w:t>MFI = 100 − [100 / (1 + MR)]</w:t>
      </w:r>
    </w:p>
    <w:p>
      <w:r>
        <w:rPr>
          <w:rFonts w:ascii="Calibri" w:hAnsi="Calibri"/>
          <w:b/>
          <w:i w:val="0"/>
          <w:sz w:val="22"/>
        </w:rPr>
        <w:t>Trading Signal:</w:t>
      </w:r>
    </w:p>
    <w:p>
      <w:pPr>
        <w:pStyle w:val="ListBullet"/>
        <w:ind w:left="720"/>
      </w:pPr>
      <w:r>
        <w:t>MFI &lt; 20 → Oversold (buy signal, strength 0.65)</w:t>
      </w:r>
    </w:p>
    <w:p>
      <w:pPr>
        <w:pStyle w:val="ListBullet"/>
        <w:ind w:left="720"/>
      </w:pPr>
      <w:r>
        <w:t>MFI &gt; 80 → Overbought (sell signal, strength 0.65)</w:t>
      </w:r>
    </w:p>
    <w:p>
      <w:r>
        <w:br w:type="page"/>
      </w:r>
    </w:p>
    <w:p>
      <w:pPr>
        <w:pStyle w:val="Heading1"/>
      </w:pPr>
      <w:r>
        <w:rPr>
          <w:color w:val="1A1A2E"/>
        </w:rPr>
        <w:t>5. Signal Generation Engine</w:t>
      </w:r>
    </w:p>
    <w:p>
      <w:r>
        <w:rPr>
          <w:rFonts w:ascii="Calibri" w:hAnsi="Calibri"/>
          <w:b w:val="0"/>
          <w:i w:val="0"/>
          <w:sz w:val="22"/>
        </w:rPr>
        <w:t>The signal generation engine aggregates outputs from all active indicators using a weighted voting system. Each indicator casts a buy, sell, or neutral vote with an associated strength weight.</w:t>
      </w:r>
    </w:p>
    <w:p>
      <w:r>
        <w:rPr>
          <w:rFonts w:ascii="Calibri" w:hAnsi="Calibri"/>
          <w:b/>
          <w:i w:val="0"/>
          <w:sz w:val="22"/>
        </w:rPr>
        <w:t>Signal Weights: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Indicator</w:t>
            </w:r>
          </w:p>
        </w:tc>
        <w:tc>
          <w:tcPr>
            <w:tcW w:type="dxa" w:w="2340"/>
          </w:tcPr>
          <w:p>
            <w:r>
              <w:rPr>
                <w:b/>
                <w:sz w:val="20"/>
              </w:rPr>
              <w:t>Buy Condition</w:t>
            </w:r>
          </w:p>
        </w:tc>
        <w:tc>
          <w:tcPr>
            <w:tcW w:type="dxa" w:w="2340"/>
          </w:tcPr>
          <w:p>
            <w:r>
              <w:rPr>
                <w:b/>
                <w:sz w:val="20"/>
              </w:rPr>
              <w:t>Sell Condition</w:t>
            </w:r>
          </w:p>
        </w:tc>
        <w:tc>
          <w:tcPr>
            <w:tcW w:type="dxa" w:w="2340"/>
          </w:tcPr>
          <w:p>
            <w:r>
              <w:rPr>
                <w:b/>
                <w:sz w:val="20"/>
              </w:rPr>
              <w:t>Weight</w:t>
            </w:r>
          </w:p>
        </w:tc>
      </w:tr>
      <w:tr>
        <w:tc>
          <w:tcPr>
            <w:tcW w:type="dxa" w:w="2340"/>
          </w:tcPr>
          <w:p>
            <w:r>
              <w:rPr>
                <w:sz w:val="20"/>
              </w:rPr>
              <w:t>RSI (14)</w:t>
            </w:r>
          </w:p>
        </w:tc>
        <w:tc>
          <w:tcPr>
            <w:tcW w:type="dxa" w:w="2340"/>
          </w:tcPr>
          <w:p>
            <w:r>
              <w:rPr>
                <w:sz w:val="20"/>
              </w:rPr>
              <w:t>RSI &lt; 30</w:t>
            </w:r>
          </w:p>
        </w:tc>
        <w:tc>
          <w:tcPr>
            <w:tcW w:type="dxa" w:w="2340"/>
          </w:tcPr>
          <w:p>
            <w:r>
              <w:rPr>
                <w:sz w:val="20"/>
              </w:rPr>
              <w:t>RSI &gt; 70</w:t>
            </w:r>
          </w:p>
        </w:tc>
        <w:tc>
          <w:tcPr>
            <w:tcW w:type="dxa" w:w="2340"/>
          </w:tcPr>
          <w:p>
            <w:r>
              <w:rPr>
                <w:sz w:val="20"/>
              </w:rPr>
              <w:t>0.70</w:t>
            </w:r>
          </w:p>
        </w:tc>
      </w:tr>
      <w:tr>
        <w:tc>
          <w:tcPr>
            <w:tcW w:type="dxa" w:w="2340"/>
          </w:tcPr>
          <w:p>
            <w:r>
              <w:rPr>
                <w:sz w:val="20"/>
              </w:rPr>
              <w:t>MACD</w:t>
            </w:r>
          </w:p>
        </w:tc>
        <w:tc>
          <w:tcPr>
            <w:tcW w:type="dxa" w:w="2340"/>
          </w:tcPr>
          <w:p>
            <w:r>
              <w:rPr>
                <w:sz w:val="20"/>
              </w:rPr>
              <w:t>MACD &gt; Signal</w:t>
            </w:r>
          </w:p>
        </w:tc>
        <w:tc>
          <w:tcPr>
            <w:tcW w:type="dxa" w:w="2340"/>
          </w:tcPr>
          <w:p>
            <w:r>
              <w:rPr>
                <w:sz w:val="20"/>
              </w:rPr>
              <w:t>MACD &lt; Signal</w:t>
            </w:r>
          </w:p>
        </w:tc>
        <w:tc>
          <w:tcPr>
            <w:tcW w:type="dxa" w:w="2340"/>
          </w:tcPr>
          <w:p>
            <w:r>
              <w:rPr>
                <w:sz w:val="20"/>
              </w:rPr>
              <w:t>0.60</w:t>
            </w:r>
          </w:p>
        </w:tc>
      </w:tr>
      <w:tr>
        <w:tc>
          <w:tcPr>
            <w:tcW w:type="dxa" w:w="2340"/>
          </w:tcPr>
          <w:p>
            <w:r>
              <w:rPr>
                <w:sz w:val="20"/>
              </w:rPr>
              <w:t>EMA Crossover</w:t>
            </w:r>
          </w:p>
        </w:tc>
        <w:tc>
          <w:tcPr>
            <w:tcW w:type="dxa" w:w="2340"/>
          </w:tcPr>
          <w:p>
            <w:r>
              <w:rPr>
                <w:sz w:val="20"/>
              </w:rPr>
              <w:t>EMA8 &gt; EMA20</w:t>
            </w:r>
          </w:p>
        </w:tc>
        <w:tc>
          <w:tcPr>
            <w:tcW w:type="dxa" w:w="2340"/>
          </w:tcPr>
          <w:p>
            <w:r>
              <w:rPr>
                <w:sz w:val="20"/>
              </w:rPr>
              <w:t>EMA8 &lt; EMA20</w:t>
            </w:r>
          </w:p>
        </w:tc>
        <w:tc>
          <w:tcPr>
            <w:tcW w:type="dxa" w:w="2340"/>
          </w:tcPr>
          <w:p>
            <w:r>
              <w:rPr>
                <w:sz w:val="20"/>
              </w:rPr>
              <w:t>0.50</w:t>
            </w:r>
          </w:p>
        </w:tc>
      </w:tr>
      <w:tr>
        <w:tc>
          <w:tcPr>
            <w:tcW w:type="dxa" w:w="2340"/>
          </w:tcPr>
          <w:p>
            <w:r>
              <w:rPr>
                <w:sz w:val="20"/>
              </w:rPr>
              <w:t>Bollinger Bands</w:t>
            </w:r>
          </w:p>
        </w:tc>
        <w:tc>
          <w:tcPr>
            <w:tcW w:type="dxa" w:w="2340"/>
          </w:tcPr>
          <w:p>
            <w:r>
              <w:rPr>
                <w:sz w:val="20"/>
              </w:rPr>
              <w:t>Price &lt; Lower Band</w:t>
            </w:r>
          </w:p>
        </w:tc>
        <w:tc>
          <w:tcPr>
            <w:tcW w:type="dxa" w:w="2340"/>
          </w:tcPr>
          <w:p>
            <w:r>
              <w:rPr>
                <w:sz w:val="20"/>
              </w:rPr>
              <w:t>Price &gt; Upper Band</w:t>
            </w:r>
          </w:p>
        </w:tc>
        <w:tc>
          <w:tcPr>
            <w:tcW w:type="dxa" w:w="2340"/>
          </w:tcPr>
          <w:p>
            <w:r>
              <w:rPr>
                <w:sz w:val="20"/>
              </w:rPr>
              <w:t>0.60</w:t>
            </w:r>
          </w:p>
        </w:tc>
      </w:tr>
      <w:tr>
        <w:tc>
          <w:tcPr>
            <w:tcW w:type="dxa" w:w="2340"/>
          </w:tcPr>
          <w:p>
            <w:r>
              <w:rPr>
                <w:sz w:val="20"/>
              </w:rPr>
              <w:t>Stochastic</w:t>
            </w:r>
          </w:p>
        </w:tc>
        <w:tc>
          <w:tcPr>
            <w:tcW w:type="dxa" w:w="2340"/>
          </w:tcPr>
          <w:p>
            <w:r>
              <w:rPr>
                <w:sz w:val="20"/>
              </w:rPr>
              <w:t>%K &lt; 20</w:t>
            </w:r>
          </w:p>
        </w:tc>
        <w:tc>
          <w:tcPr>
            <w:tcW w:type="dxa" w:w="2340"/>
          </w:tcPr>
          <w:p>
            <w:r>
              <w:rPr>
                <w:sz w:val="20"/>
              </w:rPr>
              <w:t>%K &gt; 80</w:t>
            </w:r>
          </w:p>
        </w:tc>
        <w:tc>
          <w:tcPr>
            <w:tcW w:type="dxa" w:w="2340"/>
          </w:tcPr>
          <w:p>
            <w:r>
              <w:rPr>
                <w:sz w:val="20"/>
              </w:rPr>
              <w:t>0.50</w:t>
            </w:r>
          </w:p>
        </w:tc>
      </w:tr>
      <w:tr>
        <w:tc>
          <w:tcPr>
            <w:tcW w:type="dxa" w:w="2340"/>
          </w:tcPr>
          <w:p>
            <w:r>
              <w:rPr>
                <w:sz w:val="20"/>
              </w:rPr>
              <w:t>SuperTrend</w:t>
            </w:r>
          </w:p>
        </w:tc>
        <w:tc>
          <w:tcPr>
            <w:tcW w:type="dxa" w:w="2340"/>
          </w:tcPr>
          <w:p>
            <w:r>
              <w:rPr>
                <w:sz w:val="20"/>
              </w:rPr>
              <w:t>Direction → +1</w:t>
            </w:r>
          </w:p>
        </w:tc>
        <w:tc>
          <w:tcPr>
            <w:tcW w:type="dxa" w:w="2340"/>
          </w:tcPr>
          <w:p>
            <w:r>
              <w:rPr>
                <w:sz w:val="20"/>
              </w:rPr>
              <w:t>Direction → −1</w:t>
            </w:r>
          </w:p>
        </w:tc>
        <w:tc>
          <w:tcPr>
            <w:tcW w:type="dxa" w:w="2340"/>
          </w:tcPr>
          <w:p>
            <w:r>
              <w:rPr>
                <w:sz w:val="20"/>
              </w:rPr>
              <w:t>0.60</w:t>
            </w:r>
          </w:p>
        </w:tc>
      </w:tr>
      <w:tr>
        <w:tc>
          <w:tcPr>
            <w:tcW w:type="dxa" w:w="2340"/>
          </w:tcPr>
          <w:p>
            <w:r>
              <w:rPr>
                <w:sz w:val="20"/>
              </w:rPr>
              <w:t>Z-Score</w:t>
            </w:r>
          </w:p>
        </w:tc>
        <w:tc>
          <w:tcPr>
            <w:tcW w:type="dxa" w:w="2340"/>
          </w:tcPr>
          <w:p>
            <w:r>
              <w:rPr>
                <w:sz w:val="20"/>
              </w:rPr>
              <w:t>Z &lt; −2.0</w:t>
            </w:r>
          </w:p>
        </w:tc>
        <w:tc>
          <w:tcPr>
            <w:tcW w:type="dxa" w:w="2340"/>
          </w:tcPr>
          <w:p>
            <w:r>
              <w:rPr>
                <w:sz w:val="20"/>
              </w:rPr>
              <w:t>Z &gt; +2.0</w:t>
            </w:r>
          </w:p>
        </w:tc>
        <w:tc>
          <w:tcPr>
            <w:tcW w:type="dxa" w:w="2340"/>
          </w:tcPr>
          <w:p>
            <w:r>
              <w:rPr>
                <w:sz w:val="20"/>
              </w:rPr>
              <w:t>0.60</w:t>
            </w:r>
          </w:p>
        </w:tc>
      </w:tr>
      <w:tr>
        <w:tc>
          <w:tcPr>
            <w:tcW w:type="dxa" w:w="2340"/>
          </w:tcPr>
          <w:p>
            <w:r>
              <w:rPr>
                <w:sz w:val="20"/>
              </w:rPr>
              <w:t>MFI</w:t>
            </w:r>
          </w:p>
        </w:tc>
        <w:tc>
          <w:tcPr>
            <w:tcW w:type="dxa" w:w="2340"/>
          </w:tcPr>
          <w:p>
            <w:r>
              <w:rPr>
                <w:sz w:val="20"/>
              </w:rPr>
              <w:t>MFI &lt; 20</w:t>
            </w:r>
          </w:p>
        </w:tc>
        <w:tc>
          <w:tcPr>
            <w:tcW w:type="dxa" w:w="2340"/>
          </w:tcPr>
          <w:p>
            <w:r>
              <w:rPr>
                <w:sz w:val="20"/>
              </w:rPr>
              <w:t>MFI &gt; 80</w:t>
            </w:r>
          </w:p>
        </w:tc>
        <w:tc>
          <w:tcPr>
            <w:tcW w:type="dxa" w:w="2340"/>
          </w:tcPr>
          <w:p>
            <w:r>
              <w:rPr>
                <w:sz w:val="20"/>
              </w:rPr>
              <w:t>0.65</w:t>
            </w:r>
          </w:p>
        </w:tc>
      </w:tr>
      <w:tr>
        <w:tc>
          <w:tcPr>
            <w:tcW w:type="dxa" w:w="2340"/>
          </w:tcPr>
          <w:p>
            <w:r>
              <w:rPr>
                <w:sz w:val="20"/>
              </w:rPr>
              <w:t>ADX (modifier)</w:t>
            </w:r>
          </w:p>
        </w:tc>
        <w:tc>
          <w:tcPr>
            <w:tcW w:type="dxa" w:w="2340"/>
          </w:tcPr>
          <w:p>
            <w:r>
              <w:rPr>
                <w:sz w:val="20"/>
              </w:rPr>
              <w:t>ADX &gt; 25</w:t>
            </w:r>
          </w:p>
        </w:tc>
        <w:tc>
          <w:tcPr>
            <w:tcW w:type="dxa" w:w="2340"/>
          </w:tcPr>
          <w:p>
            <w:r>
              <w:rPr>
                <w:sz w:val="20"/>
              </w:rPr>
              <w:t>ADX &gt; 25</w:t>
            </w:r>
          </w:p>
        </w:tc>
        <w:tc>
          <w:tcPr>
            <w:tcW w:type="dxa" w:w="2340"/>
          </w:tcPr>
          <w:p>
            <w:r>
              <w:rPr>
                <w:sz w:val="20"/>
              </w:rPr>
              <w:t>+0.20 boost</w:t>
            </w:r>
          </w:p>
        </w:tc>
      </w:tr>
    </w:tbl>
    <w:p/>
    <w:p>
      <w:r>
        <w:rPr>
          <w:rFonts w:ascii="Calibri" w:hAnsi="Calibri"/>
          <w:b/>
          <w:i w:val="0"/>
          <w:sz w:val="22"/>
        </w:rPr>
        <w:t>Decision Logic:</w:t>
      </w:r>
    </w:p>
    <w:p>
      <w:pPr>
        <w:pStyle w:val="ListBullet"/>
        <w:ind w:left="720"/>
      </w:pPr>
      <w:r>
        <w:t>Sum all buy signal strengths → buyScore</w:t>
      </w:r>
    </w:p>
    <w:p>
      <w:pPr>
        <w:pStyle w:val="ListBullet"/>
        <w:ind w:left="720"/>
      </w:pPr>
      <w:r>
        <w:t>Sum all sell signal strengths → sellScore</w:t>
      </w:r>
    </w:p>
    <w:p>
      <w:pPr>
        <w:pStyle w:val="ListBullet"/>
        <w:ind w:left="720"/>
      </w:pPr>
      <w:r>
        <w:t>If buyScore &gt; sellScore × 1.5 → Output BUY (confidence = min(0.85, buyScore/total))</w:t>
      </w:r>
    </w:p>
    <w:p>
      <w:pPr>
        <w:pStyle w:val="ListBullet"/>
        <w:ind w:left="720"/>
      </w:pPr>
      <w:r>
        <w:t>If sellScore &gt; buyScore × 1.5 → Output SELL (confidence = min(0.85, sellScore/total))</w:t>
      </w:r>
    </w:p>
    <w:p>
      <w:pPr>
        <w:pStyle w:val="ListBullet"/>
        <w:ind w:left="720"/>
      </w:pPr>
      <w:r>
        <w:t>Otherwise → Output HOLD</w:t>
      </w:r>
    </w:p>
    <w:p>
      <w:r>
        <w:br w:type="page"/>
      </w:r>
    </w:p>
    <w:p>
      <w:pPr>
        <w:pStyle w:val="Heading1"/>
      </w:pPr>
      <w:r>
        <w:rPr>
          <w:color w:val="1A1A2E"/>
        </w:rPr>
        <w:t>6. Backtesting Engine</w:t>
      </w:r>
    </w:p>
    <w:p>
      <w:r>
        <w:rPr>
          <w:rFonts w:ascii="Calibri" w:hAnsi="Calibri"/>
          <w:b w:val="0"/>
          <w:i w:val="0"/>
          <w:sz w:val="22"/>
        </w:rPr>
        <w:t>The backtesting engine (lib/backtesting.ts, 311 lines) simulates trading strategies against historical OHLCV data. It tracks positions, computes P&amp;L with trading fees, enforces stop-loss and take-profit levels, and generates an equity curve.</w:t>
      </w:r>
    </w:p>
    <w:p>
      <w:r>
        <w:rPr>
          <w:rFonts w:ascii="Calibri" w:hAnsi="Calibri"/>
          <w:b/>
          <w:i w:val="0"/>
          <w:sz w:val="22"/>
        </w:rPr>
        <w:t>Configuration Parameters: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Parameter</w:t>
            </w:r>
          </w:p>
        </w:tc>
        <w:tc>
          <w:tcPr>
            <w:tcW w:type="dxa" w:w="3120"/>
          </w:tcPr>
          <w:p>
            <w:r>
              <w:rPr>
                <w:b/>
                <w:sz w:val="20"/>
              </w:rPr>
              <w:t>Description</w:t>
            </w:r>
          </w:p>
        </w:tc>
        <w:tc>
          <w:tcPr>
            <w:tcW w:type="dxa" w:w="3120"/>
          </w:tcPr>
          <w:p>
            <w:r>
              <w:rPr>
                <w:b/>
                <w:sz w:val="20"/>
              </w:rPr>
              <w:t>Default</w:t>
            </w:r>
          </w:p>
        </w:tc>
      </w:tr>
      <w:tr>
        <w:tc>
          <w:tcPr>
            <w:tcW w:type="dxa" w:w="3120"/>
          </w:tcPr>
          <w:p>
            <w:r>
              <w:rPr>
                <w:sz w:val="20"/>
              </w:rPr>
              <w:t>Initial Capital</w:t>
            </w:r>
          </w:p>
        </w:tc>
        <w:tc>
          <w:tcPr>
            <w:tcW w:type="dxa" w:w="3120"/>
          </w:tcPr>
          <w:p>
            <w:r>
              <w:rPr>
                <w:sz w:val="20"/>
              </w:rPr>
              <w:t>Starting portfolio value (₹)</w:t>
            </w:r>
          </w:p>
        </w:tc>
        <w:tc>
          <w:tcPr>
            <w:tcW w:type="dxa" w:w="3120"/>
          </w:tcPr>
          <w:p>
            <w:r>
              <w:rPr>
                <w:sz w:val="20"/>
              </w:rPr>
              <w:t>10,000</w:t>
            </w:r>
          </w:p>
        </w:tc>
      </w:tr>
      <w:tr>
        <w:tc>
          <w:tcPr>
            <w:tcW w:type="dxa" w:w="3120"/>
          </w:tcPr>
          <w:p>
            <w:r>
              <w:rPr>
                <w:sz w:val="20"/>
              </w:rPr>
              <w:t>Position Size</w:t>
            </w:r>
          </w:p>
        </w:tc>
        <w:tc>
          <w:tcPr>
            <w:tcW w:type="dxa" w:w="3120"/>
          </w:tcPr>
          <w:p>
            <w:r>
              <w:rPr>
                <w:sz w:val="20"/>
              </w:rPr>
              <w:t>Percentage of capital per trade</w:t>
            </w:r>
          </w:p>
        </w:tc>
        <w:tc>
          <w:tcPr>
            <w:tcW w:type="dxa" w:w="3120"/>
          </w:tcPr>
          <w:p>
            <w:r>
              <w:rPr>
                <w:sz w:val="20"/>
              </w:rPr>
              <w:t>10%</w:t>
            </w:r>
          </w:p>
        </w:tc>
      </w:tr>
      <w:tr>
        <w:tc>
          <w:tcPr>
            <w:tcW w:type="dxa" w:w="3120"/>
          </w:tcPr>
          <w:p>
            <w:r>
              <w:rPr>
                <w:sz w:val="20"/>
              </w:rPr>
              <w:t>Stop Loss</w:t>
            </w:r>
          </w:p>
        </w:tc>
        <w:tc>
          <w:tcPr>
            <w:tcW w:type="dxa" w:w="3120"/>
          </w:tcPr>
          <w:p>
            <w:r>
              <w:rPr>
                <w:sz w:val="20"/>
              </w:rPr>
              <w:t>Maximum loss percentage before forced exit</w:t>
            </w:r>
          </w:p>
        </w:tc>
        <w:tc>
          <w:tcPr>
            <w:tcW w:type="dxa" w:w="3120"/>
          </w:tcPr>
          <w:p>
            <w:r>
              <w:rPr>
                <w:sz w:val="20"/>
              </w:rPr>
              <w:t>2%</w:t>
            </w:r>
          </w:p>
        </w:tc>
      </w:tr>
      <w:tr>
        <w:tc>
          <w:tcPr>
            <w:tcW w:type="dxa" w:w="3120"/>
          </w:tcPr>
          <w:p>
            <w:r>
              <w:rPr>
                <w:sz w:val="20"/>
              </w:rPr>
              <w:t>Take Profit</w:t>
            </w:r>
          </w:p>
        </w:tc>
        <w:tc>
          <w:tcPr>
            <w:tcW w:type="dxa" w:w="3120"/>
          </w:tcPr>
          <w:p>
            <w:r>
              <w:rPr>
                <w:sz w:val="20"/>
              </w:rPr>
              <w:t>Target profit percentage for auto-exit</w:t>
            </w:r>
          </w:p>
        </w:tc>
        <w:tc>
          <w:tcPr>
            <w:tcW w:type="dxa" w:w="3120"/>
          </w:tcPr>
          <w:p>
            <w:r>
              <w:rPr>
                <w:sz w:val="20"/>
              </w:rPr>
              <w:t>4%</w:t>
            </w:r>
          </w:p>
        </w:tc>
      </w:tr>
      <w:tr>
        <w:tc>
          <w:tcPr>
            <w:tcW w:type="dxa" w:w="3120"/>
          </w:tcPr>
          <w:p>
            <w:r>
              <w:rPr>
                <w:sz w:val="20"/>
              </w:rPr>
              <w:t>Trading Fees</w:t>
            </w:r>
          </w:p>
        </w:tc>
        <w:tc>
          <w:tcPr>
            <w:tcW w:type="dxa" w:w="3120"/>
          </w:tcPr>
          <w:p>
            <w:r>
              <w:rPr>
                <w:sz w:val="20"/>
              </w:rPr>
              <w:t>Commission per trade (percentage)</w:t>
            </w:r>
          </w:p>
        </w:tc>
        <w:tc>
          <w:tcPr>
            <w:tcW w:type="dxa" w:w="3120"/>
          </w:tcPr>
          <w:p>
            <w:r>
              <w:rPr>
                <w:sz w:val="20"/>
              </w:rPr>
              <w:t>0.1%</w:t>
            </w:r>
          </w:p>
        </w:tc>
      </w:tr>
      <w:tr>
        <w:tc>
          <w:tcPr>
            <w:tcW w:type="dxa" w:w="3120"/>
          </w:tcPr>
          <w:p>
            <w:r>
              <w:rPr>
                <w:sz w:val="20"/>
              </w:rPr>
              <w:t>Strategy</w:t>
            </w:r>
          </w:p>
        </w:tc>
        <w:tc>
          <w:tcPr>
            <w:tcW w:type="dxa" w:w="3120"/>
          </w:tcPr>
          <w:p>
            <w:r>
              <w:rPr>
                <w:sz w:val="20"/>
              </w:rPr>
              <w:t>Which indicator strategy to evaluate</w:t>
            </w:r>
          </w:p>
        </w:tc>
        <w:tc>
          <w:tcPr>
            <w:tcW w:type="dxa" w:w="3120"/>
          </w:tcPr>
          <w:p>
            <w:r>
              <w:rPr>
                <w:sz w:val="20"/>
              </w:rPr>
              <w:t>multi-indicator</w:t>
            </w:r>
          </w:p>
        </w:tc>
      </w:tr>
    </w:tbl>
    <w:p/>
    <w:p>
      <w:r>
        <w:rPr>
          <w:rFonts w:ascii="Calibri" w:hAnsi="Calibri"/>
          <w:b/>
          <w:i w:val="0"/>
          <w:sz w:val="22"/>
        </w:rPr>
        <w:t>Execution Logic:</w:t>
      </w:r>
    </w:p>
    <w:p>
      <w:pPr>
        <w:pStyle w:val="ListBullet"/>
        <w:ind w:left="720"/>
      </w:pPr>
      <w:r>
        <w:t>Iterates through data starting from index 50 (to allow indicator warm-up).</w:t>
      </w:r>
    </w:p>
    <w:p>
      <w:pPr>
        <w:pStyle w:val="ListBullet"/>
        <w:ind w:left="720"/>
      </w:pPr>
      <w:r>
        <w:t>At each bar, checks exit conditions for open positions (stop-loss, take-profit, strategy exit).</w:t>
      </w:r>
    </w:p>
    <w:p>
      <w:pPr>
        <w:pStyle w:val="ListBullet"/>
        <w:ind w:left="720"/>
      </w:pPr>
      <w:r>
        <w:t>If no position is open, evaluates strategy for entry signal (long or short).</w:t>
      </w:r>
    </w:p>
    <w:p>
      <w:pPr>
        <w:pStyle w:val="ListBullet"/>
        <w:ind w:left="720"/>
      </w:pPr>
      <w:r>
        <w:t>Calculates position P&amp;L including trading fees on both entry and exit.</w:t>
      </w:r>
    </w:p>
    <w:p>
      <w:pPr>
        <w:pStyle w:val="ListBullet"/>
        <w:ind w:left="720"/>
      </w:pPr>
      <w:r>
        <w:t>Tracks equity curve and drawdown at every bar for performance analysis.</w:t>
      </w:r>
    </w:p>
    <w:p>
      <w:pPr>
        <w:pStyle w:val="ListBullet"/>
        <w:ind w:left="720"/>
      </w:pPr>
      <w:r>
        <w:t>At the end of data, any remaining open position is force-closed at the last price.</w:t>
      </w:r>
    </w:p>
    <w:p>
      <w:r>
        <w:br w:type="page"/>
      </w:r>
    </w:p>
    <w:p>
      <w:pPr>
        <w:pStyle w:val="Heading1"/>
      </w:pPr>
      <w:r>
        <w:rPr>
          <w:color w:val="1A1A2E"/>
        </w:rPr>
        <w:t>7. Risk-Adjusted Performance Metrics</w:t>
      </w:r>
    </w:p>
    <w:p>
      <w:r>
        <w:rPr>
          <w:rFonts w:ascii="Calibri" w:hAnsi="Calibri"/>
          <w:b w:val="0"/>
          <w:i w:val="0"/>
          <w:sz w:val="22"/>
        </w:rPr>
        <w:t>The backtesting engine computes the following institutional-grade risk metrics for evaluating strategy quality: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Metric</w:t>
            </w:r>
          </w:p>
        </w:tc>
        <w:tc>
          <w:tcPr>
            <w:tcW w:type="dxa" w:w="3120"/>
          </w:tcPr>
          <w:p>
            <w:r>
              <w:rPr>
                <w:b/>
                <w:sz w:val="20"/>
              </w:rPr>
              <w:t>Formula</w:t>
            </w:r>
          </w:p>
        </w:tc>
        <w:tc>
          <w:tcPr>
            <w:tcW w:type="dxa" w:w="3120"/>
          </w:tcPr>
          <w:p>
            <w:r>
              <w:rPr>
                <w:b/>
                <w:sz w:val="20"/>
              </w:rPr>
              <w:t>Interpretation</w:t>
            </w:r>
          </w:p>
        </w:tc>
      </w:tr>
      <w:tr>
        <w:tc>
          <w:tcPr>
            <w:tcW w:type="dxa" w:w="3120"/>
          </w:tcPr>
          <w:p>
            <w:r>
              <w:rPr>
                <w:sz w:val="20"/>
              </w:rPr>
              <w:t>Win Rate</w:t>
            </w:r>
          </w:p>
        </w:tc>
        <w:tc>
          <w:tcPr>
            <w:tcW w:type="dxa" w:w="3120"/>
          </w:tcPr>
          <w:p>
            <w:r>
              <w:rPr>
                <w:sz w:val="20"/>
              </w:rPr>
              <w:t>Winning Trades / Total Trades</w:t>
            </w:r>
          </w:p>
        </w:tc>
        <w:tc>
          <w:tcPr>
            <w:tcW w:type="dxa" w:w="3120"/>
          </w:tcPr>
          <w:p>
            <w:r>
              <w:rPr>
                <w:sz w:val="20"/>
              </w:rPr>
              <w:t>Percentage of profitable trades</w:t>
            </w:r>
          </w:p>
        </w:tc>
      </w:tr>
      <w:tr>
        <w:tc>
          <w:tcPr>
            <w:tcW w:type="dxa" w:w="3120"/>
          </w:tcPr>
          <w:p>
            <w:r>
              <w:rPr>
                <w:sz w:val="20"/>
              </w:rPr>
              <w:t>Total P&amp;L</w:t>
            </w:r>
          </w:p>
        </w:tc>
        <w:tc>
          <w:tcPr>
            <w:tcW w:type="dxa" w:w="3120"/>
          </w:tcPr>
          <w:p>
            <w:r>
              <w:rPr>
                <w:sz w:val="20"/>
              </w:rPr>
              <w:t>Sum of all trade profits and losses</w:t>
            </w:r>
          </w:p>
        </w:tc>
        <w:tc>
          <w:tcPr>
            <w:tcW w:type="dxa" w:w="3120"/>
          </w:tcPr>
          <w:p>
            <w:r>
              <w:rPr>
                <w:sz w:val="20"/>
              </w:rPr>
              <w:t>Net profitability in ₹</w:t>
            </w:r>
          </w:p>
        </w:tc>
      </w:tr>
      <w:tr>
        <w:tc>
          <w:tcPr>
            <w:tcW w:type="dxa" w:w="3120"/>
          </w:tcPr>
          <w:p>
            <w:r>
              <w:rPr>
                <w:sz w:val="20"/>
              </w:rPr>
              <w:t>Sharpe Ratio</w:t>
            </w:r>
          </w:p>
        </w:tc>
        <w:tc>
          <w:tcPr>
            <w:tcW w:type="dxa" w:w="3120"/>
          </w:tcPr>
          <w:p>
            <w:r>
              <w:rPr>
                <w:sz w:val="20"/>
              </w:rPr>
              <w:t>(Mean Return / Std Dev) × √252</w:t>
            </w:r>
          </w:p>
        </w:tc>
        <w:tc>
          <w:tcPr>
            <w:tcW w:type="dxa" w:w="3120"/>
          </w:tcPr>
          <w:p>
            <w:r>
              <w:rPr>
                <w:sz w:val="20"/>
              </w:rPr>
              <w:t>Risk-adjusted return; &gt;1.0 is good, &gt;2.0 is excellent</w:t>
            </w:r>
          </w:p>
        </w:tc>
      </w:tr>
      <w:tr>
        <w:tc>
          <w:tcPr>
            <w:tcW w:type="dxa" w:w="3120"/>
          </w:tcPr>
          <w:p>
            <w:r>
              <w:rPr>
                <w:sz w:val="20"/>
              </w:rPr>
              <w:t>Sortino Ratio</w:t>
            </w:r>
          </w:p>
        </w:tc>
        <w:tc>
          <w:tcPr>
            <w:tcW w:type="dxa" w:w="3120"/>
          </w:tcPr>
          <w:p>
            <w:r>
              <w:rPr>
                <w:sz w:val="20"/>
              </w:rPr>
              <w:t>(Mean Return / Downside Dev) × √252</w:t>
            </w:r>
          </w:p>
        </w:tc>
        <w:tc>
          <w:tcPr>
            <w:tcW w:type="dxa" w:w="3120"/>
          </w:tcPr>
          <w:p>
            <w:r>
              <w:rPr>
                <w:sz w:val="20"/>
              </w:rPr>
              <w:t>Like Sharpe but only penalizes downside volatility</w:t>
            </w:r>
          </w:p>
        </w:tc>
      </w:tr>
      <w:tr>
        <w:tc>
          <w:tcPr>
            <w:tcW w:type="dxa" w:w="3120"/>
          </w:tcPr>
          <w:p>
            <w:r>
              <w:rPr>
                <w:sz w:val="20"/>
              </w:rPr>
              <w:t>Max Drawdown</w:t>
            </w:r>
          </w:p>
        </w:tc>
        <w:tc>
          <w:tcPr>
            <w:tcW w:type="dxa" w:w="3120"/>
          </w:tcPr>
          <w:p>
            <w:r>
              <w:rPr>
                <w:sz w:val="20"/>
              </w:rPr>
              <w:t>max((Peak − Trough) / Peak × 100)</w:t>
            </w:r>
          </w:p>
        </w:tc>
        <w:tc>
          <w:tcPr>
            <w:tcW w:type="dxa" w:w="3120"/>
          </w:tcPr>
          <w:p>
            <w:r>
              <w:rPr>
                <w:sz w:val="20"/>
              </w:rPr>
              <w:t>Largest peak-to-trough equity decline (%)</w:t>
            </w:r>
          </w:p>
        </w:tc>
      </w:tr>
      <w:tr>
        <w:tc>
          <w:tcPr>
            <w:tcW w:type="dxa" w:w="3120"/>
          </w:tcPr>
          <w:p>
            <w:r>
              <w:rPr>
                <w:sz w:val="20"/>
              </w:rPr>
              <w:t>Profit Factor</w:t>
            </w:r>
          </w:p>
        </w:tc>
        <w:tc>
          <w:tcPr>
            <w:tcW w:type="dxa" w:w="3120"/>
          </w:tcPr>
          <w:p>
            <w:r>
              <w:rPr>
                <w:sz w:val="20"/>
              </w:rPr>
              <w:t>Gross Profits / Gross Losses</w:t>
            </w:r>
          </w:p>
        </w:tc>
        <w:tc>
          <w:tcPr>
            <w:tcW w:type="dxa" w:w="3120"/>
          </w:tcPr>
          <w:p>
            <w:r>
              <w:rPr>
                <w:sz w:val="20"/>
              </w:rPr>
              <w:t>&gt;1.0 = profitable; &gt;1.5 = robust system</w:t>
            </w:r>
          </w:p>
        </w:tc>
      </w:tr>
      <w:tr>
        <w:tc>
          <w:tcPr>
            <w:tcW w:type="dxa" w:w="3120"/>
          </w:tcPr>
          <w:p>
            <w:r>
              <w:rPr>
                <w:sz w:val="20"/>
              </w:rPr>
              <w:t>Avg Win</w:t>
            </w:r>
          </w:p>
        </w:tc>
        <w:tc>
          <w:tcPr>
            <w:tcW w:type="dxa" w:w="3120"/>
          </w:tcPr>
          <w:p>
            <w:r>
              <w:rPr>
                <w:sz w:val="20"/>
              </w:rPr>
              <w:t>Mean P&amp;L of winning trades</w:t>
            </w:r>
          </w:p>
        </w:tc>
        <w:tc>
          <w:tcPr>
            <w:tcW w:type="dxa" w:w="3120"/>
          </w:tcPr>
          <w:p>
            <w:r>
              <w:rPr>
                <w:sz w:val="20"/>
              </w:rPr>
              <w:t>Expected gain per successful trade</w:t>
            </w:r>
          </w:p>
        </w:tc>
      </w:tr>
      <w:tr>
        <w:tc>
          <w:tcPr>
            <w:tcW w:type="dxa" w:w="3120"/>
          </w:tcPr>
          <w:p>
            <w:r>
              <w:rPr>
                <w:sz w:val="20"/>
              </w:rPr>
              <w:t>Avg Loss</w:t>
            </w:r>
          </w:p>
        </w:tc>
        <w:tc>
          <w:tcPr>
            <w:tcW w:type="dxa" w:w="3120"/>
          </w:tcPr>
          <w:p>
            <w:r>
              <w:rPr>
                <w:sz w:val="20"/>
              </w:rPr>
              <w:t>Mean |P&amp;L| of losing trades</w:t>
            </w:r>
          </w:p>
        </w:tc>
        <w:tc>
          <w:tcPr>
            <w:tcW w:type="dxa" w:w="3120"/>
          </w:tcPr>
          <w:p>
            <w:r>
              <w:rPr>
                <w:sz w:val="20"/>
              </w:rPr>
              <w:t>Expected loss per unsuccessful trade</w:t>
            </w:r>
          </w:p>
        </w:tc>
      </w:tr>
    </w:tbl>
    <w:p/>
    <w:p>
      <w:r>
        <w:rPr>
          <w:rFonts w:ascii="Calibri" w:hAnsi="Calibri"/>
          <w:b/>
          <w:i w:val="0"/>
          <w:sz w:val="22"/>
        </w:rPr>
        <w:t>Equity Curve:</w:t>
      </w:r>
    </w:p>
    <w:p>
      <w:r>
        <w:rPr>
          <w:rFonts w:ascii="Calibri" w:hAnsi="Calibri"/>
          <w:b w:val="0"/>
          <w:i w:val="0"/>
          <w:sz w:val="22"/>
        </w:rPr>
        <w:t>The equity curve is plotted at every bar interval, showing portfolio value over time. The drawdown line (percentage decline from peak equity) is overlaid to visualize risk exposure periods.</w:t>
      </w:r>
    </w:p>
    <w:p>
      <w:r>
        <w:br w:type="page"/>
      </w:r>
    </w:p>
    <w:p>
      <w:pPr>
        <w:pStyle w:val="Heading1"/>
      </w:pPr>
      <w:r>
        <w:rPr>
          <w:color w:val="1A1A2E"/>
        </w:rPr>
        <w:t>8. Trading Strategies</w:t>
      </w:r>
    </w:p>
    <w:p>
      <w:r>
        <w:rPr>
          <w:rFonts w:ascii="Calibri" w:hAnsi="Calibri"/>
          <w:b w:val="0"/>
          <w:i w:val="0"/>
          <w:sz w:val="22"/>
        </w:rPr>
        <w:t>The backtesting engine supports 7 configurable strategies, each with distinct entry and exit logic:</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Strategy</w:t>
            </w:r>
          </w:p>
        </w:tc>
        <w:tc>
          <w:tcPr>
            <w:tcW w:type="dxa" w:w="3120"/>
          </w:tcPr>
          <w:p>
            <w:r>
              <w:rPr>
                <w:b/>
                <w:sz w:val="20"/>
              </w:rPr>
              <w:t>Entry/Exit Logic</w:t>
            </w:r>
          </w:p>
        </w:tc>
        <w:tc>
          <w:tcPr>
            <w:tcW w:type="dxa" w:w="3120"/>
          </w:tcPr>
          <w:p>
            <w:r>
              <w:rPr>
                <w:b/>
                <w:sz w:val="20"/>
              </w:rPr>
              <w:t>Category</w:t>
            </w:r>
          </w:p>
        </w:tc>
      </w:tr>
      <w:tr>
        <w:tc>
          <w:tcPr>
            <w:tcW w:type="dxa" w:w="3120"/>
          </w:tcPr>
          <w:p>
            <w:r>
              <w:rPr>
                <w:sz w:val="20"/>
              </w:rPr>
              <w:t>RSI</w:t>
            </w:r>
          </w:p>
        </w:tc>
        <w:tc>
          <w:tcPr>
            <w:tcW w:type="dxa" w:w="3120"/>
          </w:tcPr>
          <w:p>
            <w:r>
              <w:rPr>
                <w:sz w:val="20"/>
              </w:rPr>
              <w:t>Enter long when RSI crosses below 30; enter short when RSI crosses above 70.</w:t>
            </w:r>
          </w:p>
        </w:tc>
        <w:tc>
          <w:tcPr>
            <w:tcW w:type="dxa" w:w="3120"/>
          </w:tcPr>
          <w:p>
            <w:r>
              <w:rPr>
                <w:sz w:val="20"/>
              </w:rPr>
              <w:t>Mean-reversion</w:t>
            </w:r>
          </w:p>
        </w:tc>
      </w:tr>
      <w:tr>
        <w:tc>
          <w:tcPr>
            <w:tcW w:type="dxa" w:w="3120"/>
          </w:tcPr>
          <w:p>
            <w:r>
              <w:rPr>
                <w:sz w:val="20"/>
              </w:rPr>
              <w:t>MACD</w:t>
            </w:r>
          </w:p>
        </w:tc>
        <w:tc>
          <w:tcPr>
            <w:tcW w:type="dxa" w:w="3120"/>
          </w:tcPr>
          <w:p>
            <w:r>
              <w:rPr>
                <w:sz w:val="20"/>
              </w:rPr>
              <w:t>Enter long on bullish MACD-Signal crossover; enter short on bearish crossover.</w:t>
            </w:r>
          </w:p>
        </w:tc>
        <w:tc>
          <w:tcPr>
            <w:tcW w:type="dxa" w:w="3120"/>
          </w:tcPr>
          <w:p>
            <w:r>
              <w:rPr>
                <w:sz w:val="20"/>
              </w:rPr>
              <w:t>Trend-following</w:t>
            </w:r>
          </w:p>
        </w:tc>
      </w:tr>
      <w:tr>
        <w:tc>
          <w:tcPr>
            <w:tcW w:type="dxa" w:w="3120"/>
          </w:tcPr>
          <w:p>
            <w:r>
              <w:rPr>
                <w:sz w:val="20"/>
              </w:rPr>
              <w:t>EMA Crossover</w:t>
            </w:r>
          </w:p>
        </w:tc>
        <w:tc>
          <w:tcPr>
            <w:tcW w:type="dxa" w:w="3120"/>
          </w:tcPr>
          <w:p>
            <w:r>
              <w:rPr>
                <w:sz w:val="20"/>
              </w:rPr>
              <w:t>Enter long when EMA(8) crosses above EMA(20); short on downward cross.</w:t>
            </w:r>
          </w:p>
        </w:tc>
        <w:tc>
          <w:tcPr>
            <w:tcW w:type="dxa" w:w="3120"/>
          </w:tcPr>
          <w:p>
            <w:r>
              <w:rPr>
                <w:sz w:val="20"/>
              </w:rPr>
              <w:t>Trend-following</w:t>
            </w:r>
          </w:p>
        </w:tc>
      </w:tr>
      <w:tr>
        <w:tc>
          <w:tcPr>
            <w:tcW w:type="dxa" w:w="3120"/>
          </w:tcPr>
          <w:p>
            <w:r>
              <w:rPr>
                <w:sz w:val="20"/>
              </w:rPr>
              <w:t>SuperTrend</w:t>
            </w:r>
          </w:p>
        </w:tc>
        <w:tc>
          <w:tcPr>
            <w:tcW w:type="dxa" w:w="3120"/>
          </w:tcPr>
          <w:p>
            <w:r>
              <w:rPr>
                <w:sz w:val="20"/>
              </w:rPr>
              <w:t>Enter long when direction flips to +1; enter short when direction flips to −1.</w:t>
            </w:r>
          </w:p>
        </w:tc>
        <w:tc>
          <w:tcPr>
            <w:tcW w:type="dxa" w:w="3120"/>
          </w:tcPr>
          <w:p>
            <w:r>
              <w:rPr>
                <w:sz w:val="20"/>
              </w:rPr>
              <w:t>Trend-following</w:t>
            </w:r>
          </w:p>
        </w:tc>
      </w:tr>
      <w:tr>
        <w:tc>
          <w:tcPr>
            <w:tcW w:type="dxa" w:w="3120"/>
          </w:tcPr>
          <w:p>
            <w:r>
              <w:rPr>
                <w:sz w:val="20"/>
              </w:rPr>
              <w:t>Z-Score</w:t>
            </w:r>
          </w:p>
        </w:tc>
        <w:tc>
          <w:tcPr>
            <w:tcW w:type="dxa" w:w="3120"/>
          </w:tcPr>
          <w:p>
            <w:r>
              <w:rPr>
                <w:sz w:val="20"/>
              </w:rPr>
              <w:t>Enter long when Z-Score crosses below −2.0; short when crosses above +2.0.</w:t>
            </w:r>
          </w:p>
        </w:tc>
        <w:tc>
          <w:tcPr>
            <w:tcW w:type="dxa" w:w="3120"/>
          </w:tcPr>
          <w:p>
            <w:r>
              <w:rPr>
                <w:sz w:val="20"/>
              </w:rPr>
              <w:t>Mean-reversion</w:t>
            </w:r>
          </w:p>
        </w:tc>
      </w:tr>
      <w:tr>
        <w:tc>
          <w:tcPr>
            <w:tcW w:type="dxa" w:w="3120"/>
          </w:tcPr>
          <w:p>
            <w:r>
              <w:rPr>
                <w:sz w:val="20"/>
              </w:rPr>
              <w:t>Multi-Indicator</w:t>
            </w:r>
          </w:p>
        </w:tc>
        <w:tc>
          <w:tcPr>
            <w:tcW w:type="dxa" w:w="3120"/>
          </w:tcPr>
          <w:p>
            <w:r>
              <w:rPr>
                <w:sz w:val="20"/>
              </w:rPr>
              <w:t>Enter long when ≥3 buy signals align; short when ≥3 sell signals align.</w:t>
            </w:r>
          </w:p>
        </w:tc>
        <w:tc>
          <w:tcPr>
            <w:tcW w:type="dxa" w:w="3120"/>
          </w:tcPr>
          <w:p>
            <w:r>
              <w:rPr>
                <w:sz w:val="20"/>
              </w:rPr>
              <w:t>Confluence</w:t>
            </w:r>
          </w:p>
        </w:tc>
      </w:tr>
      <w:tr>
        <w:tc>
          <w:tcPr>
            <w:tcW w:type="dxa" w:w="3120"/>
          </w:tcPr>
          <w:p>
            <w:r>
              <w:rPr>
                <w:sz w:val="20"/>
              </w:rPr>
              <w:t>AI Signals</w:t>
            </w:r>
          </w:p>
        </w:tc>
        <w:tc>
          <w:tcPr>
            <w:tcW w:type="dxa" w:w="3120"/>
          </w:tcPr>
          <w:p>
            <w:r>
              <w:rPr>
                <w:sz w:val="20"/>
              </w:rPr>
              <w:t>Uses the signal generation engine's weighted voting output.</w:t>
            </w:r>
          </w:p>
        </w:tc>
        <w:tc>
          <w:tcPr>
            <w:tcW w:type="dxa" w:w="3120"/>
          </w:tcPr>
          <w:p>
            <w:r>
              <w:rPr>
                <w:sz w:val="20"/>
              </w:rPr>
              <w:t>Rule-based aggregate</w:t>
            </w:r>
          </w:p>
        </w:tc>
      </w:tr>
    </w:tbl>
    <w:p>
      <w:r>
        <w:br w:type="page"/>
      </w:r>
    </w:p>
    <w:p>
      <w:pPr>
        <w:pStyle w:val="Heading1"/>
      </w:pPr>
      <w:r>
        <w:rPr>
          <w:color w:val="1A1A2E"/>
        </w:rPr>
        <w:t>9. Technology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Layer</w:t>
            </w:r>
          </w:p>
        </w:tc>
        <w:tc>
          <w:tcPr>
            <w:tcW w:type="dxa" w:w="3120"/>
          </w:tcPr>
          <w:p>
            <w:r>
              <w:rPr>
                <w:b/>
                <w:sz w:val="20"/>
              </w:rPr>
              <w:t>Technology</w:t>
            </w:r>
          </w:p>
        </w:tc>
        <w:tc>
          <w:tcPr>
            <w:tcW w:type="dxa" w:w="3120"/>
          </w:tcPr>
          <w:p>
            <w:r>
              <w:rPr>
                <w:b/>
                <w:sz w:val="20"/>
              </w:rPr>
              <w:t>Purpose</w:t>
            </w:r>
          </w:p>
        </w:tc>
      </w:tr>
      <w:tr>
        <w:tc>
          <w:tcPr>
            <w:tcW w:type="dxa" w:w="3120"/>
          </w:tcPr>
          <w:p>
            <w:r>
              <w:rPr>
                <w:sz w:val="20"/>
              </w:rPr>
              <w:t>Framework</w:t>
            </w:r>
          </w:p>
        </w:tc>
        <w:tc>
          <w:tcPr>
            <w:tcW w:type="dxa" w:w="3120"/>
          </w:tcPr>
          <w:p>
            <w:r>
              <w:rPr>
                <w:sz w:val="20"/>
              </w:rPr>
              <w:t>Next.js 16 (App Router, Turbopack)</w:t>
            </w:r>
          </w:p>
        </w:tc>
        <w:tc>
          <w:tcPr>
            <w:tcW w:type="dxa" w:w="3120"/>
          </w:tcPr>
          <w:p>
            <w:r>
              <w:rPr>
                <w:sz w:val="20"/>
              </w:rPr>
              <w:t>SSR, API routes, file-based routing</w:t>
            </w:r>
          </w:p>
        </w:tc>
      </w:tr>
      <w:tr>
        <w:tc>
          <w:tcPr>
            <w:tcW w:type="dxa" w:w="3120"/>
          </w:tcPr>
          <w:p>
            <w:r>
              <w:rPr>
                <w:sz w:val="20"/>
              </w:rPr>
              <w:t>Language</w:t>
            </w:r>
          </w:p>
        </w:tc>
        <w:tc>
          <w:tcPr>
            <w:tcW w:type="dxa" w:w="3120"/>
          </w:tcPr>
          <w:p>
            <w:r>
              <w:rPr>
                <w:sz w:val="20"/>
              </w:rPr>
              <w:t>TypeScript</w:t>
            </w:r>
          </w:p>
        </w:tc>
        <w:tc>
          <w:tcPr>
            <w:tcW w:type="dxa" w:w="3120"/>
          </w:tcPr>
          <w:p>
            <w:r>
              <w:rPr>
                <w:sz w:val="20"/>
              </w:rPr>
              <w:t>Type safety for numeric/financial data</w:t>
            </w:r>
          </w:p>
        </w:tc>
      </w:tr>
      <w:tr>
        <w:tc>
          <w:tcPr>
            <w:tcW w:type="dxa" w:w="3120"/>
          </w:tcPr>
          <w:p>
            <w:r>
              <w:rPr>
                <w:sz w:val="20"/>
              </w:rPr>
              <w:t>UI Library</w:t>
            </w:r>
          </w:p>
        </w:tc>
        <w:tc>
          <w:tcPr>
            <w:tcW w:type="dxa" w:w="3120"/>
          </w:tcPr>
          <w:p>
            <w:r>
              <w:rPr>
                <w:sz w:val="20"/>
              </w:rPr>
              <w:t>React 19</w:t>
            </w:r>
          </w:p>
        </w:tc>
        <w:tc>
          <w:tcPr>
            <w:tcW w:type="dxa" w:w="3120"/>
          </w:tcPr>
          <w:p>
            <w:r>
              <w:rPr>
                <w:sz w:val="20"/>
              </w:rPr>
              <w:t>Component-based interactive UI</w:t>
            </w:r>
          </w:p>
        </w:tc>
      </w:tr>
      <w:tr>
        <w:tc>
          <w:tcPr>
            <w:tcW w:type="dxa" w:w="3120"/>
          </w:tcPr>
          <w:p>
            <w:r>
              <w:rPr>
                <w:sz w:val="20"/>
              </w:rPr>
              <w:t>Styling</w:t>
            </w:r>
          </w:p>
        </w:tc>
        <w:tc>
          <w:tcPr>
            <w:tcW w:type="dxa" w:w="3120"/>
          </w:tcPr>
          <w:p>
            <w:r>
              <w:rPr>
                <w:sz w:val="20"/>
              </w:rPr>
              <w:t>Tailwind CSS v4</w:t>
            </w:r>
          </w:p>
        </w:tc>
        <w:tc>
          <w:tcPr>
            <w:tcW w:type="dxa" w:w="3120"/>
          </w:tcPr>
          <w:p>
            <w:r>
              <w:rPr>
                <w:sz w:val="20"/>
              </w:rPr>
              <w:t>Utility-first responsive design</w:t>
            </w:r>
          </w:p>
        </w:tc>
      </w:tr>
      <w:tr>
        <w:tc>
          <w:tcPr>
            <w:tcW w:type="dxa" w:w="3120"/>
          </w:tcPr>
          <w:p>
            <w:r>
              <w:rPr>
                <w:sz w:val="20"/>
              </w:rPr>
              <w:t>Charts</w:t>
            </w:r>
          </w:p>
        </w:tc>
        <w:tc>
          <w:tcPr>
            <w:tcW w:type="dxa" w:w="3120"/>
          </w:tcPr>
          <w:p>
            <w:r>
              <w:rPr>
                <w:sz w:val="20"/>
              </w:rPr>
              <w:t>Recharts</w:t>
            </w:r>
          </w:p>
        </w:tc>
        <w:tc>
          <w:tcPr>
            <w:tcW w:type="dxa" w:w="3120"/>
          </w:tcPr>
          <w:p>
            <w:r>
              <w:rPr>
                <w:sz w:val="20"/>
              </w:rPr>
              <w:t>Interactive line, bar, area, and composed charts</w:t>
            </w:r>
          </w:p>
        </w:tc>
      </w:tr>
      <w:tr>
        <w:tc>
          <w:tcPr>
            <w:tcW w:type="dxa" w:w="3120"/>
          </w:tcPr>
          <w:p>
            <w:r>
              <w:rPr>
                <w:sz w:val="20"/>
              </w:rPr>
              <w:t>Candlestick</w:t>
            </w:r>
          </w:p>
        </w:tc>
        <w:tc>
          <w:tcPr>
            <w:tcW w:type="dxa" w:w="3120"/>
          </w:tcPr>
          <w:p>
            <w:r>
              <w:rPr>
                <w:sz w:val="20"/>
              </w:rPr>
              <w:t>HTML5 Canvas API</w:t>
            </w:r>
          </w:p>
        </w:tc>
        <w:tc>
          <w:tcPr>
            <w:tcW w:type="dxa" w:w="3120"/>
          </w:tcPr>
          <w:p>
            <w:r>
              <w:rPr>
                <w:sz w:val="20"/>
              </w:rPr>
              <w:t>Custom-drawn OHLC candlestick chart</w:t>
            </w:r>
          </w:p>
        </w:tc>
      </w:tr>
      <w:tr>
        <w:tc>
          <w:tcPr>
            <w:tcW w:type="dxa" w:w="3120"/>
          </w:tcPr>
          <w:p>
            <w:r>
              <w:rPr>
                <w:sz w:val="20"/>
              </w:rPr>
              <w:t>Data (Crypto)</w:t>
            </w:r>
          </w:p>
        </w:tc>
        <w:tc>
          <w:tcPr>
            <w:tcW w:type="dxa" w:w="3120"/>
          </w:tcPr>
          <w:p>
            <w:r>
              <w:rPr>
                <w:sz w:val="20"/>
              </w:rPr>
              <w:t>CoinGecko API + Binance WebSocket</w:t>
            </w:r>
          </w:p>
        </w:tc>
        <w:tc>
          <w:tcPr>
            <w:tcW w:type="dxa" w:w="3120"/>
          </w:tcPr>
          <w:p>
            <w:r>
              <w:rPr>
                <w:sz w:val="20"/>
              </w:rPr>
              <w:t>Live OHLCV + real-time tick stream</w:t>
            </w:r>
          </w:p>
        </w:tc>
      </w:tr>
      <w:tr>
        <w:tc>
          <w:tcPr>
            <w:tcW w:type="dxa" w:w="3120"/>
          </w:tcPr>
          <w:p>
            <w:r>
              <w:rPr>
                <w:sz w:val="20"/>
              </w:rPr>
              <w:t>Data (Stocks)</w:t>
            </w:r>
          </w:p>
        </w:tc>
        <w:tc>
          <w:tcPr>
            <w:tcW w:type="dxa" w:w="3120"/>
          </w:tcPr>
          <w:p>
            <w:r>
              <w:rPr>
                <w:sz w:val="20"/>
              </w:rPr>
              <w:t>Mock Generators</w:t>
            </w:r>
          </w:p>
        </w:tc>
        <w:tc>
          <w:tcPr>
            <w:tcW w:type="dxa" w:w="3120"/>
          </w:tcPr>
          <w:p>
            <w:r>
              <w:rPr>
                <w:sz w:val="20"/>
              </w:rPr>
              <w:t>Realistic simulated market data</w:t>
            </w:r>
          </w:p>
        </w:tc>
      </w:tr>
      <w:tr>
        <w:tc>
          <w:tcPr>
            <w:tcW w:type="dxa" w:w="3120"/>
          </w:tcPr>
          <w:p>
            <w:r>
              <w:rPr>
                <w:sz w:val="20"/>
              </w:rPr>
              <w:t>State</w:t>
            </w:r>
          </w:p>
        </w:tc>
        <w:tc>
          <w:tcPr>
            <w:tcW w:type="dxa" w:w="3120"/>
          </w:tcPr>
          <w:p>
            <w:r>
              <w:rPr>
                <w:sz w:val="20"/>
              </w:rPr>
              <w:t>React useState/useEffect hooks</w:t>
            </w:r>
          </w:p>
        </w:tc>
        <w:tc>
          <w:tcPr>
            <w:tcW w:type="dxa" w:w="3120"/>
          </w:tcPr>
          <w:p>
            <w:r>
              <w:rPr>
                <w:sz w:val="20"/>
              </w:rPr>
              <w:t>Client-side state management</w:t>
            </w:r>
          </w:p>
        </w:tc>
      </w:tr>
      <w:tr>
        <w:tc>
          <w:tcPr>
            <w:tcW w:type="dxa" w:w="3120"/>
          </w:tcPr>
          <w:p>
            <w:r>
              <w:rPr>
                <w:sz w:val="20"/>
              </w:rPr>
              <w:t>Theme</w:t>
            </w:r>
          </w:p>
        </w:tc>
        <w:tc>
          <w:tcPr>
            <w:tcW w:type="dxa" w:w="3120"/>
          </w:tcPr>
          <w:p>
            <w:r>
              <w:rPr>
                <w:sz w:val="20"/>
              </w:rPr>
              <w:t>next-themes</w:t>
            </w:r>
          </w:p>
        </w:tc>
        <w:tc>
          <w:tcPr>
            <w:tcW w:type="dxa" w:w="3120"/>
          </w:tcPr>
          <w:p>
            <w:r>
              <w:rPr>
                <w:sz w:val="20"/>
              </w:rPr>
              <w:t>Dark/light mode toggle</w:t>
            </w:r>
          </w:p>
        </w:tc>
      </w:tr>
    </w:tbl>
    <w:p>
      <w:r>
        <w:br w:type="page"/>
      </w:r>
    </w:p>
    <w:p>
      <w:pPr>
        <w:pStyle w:val="Heading1"/>
      </w:pPr>
      <w:r>
        <w:rPr>
          <w:color w:val="1A1A2E"/>
        </w:rPr>
        <w:t>10. Conclusion</w:t>
      </w:r>
    </w:p>
    <w:p>
      <w:r>
        <w:rPr>
          <w:rFonts w:ascii="Calibri" w:hAnsi="Calibri"/>
          <w:b w:val="0"/>
          <w:i w:val="0"/>
          <w:sz w:val="22"/>
        </w:rPr>
        <w:t>The Stock Trend Predictor demonstrates a complete quantitative analysis pipeline — from live data ingestion, through mathematical indicator computation, to strategy backtesting with risk-adjusted performance evaluation. The 12 hand-coded indicators cover momentum (RSI, Stochastic, MFI), trend (EMA, MACD, SuperTrend, ADX), volatility (Bollinger Bands, ATR, Z-Score), and volume analysis (OBV, VWAP).</w:t>
      </w:r>
    </w:p>
    <w:p>
      <w:r>
        <w:rPr>
          <w:rFonts w:ascii="Calibri" w:hAnsi="Calibri"/>
          <w:b w:val="0"/>
          <w:i w:val="0"/>
          <w:sz w:val="22"/>
        </w:rPr>
        <w:t>The backtesting engine provides a rigorous framework for evaluating trading strategies, computing Sharpe Ratio, Sortino Ratio, maximum drawdown, and profit factor — metrics used by institutional trading desks to assess strategy viability.</w:t>
      </w:r>
    </w:p>
    <w:p>
      <w:r>
        <w:rPr>
          <w:rFonts w:ascii="Calibri" w:hAnsi="Calibri"/>
          <w:b w:val="0"/>
          <w:i w:val="0"/>
          <w:sz w:val="22"/>
        </w:rPr>
        <w:t>The signal generation engine aggregates indicator outputs through weighted voting, producing buy/hold/sell recommendations with calibrated confidence scores. This approach mirrors how professional quantitative analysts combine multiple signals for decision-making under uncertainty.</w:t>
      </w:r>
    </w:p>
    <w:p>
      <w:r>
        <w:rPr>
          <w:rFonts w:ascii="Calibri" w:hAnsi="Calibri"/>
          <w:b/>
          <w:i w:val="0"/>
          <w:sz w:val="22"/>
        </w:rPr>
        <w:t>Known Limitations &amp; Future Work:</w:t>
      </w:r>
    </w:p>
    <w:p>
      <w:pPr>
        <w:pStyle w:val="ListBullet"/>
        <w:ind w:left="720"/>
      </w:pPr>
      <w:r>
        <w:t>Indicators are lagging by construction (derived from past prices).</w:t>
      </w:r>
    </w:p>
    <w:p>
      <w:pPr>
        <w:pStyle w:val="ListBullet"/>
        <w:ind w:left="720"/>
      </w:pPr>
      <w:r>
        <w:t>Walk-forward validation with rolling train/test windows is not yet implemented.</w:t>
      </w:r>
    </w:p>
    <w:p>
      <w:pPr>
        <w:pStyle w:val="ListBullet"/>
        <w:ind w:left="720"/>
      </w:pPr>
      <w:r>
        <w:t>Transaction cost modeling in the signal engine (separate from backtester) is pending.</w:t>
      </w:r>
    </w:p>
    <w:p>
      <w:pPr>
        <w:pStyle w:val="ListBullet"/>
        <w:ind w:left="720"/>
      </w:pPr>
      <w:r>
        <w:t>Indian stock data is simulated; integration with a live NSE/BSE API feed is planned.</w:t>
      </w:r>
    </w:p>
    <w:p>
      <w:pPr>
        <w:pStyle w:val="ListBullet"/>
        <w:ind w:left="720"/>
      </w:pPr>
      <w:r>
        <w:t>The prediction confidence cap (0.85) is heuristic, not statistically calibrated.</w:t>
      </w:r>
    </w:p>
    <w:p/>
    <w:p>
      <w:r>
        <w:rPr>
          <w:rFonts w:ascii="Calibri" w:hAnsi="Calibri"/>
          <w:b w:val="0"/>
          <w:i/>
          <w:sz w:val="22"/>
        </w:rPr>
        <w:t>Despite these limitations, the project provides a solid foundation for understanding how technical analysis, signal generation, and backtesting work in practice — and more importantly, why predicting market movements with consistent risk-adjusted profitability is fundamentally challenging.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