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color w:val="888888"/>
          <w:sz w:val="20"/>
          <w:szCs w:val="20"/>
        </w:rPr>
        <w:t xml:space="preserve">ET AI HACKATHON 2026</w:t>
      </w:r>
    </w:p>
    <w:p>
      <w:pPr>
        <w:spacing w:before="0" w:after="160"/>
        <w:jc w:val="center"/>
      </w:pPr>
      <w:r>
        <w:rPr>
          <w:b/>
          <w:bCs/>
          <w:color w:val="1F3864"/>
          <w:sz w:val="56"/>
          <w:szCs w:val="56"/>
        </w:rPr>
        <w:t xml:space="preserve">ET AI Money Mentor</w:t>
      </w:r>
    </w:p>
    <w:p>
      <w:pPr>
        <w:spacing w:before="0" w:after="80"/>
        <w:jc w:val="center"/>
      </w:pPr>
      <w:r>
        <w:rPr>
          <w:color w:val="2E5B8A"/>
          <w:sz w:val="28"/>
          <w:szCs w:val="28"/>
        </w:rPr>
        <w:t xml:space="preserve">Track 9 — Architecture Document</w:t>
      </w:r>
    </w:p>
    <w:p>
      <w:pPr>
        <w:spacing w:before="0" w:after="720"/>
        <w:jc w:val="center"/>
      </w:pPr>
      <w:r>
        <w:rPr>
          <w:color w:val="555555"/>
          <w:sz w:val="22"/>
          <w:szCs w:val="22"/>
        </w:rPr>
        <w:t xml:space="preserve">Multi-Agent Financial Planning System | Avataar.ai × Economic Times</w:t>
      </w:r>
    </w:p>
    <w:p>
      <w:pPr>
        <w:pBdr>
          <w:bottom w:val="single" w:color="2E5B8A" w:sz="4" w:space="1"/>
        </w:pBdr>
        <w:spacing w:before="200" w:after="200"/>
      </w:pPr>
      <w:r>
        <w:t xml:space="preserve"/>
      </w:r>
    </w:p>
    <w:p>
      <w:pPr>
        <w:pStyle w:val="Heading1"/>
        <w:spacing w:before="360" w:after="160"/>
      </w:pPr>
      <w:r>
        <w:rPr>
          <w:b/>
          <w:bCs/>
          <w:color w:val="1F3864"/>
          <w:sz w:val="32"/>
          <w:szCs w:val="32"/>
        </w:rPr>
        <w:t xml:space="preserve">1. System Overview</w:t>
      </w:r>
    </w:p>
    <w:p>
      <w:pPr>
        <w:spacing w:before="60" w:after="60"/>
      </w:pPr>
      <w:r>
        <w:rPr>
          <w:sz w:val="22"/>
          <w:szCs w:val="22"/>
        </w:rPr>
        <w:t xml:space="preserve">ET AI Money Mentor is a multi-agent AI system that autonomously guides Indian retail investors from financial confusion to a personalised, actionable financial plan. The system covers six integrated modules: FIRE Path Planning, Tax Optimisation, MF Portfolio X-Ray, Money Health Score, Life Event Advice, and Couples Planning.</w:t>
      </w:r>
    </w:p>
    <w:p>
      <w:pPr>
        <w:spacing w:before="60" w:after="60"/>
      </w:pPr>
      <w:r>
        <w:rPr>
          <w:sz w:val="22"/>
          <w:szCs w:val="22"/>
        </w:rPr>
        <w:t xml:space="preserve">Every analysis pipeline completes 5+ sequential steps without human intervention, per the hackathon's agentic architecture requirement. All financial calculations include step-by-step audit trails to ensure verifiability and regulatory compliance.</w:t>
      </w:r>
    </w:p>
    <w:p>
      <w:pPr>
        <w:pBdr>
          <w:bottom w:val="single" w:color="2E5B8A" w:sz="4" w:space="1"/>
        </w:pBdr>
        <w:spacing w:before="200" w:after="200"/>
      </w:pPr>
      <w:r>
        <w:t xml:space="preserve"/>
      </w:r>
    </w:p>
    <w:p>
      <w:pPr>
        <w:pStyle w:val="Heading1"/>
        <w:spacing w:before="360" w:after="160"/>
      </w:pPr>
      <w:r>
        <w:rPr>
          <w:b/>
          <w:bCs/>
          <w:color w:val="1F3864"/>
          <w:sz w:val="32"/>
          <w:szCs w:val="32"/>
        </w:rPr>
        <w:t xml:space="preserve">2. Agent Architecture</w:t>
      </w:r>
    </w:p>
    <w:p>
      <w:pPr>
        <w:pStyle w:val="Heading2"/>
        <w:spacing w:before="280" w:after="120"/>
      </w:pPr>
      <w:r>
        <w:rPr>
          <w:b/>
          <w:bCs/>
          <w:color w:val="2E5B8A"/>
          <w:sz w:val="26"/>
          <w:szCs w:val="26"/>
        </w:rPr>
        <w:t xml:space="preserve">2.1 Agent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Agent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Key Tools</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LLM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bCs/>
                <w:sz w:val="20"/>
                <w:szCs w:val="20"/>
              </w:rPr>
              <w:t xml:space="preserve">Orchestrator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Intent classification, module routing, state management via LangGraph StateGraph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MemorySaver, Intent classifier</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Claude Haiku (cost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bCs/>
                <w:sz w:val="20"/>
                <w:szCs w:val="20"/>
              </w:rPr>
              <w:t xml:space="preserve">Intake 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Progressive data collection, field validation, natural language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Field mapper, Money parser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Claude Sonnet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bCs/>
                <w:sz w:val="20"/>
                <w:szCs w:val="20"/>
              </w:rPr>
              <w:t xml:space="preserve">FIRE Planner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Corpus calculation, SIP breakdown, glidepath, insurance gap analysis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financial_calculators.py</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Pure Python + LLM narrative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bCs/>
                <w:sz w:val="20"/>
                <w:szCs w:val="20"/>
              </w:rPr>
              <w:t xml:space="preserve">Tax Wizard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Old/New regime comparison, deduction optimisation, instrument ranking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tax_calculator.py (FY25-26)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Pure Python + LLM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bCs/>
                <w:sz w:val="20"/>
                <w:szCs w:val="20"/>
              </w:rPr>
              <w:t xml:space="preserve">MF X-Ray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CAMS parsing, XIRR, overlap matrix, tax-aware rebalancing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XIRR engine, Overlap calc</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Pure Python + LLM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bCs/>
                <w:sz w:val="20"/>
                <w:szCs w:val="20"/>
              </w:rPr>
              <w:t xml:space="preserve">Health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6-dimension financial wellness scoring, priority action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Scoring rubrics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Claude Sonnet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bCs/>
                <w:sz w:val="20"/>
                <w:szCs w:val="20"/>
              </w:rPr>
              <w:t xml:space="preserve">Life Event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Event-triggered advice: bonus, marriage, baby, inheritance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Event handlers</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Claude Sonnet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bCs/>
                <w:sz w:val="20"/>
                <w:szCs w:val="20"/>
              </w:rPr>
              <w:t xml:space="preserve">Couples Planner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Joint income optimisation: HRA, NPS, SIP splits, combined net worth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Dual-profile state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Claude Sonnet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20" w:after="20"/>
            </w:pPr>
            <w:r>
              <w:rPr>
                <w:b/>
                <w:bCs/>
                <w:sz w:val="20"/>
                <w:szCs w:val="20"/>
              </w:rPr>
              <w:t xml:space="preserve">Compliance Layer</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20" w:after="20"/>
            </w:pPr>
            <w:r>
              <w:rPr>
                <w:b w:val="false"/>
                <w:bCs w:val="false"/>
                <w:sz w:val="20"/>
                <w:szCs w:val="20"/>
              </w:rPr>
              <w:t xml:space="preserve">SEBI/RBI disclaimer injection, risky language detection, STCG/LTCG flagging</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20" w:after="20"/>
            </w:pPr>
            <w:r>
              <w:rPr>
                <w:b w:val="false"/>
                <w:bCs w:val="false"/>
                <w:sz w:val="20"/>
                <w:szCs w:val="20"/>
              </w:rPr>
              <w:t xml:space="preserve">Rule-based validator</w:t>
            </w:r>
          </w:p>
        </w:tc>
        <w:tc>
          <w:tcPr>
            <w:tcW w:type="dxa" w:w="22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20" w:after="20"/>
            </w:pPr>
            <w:r>
              <w:rPr>
                <w:b w:val="false"/>
                <w:bCs w:val="false"/>
                <w:sz w:val="20"/>
                <w:szCs w:val="20"/>
              </w:rPr>
              <w:t xml:space="preserve">Rule-based (no LLM)</w:t>
            </w:r>
          </w:p>
        </w:tc>
      </w:tr>
    </w:tbl>
    <w:p>
      <w:pPr>
        <w:spacing w:before="240" w:after="0"/>
      </w:pPr>
      <w:r>
        <w:t xml:space="preserve"/>
      </w:r>
    </w:p>
    <w:p>
      <w:pPr>
        <w:pStyle w:val="Heading2"/>
        <w:spacing w:before="280" w:after="120"/>
      </w:pPr>
      <w:r>
        <w:rPr>
          <w:b/>
          <w:bCs/>
          <w:color w:val="2E5B8A"/>
          <w:sz w:val="26"/>
          <w:szCs w:val="26"/>
        </w:rPr>
        <w:t xml:space="preserve">2.2 Agent Communication Pattern</w:t>
      </w:r>
    </w:p>
    <w:p>
      <w:pPr>
        <w:spacing w:before="60" w:after="60"/>
      </w:pPr>
      <w:r>
        <w:rPr>
          <w:sz w:val="22"/>
          <w:szCs w:val="22"/>
        </w:rPr>
        <w:t xml:space="preserve">All agents share a typed UserFinancialProfile state object — a Python dataclass that acts as the single source of truth across the entire agent graph. No agent stores state locally. The LangGraph StateGraph ensures deterministic execution order, with conditional edges routing between data collection and specialist execution based on profile completeness.</w:t>
      </w:r>
    </w:p>
    <w:p>
      <w:pPr>
        <w:pStyle w:val="ListParagraph"/>
        <w:numPr>
          <w:ilvl w:val="0"/>
          <w:numId w:val="2"/>
        </w:numPr>
        <w:spacing w:before="40" w:after="40"/>
      </w:pPr>
      <w:r>
        <w:rPr>
          <w:sz w:val="22"/>
          <w:szCs w:val="22"/>
        </w:rPr>
        <w:t xml:space="preserve">Orchestrator → classifies intent using Claude Haiku (cheap, fast)</w:t>
      </w:r>
    </w:p>
    <w:p>
      <w:pPr>
        <w:pStyle w:val="ListParagraph"/>
        <w:numPr>
          <w:ilvl w:val="0"/>
          <w:numId w:val="2"/>
        </w:numPr>
        <w:spacing w:before="40" w:after="40"/>
      </w:pPr>
      <w:r>
        <w:rPr>
          <w:sz w:val="22"/>
          <w:szCs w:val="22"/>
        </w:rPr>
        <w:t xml:space="preserve">Orchestrator → checks profile completeness against module requirements</w:t>
      </w:r>
    </w:p>
    <w:p>
      <w:pPr>
        <w:pStyle w:val="ListParagraph"/>
        <w:numPr>
          <w:ilvl w:val="0"/>
          <w:numId w:val="2"/>
        </w:numPr>
        <w:spacing w:before="40" w:after="40"/>
      </w:pPr>
      <w:r>
        <w:rPr>
          <w:sz w:val="22"/>
          <w:szCs w:val="22"/>
        </w:rPr>
        <w:t xml:space="preserve">Intake Agent → loops until required fields are filled (conversational)</w:t>
      </w:r>
    </w:p>
    <w:p>
      <w:pPr>
        <w:pStyle w:val="ListParagraph"/>
        <w:numPr>
          <w:ilvl w:val="0"/>
          <w:numId w:val="2"/>
        </w:numPr>
        <w:spacing w:before="40" w:after="40"/>
      </w:pPr>
      <w:r>
        <w:rPr>
          <w:sz w:val="22"/>
          <w:szCs w:val="22"/>
        </w:rPr>
        <w:t xml:space="preserve">Specialist Agent → runs autonomous 5-6 step pipeline</w:t>
      </w:r>
    </w:p>
    <w:p>
      <w:pPr>
        <w:pStyle w:val="ListParagraph"/>
        <w:numPr>
          <w:ilvl w:val="0"/>
          <w:numId w:val="2"/>
        </w:numPr>
        <w:spacing w:before="40" w:after="40"/>
      </w:pPr>
      <w:r>
        <w:rPr>
          <w:sz w:val="22"/>
          <w:szCs w:val="22"/>
        </w:rPr>
        <w:t xml:space="preserve">Compliance Layer → appended to every output before delivery</w:t>
      </w:r>
    </w:p>
    <w:p>
      <w:pPr>
        <w:pStyle w:val="ListParagraph"/>
        <w:numPr>
          <w:ilvl w:val="0"/>
          <w:numId w:val="2"/>
        </w:numPr>
        <w:spacing w:before="40" w:after="40"/>
      </w:pPr>
      <w:r>
        <w:rPr>
          <w:sz w:val="22"/>
          <w:szCs w:val="22"/>
        </w:rPr>
        <w:t xml:space="preserve">MemorySaver checkpointer → preserves state across conversation turns</w:t>
      </w:r>
    </w:p>
    <w:p>
      <w:pPr>
        <w:pBdr>
          <w:bottom w:val="single" w:color="2E5B8A" w:sz="4" w:space="1"/>
        </w:pBdr>
        <w:spacing w:before="200" w:after="200"/>
      </w:pPr>
      <w:r>
        <w:t xml:space="preserve"/>
      </w:r>
    </w:p>
    <w:p>
      <w:pPr>
        <w:pStyle w:val="Heading1"/>
        <w:spacing w:before="360" w:after="160"/>
      </w:pPr>
      <w:r>
        <w:rPr>
          <w:b/>
          <w:bCs/>
          <w:color w:val="1F3864"/>
          <w:sz w:val="32"/>
          <w:szCs w:val="32"/>
        </w:rPr>
        <w:t xml:space="preserve">3. Orchestration Pattern (LangGraph StateGraph)</w:t>
      </w:r>
    </w:p>
    <w:p>
      <w:pPr>
        <w:spacing w:before="160" w:after="80"/>
      </w:pPr>
      <w:r>
        <w:rPr>
          <w:b/>
          <w:bCs/>
          <w:color w:val="2E5B8A"/>
          <w:sz w:val="22"/>
          <w:szCs w:val="22"/>
        </w:rPr>
        <w:t xml:space="preserve">Graph Execution Flow (ASCII Diagram)</w:t>
      </w:r>
    </w:p>
    <w:p>
      <w:pPr>
        <w:spacing w:before="120" w:after="240"/>
      </w:pPr>
      <w:r>
        <w:rPr>
          <w:rFonts w:ascii="Courier New" w:cs="Courier New" w:eastAsia="Courier New" w:hAnsi="Courier New"/>
          <w:color w:val="333333"/>
          <w:sz w:val="18"/>
          <w:szCs w:val="18"/>
        </w:rPr>
        <w:t xml:space="preserve">  User Message
       │
       ▼
  ┌────────────────────┐
  │  classify_intent   │  ← Claude Haiku (cost-optimised)
  │  (small LLM)       │
  └────────┬───────────┘
           │
     ┌─────┴──────────────┐
     │                    │
     ▼                    ▼
  profile            profile
  incomplete         complete
     │                    │
     ▼                    ▼
  collect_data     run_specialist
  (Intake Agent)   (FIRE / Tax / MF
     │              X-Ray / Health /
     │              Life / Couples)
     │                    │
     └────────┐           ▼
              │        Compliance
              │        Layer
              │           │
     ◄─────────┘           ▼
  (loop until          Final Output
   data complete)      to User</w:t>
      </w:r>
    </w:p>
    <w:p>
      <w:pPr>
        <w:pStyle w:val="Heading2"/>
        <w:spacing w:before="280" w:after="120"/>
      </w:pPr>
      <w:r>
        <w:rPr>
          <w:b/>
          <w:bCs/>
          <w:color w:val="2E5B8A"/>
          <w:sz w:val="26"/>
          <w:szCs w:val="26"/>
        </w:rPr>
        <w:t xml:space="preserve">3.1 Cost Efficiency Strategy</w:t>
      </w:r>
    </w:p>
    <w:p>
      <w:pPr>
        <w:spacing w:before="60" w:after="60"/>
      </w:pPr>
      <w:r>
        <w:rPr>
          <w:sz w:val="22"/>
          <w:szCs w:val="22"/>
        </w:rPr>
        <w:t xml:space="preserve">The system uses a two-tier LLM routing strategy to optimise cost without compromising quality:</w:t>
      </w:r>
    </w:p>
    <w:p>
      <w:pPr>
        <w:pStyle w:val="ListParagraph"/>
        <w:numPr>
          <w:ilvl w:val="0"/>
          <w:numId w:val="2"/>
        </w:numPr>
        <w:spacing w:before="40" w:after="40"/>
      </w:pPr>
      <w:r>
        <w:rPr>
          <w:sz w:val="22"/>
          <w:szCs w:val="22"/>
        </w:rPr>
        <w:t xml:space="preserve">Claude Haiku — intent classification only (fast, cheap, 2-3 token decisions)</w:t>
      </w:r>
    </w:p>
    <w:p>
      <w:pPr>
        <w:pStyle w:val="ListParagraph"/>
        <w:numPr>
          <w:ilvl w:val="0"/>
          <w:numId w:val="2"/>
        </w:numPr>
        <w:spacing w:before="40" w:after="40"/>
      </w:pPr>
      <w:r>
        <w:rPr>
          <w:sz w:val="22"/>
          <w:szCs w:val="22"/>
        </w:rPr>
        <w:t xml:space="preserve">Claude Sonnet — complex reasoning: FIRE narrative, tax explanation, rebalancing rationale</w:t>
      </w:r>
    </w:p>
    <w:p>
      <w:pPr>
        <w:pStyle w:val="ListParagraph"/>
        <w:numPr>
          <w:ilvl w:val="0"/>
          <w:numId w:val="2"/>
        </w:numPr>
        <w:spacing w:before="40" w:after="40"/>
      </w:pPr>
      <w:r>
        <w:rPr>
          <w:sz w:val="22"/>
          <w:szCs w:val="22"/>
        </w:rPr>
        <w:t xml:space="preserve">Pure Python — all financial calculations (numpy/scipy): XIRR, SIP, overlap matrix, tax slabs</w:t>
      </w:r>
    </w:p>
    <w:p>
      <w:pPr>
        <w:spacing w:before="60" w:after="60"/>
      </w:pPr>
      <w:r>
        <w:rPr>
          <w:sz w:val="22"/>
          <w:szCs w:val="22"/>
        </w:rPr>
        <w:t xml:space="preserve">Estimated cost reduction vs. routing all queries to Sonnet: ~60-70%, with no degradation in calculation accuracy since math is handled deterministically in Python.</w:t>
      </w:r>
    </w:p>
    <w:p>
      <w:pPr>
        <w:pBdr>
          <w:bottom w:val="single" w:color="2E5B8A" w:sz="4" w:space="1"/>
        </w:pBdr>
        <w:spacing w:before="200" w:after="200"/>
      </w:pPr>
      <w:r>
        <w:t xml:space="preserve"/>
      </w:r>
    </w:p>
    <w:p>
      <w:pPr>
        <w:pStyle w:val="Heading1"/>
        <w:spacing w:before="360" w:after="160"/>
      </w:pPr>
      <w:r>
        <w:rPr>
          <w:b/>
          <w:bCs/>
          <w:color w:val="1F3864"/>
          <w:sz w:val="32"/>
          <w:szCs w:val="32"/>
        </w:rPr>
        <w:t xml:space="preserve">4. Data Flow &amp; Tool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Input Source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Processing Step</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Conversational text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Intake Agent → field parser → UserFinancialProfile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Typed profile state populated progressively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CAMS / KFintech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pdfplumber extraction → MutualFund objects → portfolio 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Structured fund list with NAV, units, holdings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Form 16 / salary slip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LLM extraction → TaxInputs dataclass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Structured tax inputs for calculator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Profile state (all modules)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Specialist agent → financial_calculators.py / tax_calculator.py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Step-by-step verified plan with audit trail</w:t>
            </w:r>
          </w:p>
        </w:tc>
      </w:tr>
    </w:tbl>
    <w:p>
      <w:pPr>
        <w:spacing w:before="240" w:after="0"/>
      </w:pPr>
      <w:r>
        <w:t xml:space="preserve"/>
      </w:r>
    </w:p>
    <w:p>
      <w:pPr>
        <w:pBdr>
          <w:bottom w:val="single" w:color="2E5B8A" w:sz="4" w:space="1"/>
        </w:pBdr>
        <w:spacing w:before="200" w:after="200"/>
      </w:pPr>
      <w:r>
        <w:t xml:space="preserve"/>
      </w:r>
    </w:p>
    <w:p>
      <w:pPr>
        <w:pStyle w:val="Heading1"/>
        <w:spacing w:before="360" w:after="160"/>
      </w:pPr>
      <w:r>
        <w:rPr>
          <w:b/>
          <w:bCs/>
          <w:color w:val="1F3864"/>
          <w:sz w:val="32"/>
          <w:szCs w:val="32"/>
        </w:rPr>
        <w:t xml:space="preserve">5. Enterprise Readiness &amp; Error Handling</w:t>
      </w:r>
    </w:p>
    <w:p>
      <w:pPr>
        <w:pStyle w:val="Heading2"/>
        <w:spacing w:before="280" w:after="120"/>
      </w:pPr>
      <w:r>
        <w:rPr>
          <w:b/>
          <w:bCs/>
          <w:color w:val="2E5B8A"/>
          <w:sz w:val="26"/>
          <w:szCs w:val="26"/>
        </w:rPr>
        <w:t xml:space="preserve">5.1 Graceful Degradation</w:t>
      </w:r>
    </w:p>
    <w:p>
      <w:pPr>
        <w:pStyle w:val="ListParagraph"/>
        <w:numPr>
          <w:ilvl w:val="0"/>
          <w:numId w:val="2"/>
        </w:numPr>
        <w:spacing w:before="40" w:after="40"/>
      </w:pPr>
      <w:r>
        <w:rPr>
          <w:sz w:val="22"/>
          <w:szCs w:val="22"/>
        </w:rPr>
        <w:t xml:space="preserve">If profile data is missing, agent asks for the specific field — never hallucinates defaults</w:t>
      </w:r>
    </w:p>
    <w:p>
      <w:pPr>
        <w:pStyle w:val="ListParagraph"/>
        <w:numPr>
          <w:ilvl w:val="0"/>
          <w:numId w:val="2"/>
        </w:numPr>
        <w:spacing w:before="40" w:after="40"/>
      </w:pPr>
      <w:r>
        <w:rPr>
          <w:sz w:val="22"/>
          <w:szCs w:val="22"/>
        </w:rPr>
        <w:t xml:space="preserve">If LLM API call fails, system falls back to rule-based responses for core calculations</w:t>
      </w:r>
    </w:p>
    <w:p>
      <w:pPr>
        <w:pStyle w:val="ListParagraph"/>
        <w:numPr>
          <w:ilvl w:val="0"/>
          <w:numId w:val="2"/>
        </w:numPr>
        <w:spacing w:before="40" w:after="40"/>
      </w:pPr>
      <w:r>
        <w:rPr>
          <w:sz w:val="22"/>
          <w:szCs w:val="22"/>
        </w:rPr>
        <w:t xml:space="preserve">If CAMS PDF parsing fails, user is offered manual entry as fallback</w:t>
      </w:r>
    </w:p>
    <w:p>
      <w:pPr>
        <w:pStyle w:val="ListParagraph"/>
        <w:numPr>
          <w:ilvl w:val="0"/>
          <w:numId w:val="2"/>
        </w:numPr>
        <w:spacing w:before="40" w:after="40"/>
      </w:pPr>
      <w:r>
        <w:rPr>
          <w:sz w:val="22"/>
          <w:szCs w:val="22"/>
        </w:rPr>
        <w:t xml:space="preserve">All financial calculations wrapped in try/except with meaningful error messages</w:t>
      </w:r>
    </w:p>
    <w:p>
      <w:pPr>
        <w:pStyle w:val="Heading2"/>
        <w:spacing w:before="280" w:after="120"/>
      </w:pPr>
      <w:r>
        <w:rPr>
          <w:b/>
          <w:bCs/>
          <w:color w:val="2E5B8A"/>
          <w:sz w:val="26"/>
          <w:szCs w:val="26"/>
        </w:rPr>
        <w:t xml:space="preserve">5.2 Compliance Guardrails</w:t>
      </w:r>
    </w:p>
    <w:p>
      <w:pPr>
        <w:pStyle w:val="ListParagraph"/>
        <w:numPr>
          <w:ilvl w:val="0"/>
          <w:numId w:val="2"/>
        </w:numPr>
        <w:spacing w:before="40" w:after="40"/>
      </w:pPr>
      <w:r>
        <w:rPr>
          <w:sz w:val="22"/>
          <w:szCs w:val="22"/>
        </w:rPr>
        <w:t xml:space="preserve">SEBI disclaimer automatically appended to every output — cannot be bypassed</w:t>
      </w:r>
    </w:p>
    <w:p>
      <w:pPr>
        <w:pStyle w:val="ListParagraph"/>
        <w:numPr>
          <w:ilvl w:val="0"/>
          <w:numId w:val="2"/>
        </w:numPr>
        <w:spacing w:before="40" w:after="40"/>
      </w:pPr>
      <w:r>
        <w:rPr>
          <w:sz w:val="22"/>
          <w:szCs w:val="22"/>
        </w:rPr>
        <w:t xml:space="preserve">Risky advisory language scanner runs before delivery — flags and sanitises unsafe phrases</w:t>
      </w:r>
    </w:p>
    <w:p>
      <w:pPr>
        <w:pStyle w:val="ListParagraph"/>
        <w:numPr>
          <w:ilvl w:val="0"/>
          <w:numId w:val="2"/>
        </w:numPr>
        <w:spacing w:before="40" w:after="40"/>
      </w:pPr>
      <w:r>
        <w:rPr>
          <w:sz w:val="22"/>
          <w:szCs w:val="22"/>
        </w:rPr>
        <w:t xml:space="preserve">STCG/LTCG tax context injected into every rebalancing recommendation</w:t>
      </w:r>
    </w:p>
    <w:p>
      <w:pPr>
        <w:pStyle w:val="ListParagraph"/>
        <w:numPr>
          <w:ilvl w:val="0"/>
          <w:numId w:val="2"/>
        </w:numPr>
        <w:spacing w:before="40" w:after="40"/>
      </w:pPr>
      <w:r>
        <w:rPr>
          <w:sz w:val="22"/>
          <w:szCs w:val="22"/>
        </w:rPr>
        <w:t xml:space="preserve">Assumptions always displayed — inflation rate, return rates, tax year</w:t>
      </w:r>
    </w:p>
    <w:p>
      <w:pPr>
        <w:pStyle w:val="Heading2"/>
        <w:spacing w:before="280" w:after="120"/>
      </w:pPr>
      <w:r>
        <w:rPr>
          <w:b/>
          <w:bCs/>
          <w:color w:val="2E5B8A"/>
          <w:sz w:val="26"/>
          <w:szCs w:val="26"/>
        </w:rPr>
        <w:t xml:space="preserve">5.3 Audit Trail</w:t>
      </w:r>
    </w:p>
    <w:p>
      <w:pPr>
        <w:pStyle w:val="ListParagraph"/>
        <w:numPr>
          <w:ilvl w:val="0"/>
          <w:numId w:val="2"/>
        </w:numPr>
        <w:spacing w:before="40" w:after="40"/>
      </w:pPr>
      <w:r>
        <w:rPr>
          <w:sz w:val="22"/>
          <w:szCs w:val="22"/>
        </w:rPr>
        <w:t xml:space="preserve">Every specialist agent emits a numbered step-by-step working (e.g., Step 1, Step 2...)</w:t>
      </w:r>
    </w:p>
    <w:p>
      <w:pPr>
        <w:pStyle w:val="ListParagraph"/>
        <w:numPr>
          <w:ilvl w:val="0"/>
          <w:numId w:val="2"/>
        </w:numPr>
        <w:spacing w:before="40" w:after="40"/>
      </w:pPr>
      <w:r>
        <w:rPr>
          <w:sz w:val="22"/>
          <w:szCs w:val="22"/>
        </w:rPr>
        <w:t xml:space="preserve">All completed steps logged to AgentState.completed_steps for review</w:t>
      </w:r>
    </w:p>
    <w:p>
      <w:pPr>
        <w:pStyle w:val="ListParagraph"/>
        <w:numPr>
          <w:ilvl w:val="0"/>
          <w:numId w:val="2"/>
        </w:numPr>
        <w:spacing w:before="40" w:after="40"/>
      </w:pPr>
      <w:r>
        <w:rPr>
          <w:sz w:val="22"/>
          <w:szCs w:val="22"/>
        </w:rPr>
        <w:t xml:space="preserve">Calculations use deterministic Python — same inputs always produce same outputs</w:t>
      </w:r>
    </w:p>
    <w:p>
      <w:pPr>
        <w:pStyle w:val="ListParagraph"/>
        <w:numPr>
          <w:ilvl w:val="0"/>
          <w:numId w:val="2"/>
        </w:numPr>
        <w:spacing w:before="40" w:after="40"/>
      </w:pPr>
      <w:r>
        <w:rPr>
          <w:sz w:val="22"/>
          <w:szCs w:val="22"/>
        </w:rPr>
        <w:t xml:space="preserve">LangGraph MemorySaver preserves full conversation and state history per session</w:t>
      </w:r>
    </w:p>
    <w:p>
      <w:pPr>
        <w:pBdr>
          <w:bottom w:val="single" w:color="2E5B8A" w:sz="4" w:space="1"/>
        </w:pBdr>
        <w:spacing w:before="200" w:after="200"/>
      </w:pPr>
      <w:r>
        <w:t xml:space="preserve"/>
      </w:r>
    </w:p>
    <w:p>
      <w:pPr>
        <w:pStyle w:val="Heading1"/>
        <w:spacing w:before="360" w:after="160"/>
      </w:pPr>
      <w:r>
        <w:rPr>
          <w:b/>
          <w:bCs/>
          <w:color w:val="1F3864"/>
          <w:sz w:val="32"/>
          <w:szCs w:val="32"/>
        </w:rPr>
        <w:t xml:space="preserve">6. Scenario Pack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Scenario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Autonomous Steps Completed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20" w:after="20"/>
            </w:pPr>
            <w:r>
              <w:rPr>
                <w:b/>
                <w:bCs/>
                <w:sz w:val="20"/>
                <w:szCs w:val="20"/>
              </w:rPr>
              <w:t xml:space="preserve">Output Quality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bCs/>
                <w:sz w:val="20"/>
                <w:szCs w:val="20"/>
              </w:rPr>
              <w:t xml:space="preserve">FIRE Plan (34yo, ₹24L)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Input validation → Corpus calc → SIP calc → Glidepath → SIP breakdown → Insurance gap (6 steps)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Month-by-month plan, updates dynamically on input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bCs/>
                <w:sz w:val="20"/>
                <w:szCs w:val="20"/>
              </w:rPr>
              <w:t xml:space="preserve">Tax Regime Edge Case (₹18L)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Input parse → Old regime slabs → New regime slabs → Compare → Missed deductions → Instrument ranking (6 steps)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b w:val="false"/>
                <w:bCs w:val="false"/>
                <w:sz w:val="20"/>
                <w:szCs w:val="20"/>
              </w:rPr>
              <w:t xml:space="preserve">Full step-by-step verifiable math, both regimes, ranked suggestions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bCs/>
                <w:sz w:val="20"/>
                <w:szCs w:val="20"/>
              </w:rPr>
              <w:t xml:space="preserve">MF X-Ray (6 funds, overlap)</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Portfolio reconstruction → XIRR → Overlap matrix → Expense drag → Tax-aware rebalancing (5 steps)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20" w:after="20"/>
            </w:pPr>
            <w:r>
              <w:rPr>
                <w:b w:val="false"/>
                <w:bCs w:val="false"/>
                <w:sz w:val="20"/>
                <w:szCs w:val="20"/>
              </w:rPr>
              <w:t xml:space="preserve">Specific fund-level actions with STCG/LTCG context, not vague suggestions</w:t>
            </w:r>
          </w:p>
        </w:tc>
      </w:tr>
    </w:tbl>
    <w:p>
      <w:pPr>
        <w:spacing w:before="400" w:after="0"/>
      </w:pPr>
      <w:r>
        <w:t xml:space="preserve"/>
      </w:r>
    </w:p>
    <w:p>
      <w:pPr>
        <w:pBdr>
          <w:bottom w:val="single" w:color="2E5B8A" w:sz="4" w:space="1"/>
        </w:pBdr>
        <w:spacing w:before="200" w:after="200"/>
      </w:pPr>
      <w:r>
        <w:t xml:space="preserve"/>
      </w:r>
    </w:p>
    <w:p>
      <w:pPr>
        <w:spacing w:before="120" w:after="0"/>
        <w:jc w:val="center"/>
      </w:pPr>
      <w:r>
        <w:rPr>
          <w:color w:val="888888"/>
          <w:sz w:val="18"/>
          <w:szCs w:val="18"/>
        </w:rPr>
        <w:t xml:space="preserve">ET AI Money Mentor | ET AI Hackathon 2026 | Track 9 — Confidential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2026-03-24T18:36:03.529Z</dcterms:created>
  <dcterms:modified xsi:type="dcterms:W3CDTF">2026-03-24T18:36:03.531Z</dcterms:modified>
</cp:coreProperties>
</file>

<file path=docProps/custom.xml><?xml version="1.0" encoding="utf-8"?>
<Properties xmlns="http://schemas.openxmlformats.org/officeDocument/2006/custom-properties" xmlns:vt="http://schemas.openxmlformats.org/officeDocument/2006/docPropsVTypes"/>
</file>