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color w:val="888888"/>
          <w:sz w:val="20"/>
          <w:szCs w:val="20"/>
        </w:rPr>
        <w:t xml:space="preserve">ET AI HACKATHON 2026 — TRACK 9</w:t>
      </w:r>
    </w:p>
    <w:p>
      <w:pPr>
        <w:spacing w:before="0" w:after="120"/>
        <w:jc w:val="center"/>
      </w:pPr>
      <w:r>
        <w:rPr>
          <w:b/>
          <w:bCs/>
          <w:color w:val="1A5276"/>
          <w:sz w:val="52"/>
          <w:szCs w:val="52"/>
        </w:rPr>
        <w:t xml:space="preserve">Impact Model</w:t>
      </w:r>
    </w:p>
    <w:p>
      <w:pPr>
        <w:spacing w:before="0" w:after="720"/>
        <w:jc w:val="center"/>
      </w:pPr>
      <w:r>
        <w:rPr>
          <w:color w:val="2874A6"/>
          <w:sz w:val="26"/>
          <w:szCs w:val="26"/>
        </w:rPr>
        <w:t xml:space="preserve">ET AI Money Mentor — Business Value Quantification</w:t>
      </w:r>
    </w:p>
    <w:p>
      <w:pPr>
        <w:pBdr>
          <w:bottom w:val="single" w:color="2874A6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5276"/>
          <w:sz w:val="32"/>
          <w:szCs w:val="32"/>
        </w:rPr>
        <w:t xml:space="preserve">1. The Problem — Quantified</w:t>
      </w:r>
    </w:p>
    <w:p>
      <w:pPr>
        <w:spacing w:before="60" w:after="60"/>
      </w:pPr>
      <w:r>
        <w:rPr>
          <w:color w:val="222222"/>
          <w:sz w:val="22"/>
          <w:szCs w:val="22"/>
        </w:rPr>
        <w:t xml:space="preserve">India's retail financial planning gap is one of the largest addressable markets in the world: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95% of Indians have no written financial plan (SEBI Investor Survey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14+ crore demat accounts, but fewer than 8 lakh SEBI-Registered Investment Advisers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 RIA per ~1,750 potential investors — a 200x supply-demand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Average SEBI-registered RIA charges ₹25,000–₹50,000/year — out of reach for 90%+ of earners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ET has 52M+ monthly active users — but average product discovery rate is &lt;10%</w:t>
      </w:r>
    </w:p>
    <w:p>
      <w:pPr>
        <w:pBdr>
          <w:bottom w:val="single" w:color="2874A6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5276"/>
          <w:sz w:val="32"/>
          <w:szCs w:val="32"/>
        </w:rPr>
        <w:t xml:space="preserve">2. Value Creation Model</w:t>
      </w:r>
    </w:p>
    <w:p>
      <w:pPr>
        <w:pStyle w:val="Heading2"/>
        <w:spacing w:before="240" w:after="100"/>
      </w:pPr>
      <w:r>
        <w:rPr>
          <w:b/>
          <w:bCs/>
          <w:color w:val="2874A6"/>
          <w:sz w:val="26"/>
          <w:szCs w:val="26"/>
        </w:rPr>
        <w:t xml:space="preserve">2.1 Direct User Value — Tax Savings (Immediate, Verifiable)</w:t>
      </w:r>
    </w:p>
    <w:p>
      <w:pPr>
        <w:spacing w:before="60" w:after="60"/>
      </w:pPr>
      <w:r>
        <w:rPr>
          <w:color w:val="222222"/>
          <w:sz w:val="22"/>
          <w:szCs w:val="22"/>
        </w:rPr>
        <w:t xml:space="preserve">The Tax Wizard module alone delivers immediate, verifiable value in the first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00"/>
        <w:gridCol w:w="3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who discover missed 80C deduction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60% of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Based on SEBI survey — most salaried don't max 80C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80C gap per user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₹42,000/year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₹1.5L cap minus avg ₹1.08L invested (AMFI 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 saved per user (30% bracket)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₹12,600/year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₹42,000 × 30% tax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Old vs New regime switch saving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₹15,000–₹40,000/year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₹12L–₹18L income band (scenario pack calculation)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NPS 80CCD(1B) missed by most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₹15,600/year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₹50,000 × 30% + 4% cess = ~₹15,600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tax saving per engaged user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₹40,000–₹68,000/yr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Conservative to optimistic range, first year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874A6"/>
          <w:sz w:val="26"/>
          <w:szCs w:val="26"/>
        </w:rPr>
        <w:t xml:space="preserve">2.2 ET Business Value — Product Engagement &amp;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Business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Estimated Uplift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Prime conversion from Money Mentor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+3–5%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who receive tangible value (₹40K tax saving) are 8–10x more likely to convert to paid tiers. Assumes 1M MAU engaging with Money Mentor.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Financial services partner revenue (loans, insurance, MFs)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₹200–₹500/lead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Money Mentor detects insurance gaps and investment needs → warm referral to ET partner products (insurance, mutual fund platforms, loans).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Reduction in ET Prime churn (lapsed users re-engaged)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+12–18%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with personalised financial plans visit ET 3–4x/week vs 1x for general users. Higher engagement = lower churn.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session depth increase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+2.4 pages/session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Personalised financial health score surfaces 3+ relevant ET products per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Annual revenue uplift (1M users, conservative)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₹12–₹25 Cr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3% Prime conversion at ₹2,499/yr + ₹300/lead × 500K leads/year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874A6"/>
          <w:sz w:val="26"/>
          <w:szCs w:val="26"/>
        </w:rPr>
        <w:t xml:space="preserve">2.3 MF Portfolio X-Ray — Hidden Cost Recovery</w:t>
      </w:r>
    </w:p>
    <w:p>
      <w:pPr>
        <w:spacing w:before="60" w:after="60"/>
      </w:pPr>
      <w:r>
        <w:rPr>
          <w:color w:val="222222"/>
          <w:sz w:val="22"/>
          <w:szCs w:val="22"/>
        </w:rPr>
        <w:t xml:space="preserve">The MF X-Ray module recovers real money users are unknowingly losing: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Savings Source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 User / Year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 → Direct plan switch (avg ₹5L portfolio)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₹5,000–₹7,500/yr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 difference 0.7–1.0% on ₹5L corpus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Elimination of redundant fund overlap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Better risk-adjusted returns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large-cap funds = no diversification benefit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10-year drag on ₹5L corpus (regular vs direct)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₹72,000–₹1,10,000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Compounding effect of ER difference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874A6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5276"/>
          <w:sz w:val="32"/>
          <w:szCs w:val="32"/>
        </w:rPr>
        <w:t xml:space="preserve">3. Before vs After — Measurable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Before ET Money Mentor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After ET Money Mentor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Financial plan existence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0% have a written plan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of engaged users receive actionable plan in 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 optimisation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 leave ₹15K–₹40K on table annually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₹40K–₹68K/year identified and recovered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 portfolio efficiency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3.2 overlapping funds, regular plan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Specific rebalancing plan with STCG/LTCG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Insurance coverage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72% underinsured (IRDAI survey)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Gap identified in session 1, specific cover amount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 financial advisor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₹25,000+/year, HNI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Free, inside ET, available 24/7, personalised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product discovery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~10% of ET ecosystem discovered per 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3–5 relevant ET products surfaced per session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874A6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5276"/>
          <w:sz w:val="32"/>
          <w:szCs w:val="32"/>
        </w:rPr>
        <w:t xml:space="preserve">4. Back-of-Envelope Revenue Math</w:t>
      </w:r>
    </w:p>
    <w:p>
      <w:pPr>
        <w:spacing w:before="60" w:after="60"/>
      </w:pPr>
      <w:r>
        <w:rPr>
          <w:color w:val="222222"/>
          <w:sz w:val="22"/>
          <w:szCs w:val="22"/>
        </w:rPr>
        <w:t xml:space="preserve">Conservative scenario: 1M ET users engage with Money Mentor in Year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Annual 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Prime conversions (3% of 1M users × ₹2,499/yr)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₹7.5 Cr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30,000 new Prime subs × ₹2,499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Financial services leads (50% of users flagged × ₹350/lead)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₹17.5 Cr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500,000 qualified leads × ₹350 avg CPL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 reduction (₹500/retained sub × 50K subs)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₹2.5 Cr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 at-risk subs retained at ₹500 LTV uplift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Year 1 Revenue Uplift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~₹27.5 Cr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Conservative. Does not include ad revenue or ET Wealth upsell.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874A6"/>
          <w:sz w:val="26"/>
          <w:szCs w:val="26"/>
        </w:rPr>
        <w:t xml:space="preserve">4.1 User Value Created</w:t>
      </w:r>
    </w:p>
    <w:p>
      <w:pPr>
        <w:spacing w:before="60" w:after="60"/>
      </w:pPr>
      <w:r>
        <w:rPr>
          <w:color w:val="222222"/>
          <w:sz w:val="22"/>
          <w:szCs w:val="22"/>
        </w:rPr>
        <w:t xml:space="preserve">Total financial value delivered to ET's 1M engaged users in Year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 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 User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(1M users)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 savings identified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₹40,000/yr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₹4,000 Cr/yr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 expense ratio savings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₹6,000/yr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₹600 Cr/yr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 planning equivalent (vs ₹25K RIA fee)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₹25,000 saved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₹2,500 Cr democratised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Bdr>
          <w:bottom w:val="single" w:color="2874A6" w:sz="4" w:space="1"/>
        </w:pBdr>
        <w:spacing w:before="180" w:after="180"/>
      </w:pPr>
      <w:r>
        <w:t xml:space="preserve"/>
      </w:r>
    </w:p>
    <w:p>
      <w:pPr>
        <w:spacing w:before="120" w:after="0"/>
        <w:jc w:val="center"/>
      </w:pPr>
      <w:r>
        <w:rPr>
          <w:color w:val="888888"/>
          <w:sz w:val="18"/>
          <w:szCs w:val="18"/>
        </w:rPr>
        <w:t xml:space="preserve">ET AI Money Mentor | Impact Model | ET AI Hackathon 2026 | Track 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2026-03-24T18:36:03.922Z</dcterms:created>
  <dcterms:modified xsi:type="dcterms:W3CDTF">2026-03-24T18:36:03.923Z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