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color w:val="888888"/>
          <w:sz w:val="20"/>
          <w:szCs w:val="20"/>
        </w:rPr>
        <w:t xml:space="preserve">ET AI HACKATHON 2026 — TRACK 9</w:t>
      </w:r>
    </w:p>
    <w:p>
      <w:pPr>
        <w:spacing w:before="0" w:after="120"/>
        <w:jc w:val="center"/>
      </w:pPr>
      <w:r>
        <w:rPr>
          <w:b/>
          <w:bCs/>
          <w:color w:val="4A235A"/>
          <w:sz w:val="52"/>
          <w:szCs w:val="52"/>
        </w:rPr>
        <w:t xml:space="preserve">3-Minute Pitch Script</w:t>
      </w:r>
    </w:p>
    <w:p>
      <w:pPr>
        <w:spacing w:before="0" w:after="240"/>
        <w:jc w:val="center"/>
      </w:pPr>
      <w:r>
        <w:rPr>
          <w:color w:val="7D3C98"/>
          <w:sz w:val="26"/>
          <w:szCs w:val="26"/>
        </w:rPr>
        <w:t xml:space="preserve">ET AI Money Mentor | Video Walkthrough Guide</w:t>
      </w:r>
    </w:p>
    <w:p>
      <w:pPr>
        <w:spacing w:before="0" w:after="720"/>
        <w:jc w:val="center"/>
      </w:pPr>
      <w:r>
        <w:rPr>
          <w:color w:val="555555"/>
          <w:sz w:val="20"/>
          <w:szCs w:val="20"/>
        </w:rPr>
        <w:t xml:space="preserve">Total Duration: 3 minutes 00 seconds | Format: Screen recording + voiceover</w:t>
      </w:r>
    </w:p>
    <w:p>
      <w:pPr>
        <w:pBdr>
          <w:bottom w:val="single" w:color="7D3C98" w:sz="4" w:space="1"/>
        </w:pBdr>
        <w:spacing w:before="180" w:after="180"/>
      </w:pPr>
      <w:r>
        <w:t xml:space="preserve"/>
      </w:r>
    </w:p>
    <w:p>
      <w:pPr>
        <w:pStyle w:val="Heading1"/>
        <w:spacing w:before="360" w:after="160"/>
      </w:pPr>
      <w:r>
        <w:rPr>
          <w:b/>
          <w:bCs/>
          <w:color w:val="4A235A"/>
          <w:sz w:val="32"/>
          <w:szCs w:val="32"/>
        </w:rPr>
        <w:t xml:space="preserve">How to Use This Script</w:t>
      </w:r>
    </w:p>
    <w:p>
      <w:pPr>
        <w:spacing w:before="60" w:after="60"/>
      </w:pPr>
      <w:r>
        <w:rPr>
          <w:rFonts w:ascii="Courier New" w:cs="Courier New" w:eastAsia="Courier New" w:hAnsi="Courier New"/>
          <w:b/>
          <w:bCs/>
          <w:color w:val="C0392B"/>
          <w:sz w:val="22"/>
          <w:szCs w:val="22"/>
        </w:rPr>
        <w:t xml:space="preserve">Record your screen while running: python main.py demo</w:t>
      </w:r>
    </w:p>
    <w:p>
      <w:pPr>
        <w:spacing w:before="60" w:after="120"/>
      </w:pPr>
      <w:r>
        <w:rPr>
          <w:sz w:val="22"/>
          <w:szCs w:val="22"/>
        </w:rPr>
        <w:t xml:space="preserve">Then record a voiceover using this script. Edit into a single video. No live coding required — use screen recording.</w:t>
      </w:r>
    </w:p>
    <w:p>
      <w:pPr>
        <w:pBdr>
          <w:bottom w:val="single" w:color="7D3C98" w:sz="4" w:space="1"/>
        </w:pBdr>
        <w:spacing w:before="180" w:after="180"/>
      </w:pPr>
      <w:r>
        <w:t xml:space="preserve"/>
      </w:r>
    </w:p>
    <w:p>
      <w:pPr>
        <w:pStyle w:val="Heading1"/>
        <w:spacing w:before="360" w:after="160"/>
      </w:pPr>
      <w:r>
        <w:rPr>
          <w:b/>
          <w:bCs/>
          <w:color w:val="4A235A"/>
          <w:sz w:val="32"/>
          <w:szCs w:val="32"/>
        </w:rPr>
        <w:t xml:space="preserve">SEGMENT 1: The Hook (0:00 – 0:30)</w:t>
      </w:r>
    </w:p>
    <w:p>
      <w:pPr>
        <w:spacing w:before="180" w:after="60"/>
      </w:pPr>
      <w:r>
        <w:rPr>
          <w:b/>
          <w:bCs/>
          <w:color w:val="7D3C98"/>
          <w:sz w:val="22"/>
          <w:szCs w:val="22"/>
        </w:rPr>
        <w:t xml:space="preserve">0:00 – 0:10 | Opening statement</w:t>
      </w:r>
    </w:p>
    <w:p>
      <w:pPr>
        <w:spacing w:before="40" w:after="40"/>
      </w:pPr>
      <w:r>
        <w:rPr>
          <w:i/>
          <w:iCs/>
          <w:color w:val="888888"/>
          <w:sz w:val="20"/>
          <w:szCs w:val="20"/>
        </w:rPr>
        <w:t xml:space="preserve">[VISUAL: Black screen with text: '95% of Indians have no financial plan.']</w:t>
      </w:r>
    </w:p>
    <w:p>
      <w:pPr>
        <w:spacing w:before="60" w:after="60"/>
      </w:pPr>
      <w:r>
        <w:rPr>
          <w:color w:val="222222"/>
          <w:sz w:val="22"/>
          <w:szCs w:val="22"/>
        </w:rPr>
        <w:t xml:space="preserve">Ninety-five percent of Indians have no financial plan. Financial advisors charge twenty-five thousand rupees a year — and they only serve the wealthy.</w:t>
      </w:r>
    </w:p>
    <w:p>
      <w:pPr>
        <w:spacing w:before="180" w:after="60"/>
      </w:pPr>
      <w:r>
        <w:rPr>
          <w:b/>
          <w:bCs/>
          <w:color w:val="7D3C98"/>
          <w:sz w:val="22"/>
          <w:szCs w:val="22"/>
        </w:rPr>
        <w:t xml:space="preserve">0:10 – 0:20 | The scale</w:t>
      </w:r>
    </w:p>
    <w:p>
      <w:pPr>
        <w:spacing w:before="40" w:after="40"/>
      </w:pPr>
      <w:r>
        <w:rPr>
          <w:i/>
          <w:iCs/>
          <w:color w:val="888888"/>
          <w:sz w:val="20"/>
          <w:szCs w:val="20"/>
        </w:rPr>
        <w:t xml:space="preserve">[VISUAL: ET homepage — 52M users. Then zoom to a single confused user.]</w:t>
      </w:r>
    </w:p>
    <w:p>
      <w:pPr>
        <w:spacing w:before="60" w:after="60"/>
      </w:pPr>
      <w:r>
        <w:rPr>
          <w:color w:val="222222"/>
          <w:sz w:val="22"/>
          <w:szCs w:val="22"/>
        </w:rPr>
        <w:t xml:space="preserve">ET has fifty-two million users. But most of them are flying blind — reacting to tips, missing tax deductions, holding redundant mutual funds they don't know about.</w:t>
      </w:r>
    </w:p>
    <w:p>
      <w:pPr>
        <w:spacing w:before="180" w:after="60"/>
      </w:pPr>
      <w:r>
        <w:rPr>
          <w:b/>
          <w:bCs/>
          <w:color w:val="7D3C98"/>
          <w:sz w:val="22"/>
          <w:szCs w:val="22"/>
        </w:rPr>
        <w:t xml:space="preserve">0:20 – 0:30 | The solution teaser</w:t>
      </w:r>
    </w:p>
    <w:p>
      <w:pPr>
        <w:spacing w:before="40" w:after="40"/>
      </w:pPr>
      <w:r>
        <w:rPr>
          <w:i/>
          <w:iCs/>
          <w:color w:val="888888"/>
          <w:sz w:val="20"/>
          <w:szCs w:val="20"/>
        </w:rPr>
        <w:t xml:space="preserve">[VISUAL: ET AI Money Mentor interface loading. Logo animates in.]</w:t>
      </w:r>
    </w:p>
    <w:p>
      <w:pPr>
        <w:spacing w:before="60" w:after="60"/>
      </w:pPr>
      <w:r>
        <w:rPr>
          <w:b/>
          <w:bCs/>
          <w:color w:val="4A235A"/>
          <w:sz w:val="22"/>
          <w:szCs w:val="22"/>
        </w:rPr>
        <w:t xml:space="preserve">We built ET AI Money Mentor — an autonomous, multi-agent AI system that turns a confused saver into a confident investor in under five minutes. For free.</w:t>
      </w:r>
    </w:p>
    <w:p>
      <w:pPr>
        <w:pBdr>
          <w:bottom w:val="single" w:color="7D3C98" w:sz="4" w:space="1"/>
        </w:pBdr>
        <w:spacing w:before="180" w:after="180"/>
      </w:pPr>
      <w:r>
        <w:t xml:space="preserve"/>
      </w:r>
    </w:p>
    <w:p>
      <w:pPr>
        <w:pStyle w:val="Heading1"/>
        <w:spacing w:before="360" w:after="160"/>
      </w:pPr>
      <w:r>
        <w:rPr>
          <w:b/>
          <w:bCs/>
          <w:color w:val="4A235A"/>
          <w:sz w:val="32"/>
          <w:szCs w:val="32"/>
        </w:rPr>
        <w:t xml:space="preserve">SEGMENT 2: The Demo — Scenario Pack 1 (FIRE Plan) (0:30 – 1:15)</w:t>
      </w:r>
    </w:p>
    <w:p>
      <w:pPr>
        <w:spacing w:before="180" w:after="60"/>
      </w:pPr>
      <w:r>
        <w:rPr>
          <w:b/>
          <w:bCs/>
          <w:color w:val="7D3C98"/>
          <w:sz w:val="22"/>
          <w:szCs w:val="22"/>
        </w:rPr>
        <w:t xml:space="preserve">0:30 – 0:40 | Introduce the user</w:t>
      </w:r>
    </w:p>
    <w:p>
      <w:pPr>
        <w:spacing w:before="40" w:after="40"/>
      </w:pPr>
      <w:r>
        <w:rPr>
          <w:i/>
          <w:iCs/>
          <w:color w:val="888888"/>
          <w:sz w:val="20"/>
          <w:szCs w:val="20"/>
        </w:rPr>
        <w:t xml:space="preserve">[VISUAL: User profile card: Arjun, 34, Software Engineer, ₹24L/year]</w:t>
      </w:r>
    </w:p>
    <w:p>
      <w:pPr>
        <w:spacing w:before="60" w:after="60"/>
      </w:pPr>
      <w:r>
        <w:rPr>
          <w:color w:val="222222"/>
          <w:sz w:val="22"/>
          <w:szCs w:val="22"/>
        </w:rPr>
        <w:t xml:space="preserve">Meet Arjun. Thirty-four years old, software engineer, earning twenty-four lakhs a year. He has eighteen lakhs in mutual funds, six lakhs in PPF. He wants to retire at fifty with one-and-a-half lakhs per month.</w:t>
      </w:r>
    </w:p>
    <w:p>
      <w:pPr>
        <w:spacing w:before="180" w:after="60"/>
      </w:pPr>
      <w:r>
        <w:rPr>
          <w:b/>
          <w:bCs/>
          <w:color w:val="7D3C98"/>
          <w:sz w:val="22"/>
          <w:szCs w:val="22"/>
        </w:rPr>
        <w:t xml:space="preserve">0:40 – 0:55 | Show the agent running</w:t>
      </w:r>
    </w:p>
    <w:p>
      <w:pPr>
        <w:spacing w:before="40" w:after="40"/>
      </w:pPr>
      <w:r>
        <w:rPr>
          <w:i/>
          <w:iCs/>
          <w:color w:val="888888"/>
          <w:sz w:val="20"/>
          <w:szCs w:val="20"/>
        </w:rPr>
        <w:t xml:space="preserve">[VISUAL: Terminal: python main.py demo running. Show Step 1 through Step 6 scrolling.]</w:t>
      </w:r>
    </w:p>
    <w:p>
      <w:pPr>
        <w:spacing w:before="60" w:after="60"/>
      </w:pPr>
      <w:r>
        <w:rPr>
          <w:color w:val="222222"/>
          <w:sz w:val="22"/>
          <w:szCs w:val="22"/>
        </w:rPr>
        <w:t xml:space="preserve">Watch the agent work. Without any human input, it validates his inputs, inflates his monthly need to retirement, calculates the exact corpus required, computes the SIP breakdown across six fund categories, builds a twenty-year glidepath, and detects a critical insurance gap — all in under three seconds.</w:t>
      </w:r>
    </w:p>
    <w:p>
      <w:pPr>
        <w:spacing w:before="40" w:after="40"/>
      </w:pPr>
      <w:r>
        <w:rPr>
          <w:color w:val="C0392B"/>
          <w:sz w:val="20"/>
          <w:szCs w:val="20"/>
        </w:rPr>
        <w:t xml:space="preserve">📌 NOTE: Pause here 2 seconds to let judges read the output steps on screen.</w:t>
      </w:r>
    </w:p>
    <w:p>
      <w:pPr>
        <w:spacing w:before="180" w:after="60"/>
      </w:pPr>
      <w:r>
        <w:rPr>
          <w:b/>
          <w:bCs/>
          <w:color w:val="7D3C98"/>
          <w:sz w:val="22"/>
          <w:szCs w:val="22"/>
        </w:rPr>
        <w:t xml:space="preserve">0:55 – 1:10 | Highlight key output numbers</w:t>
      </w:r>
    </w:p>
    <w:p>
      <w:pPr>
        <w:spacing w:before="40" w:after="40"/>
      </w:pPr>
      <w:r>
        <w:rPr>
          <w:i/>
          <w:iCs/>
          <w:color w:val="888888"/>
          <w:sz w:val="20"/>
          <w:szCs w:val="20"/>
        </w:rPr>
        <w:t xml:space="preserve">[VISUAL: Zoom in on: Corpus Required, Monthly SIP, Glidepath table, Insurance gap alert.]</w:t>
      </w:r>
    </w:p>
    <w:p>
      <w:pPr>
        <w:spacing w:before="60" w:after="60"/>
      </w:pPr>
      <w:r>
        <w:rPr>
          <w:color w:val="222222"/>
          <w:sz w:val="22"/>
          <w:szCs w:val="22"/>
        </w:rPr>
        <w:t xml:space="preserve">He needs a corpus of approximately eight crores at retirement. His required monthly SIP is fourteen thousand rupees. The glidepath shifts him from eighty percent equity today to forty percent at retirement. And the system flags he has zero life cover — and tells him exactly how much term insurance to buy.</w:t>
      </w:r>
    </w:p>
    <w:p>
      <w:pPr>
        <w:spacing w:before="180" w:after="60"/>
      </w:pPr>
      <w:r>
        <w:rPr>
          <w:b/>
          <w:bCs/>
          <w:color w:val="7D3C98"/>
          <w:sz w:val="22"/>
          <w:szCs w:val="22"/>
        </w:rPr>
        <w:t xml:space="preserve">1:10 – 1:15 | Dynamic recalculation</w:t>
      </w:r>
    </w:p>
    <w:p>
      <w:pPr>
        <w:spacing w:before="40" w:after="40"/>
      </w:pPr>
      <w:r>
        <w:rPr>
          <w:i/>
          <w:iCs/>
          <w:color w:val="888888"/>
          <w:sz w:val="20"/>
          <w:szCs w:val="20"/>
        </w:rPr>
        <w:t xml:space="preserve">[VISUAL: Change retirement_age_target from 50 to 55. Re-run. Show SIP drops.]</w:t>
      </w:r>
    </w:p>
    <w:p>
      <w:pPr>
        <w:spacing w:before="60" w:after="60"/>
      </w:pPr>
      <w:r>
        <w:rPr>
          <w:color w:val="222222"/>
          <w:sz w:val="22"/>
          <w:szCs w:val="22"/>
        </w:rPr>
        <w:t xml:space="preserve">Change the retirement age to fifty-five — the plan recalculates instantly. The required SIP drops. No full re-run. Dynamic.</w:t>
      </w:r>
    </w:p>
    <w:p>
      <w:pPr>
        <w:pBdr>
          <w:bottom w:val="single" w:color="7D3C98" w:sz="4" w:space="1"/>
        </w:pBdr>
        <w:spacing w:before="180" w:after="180"/>
      </w:pPr>
      <w:r>
        <w:t xml:space="preserve"/>
      </w:r>
    </w:p>
    <w:p>
      <w:pPr>
        <w:pStyle w:val="Heading1"/>
        <w:spacing w:before="360" w:after="160"/>
      </w:pPr>
      <w:r>
        <w:rPr>
          <w:b/>
          <w:bCs/>
          <w:color w:val="4A235A"/>
          <w:sz w:val="32"/>
          <w:szCs w:val="32"/>
        </w:rPr>
        <w:t xml:space="preserve">SEGMENT 3: Tax Wizard — Scenario Pack 2 (1:15 – 1:55)</w:t>
      </w:r>
    </w:p>
    <w:p>
      <w:pPr>
        <w:spacing w:before="180" w:after="60"/>
      </w:pPr>
      <w:r>
        <w:rPr>
          <w:b/>
          <w:bCs/>
          <w:color w:val="7D3C98"/>
          <w:sz w:val="22"/>
          <w:szCs w:val="22"/>
        </w:rPr>
        <w:t xml:space="preserve">1:15 – 1:25 | Set up the scenario</w:t>
      </w:r>
    </w:p>
    <w:p>
      <w:pPr>
        <w:spacing w:before="40" w:after="40"/>
      </w:pPr>
      <w:r>
        <w:rPr>
          <w:i/>
          <w:iCs/>
          <w:color w:val="888888"/>
          <w:sz w:val="20"/>
          <w:szCs w:val="20"/>
        </w:rPr>
        <w:t xml:space="preserve">[VISUAL: Profile card: Priya, ₹18L base, ₹3.6L HRA, ₹1.5L 80C, ₹50K NPS, ₹40K home loan interest.]</w:t>
      </w:r>
    </w:p>
    <w:p>
      <w:pPr>
        <w:spacing w:before="60" w:after="60"/>
      </w:pPr>
      <w:r>
        <w:rPr>
          <w:color w:val="222222"/>
          <w:sz w:val="22"/>
          <w:szCs w:val="22"/>
        </w:rPr>
        <w:t xml:space="preserve">Now the Tax Wizard. Priya earns eighteen lakhs, claims HRA, has maxed her 80C, contributes to NPS, and has a home loan. This is an edge case — both regimes have merit.</w:t>
      </w:r>
    </w:p>
    <w:p>
      <w:pPr>
        <w:spacing w:before="180" w:after="60"/>
      </w:pPr>
      <w:r>
        <w:rPr>
          <w:b/>
          <w:bCs/>
          <w:color w:val="7D3C98"/>
          <w:sz w:val="22"/>
          <w:szCs w:val="22"/>
        </w:rPr>
        <w:t xml:space="preserve">1:25 – 1:45 | Show step-by-step calculation</w:t>
      </w:r>
    </w:p>
    <w:p>
      <w:pPr>
        <w:spacing w:before="40" w:after="40"/>
      </w:pPr>
      <w:r>
        <w:rPr>
          <w:i/>
          <w:iCs/>
          <w:color w:val="888888"/>
          <w:sz w:val="20"/>
          <w:szCs w:val="20"/>
        </w:rPr>
        <w:t xml:space="preserve">[VISUAL: Scroll through Old Regime steps 1 through 6. Then New Regime. Then comparison table.]</w:t>
      </w:r>
    </w:p>
    <w:p>
      <w:pPr>
        <w:spacing w:before="60" w:after="60"/>
      </w:pPr>
      <w:r>
        <w:rPr>
          <w:color w:val="222222"/>
          <w:sz w:val="22"/>
          <w:szCs w:val="22"/>
        </w:rPr>
        <w:t xml:space="preserve">The agent calculates both regimes step by step — every slab, every deduction, every rupee shown. This isn't a black box. It's a CA-grade working that you can verify yourself.</w:t>
      </w:r>
    </w:p>
    <w:p>
      <w:pPr>
        <w:spacing w:before="40" w:after="40"/>
      </w:pPr>
      <w:r>
        <w:rPr>
          <w:color w:val="C0392B"/>
          <w:sz w:val="20"/>
          <w:szCs w:val="20"/>
        </w:rPr>
        <w:t xml:space="preserve">📌 NOTE: Judges specifically look for step-by-step verifiable math — scroll slowly here.</w:t>
      </w:r>
    </w:p>
    <w:p>
      <w:pPr>
        <w:spacing w:before="180" w:after="60"/>
      </w:pPr>
      <w:r>
        <w:rPr>
          <w:b/>
          <w:bCs/>
          <w:color w:val="7D3C98"/>
          <w:sz w:val="22"/>
          <w:szCs w:val="22"/>
        </w:rPr>
        <w:t xml:space="preserve">1:45 – 1:55 | Show the recommendation</w:t>
      </w:r>
    </w:p>
    <w:p>
      <w:pPr>
        <w:spacing w:before="40" w:after="40"/>
      </w:pPr>
      <w:r>
        <w:rPr>
          <w:i/>
          <w:iCs/>
          <w:color w:val="888888"/>
          <w:sz w:val="20"/>
          <w:szCs w:val="20"/>
        </w:rPr>
        <w:t xml:space="preserve">[VISUAL: Highlight: OPTIMAL REGIME: OLD. Annual Saving: ₹X. Missed deductions section.]</w:t>
      </w:r>
    </w:p>
    <w:p>
      <w:pPr>
        <w:spacing w:before="60" w:after="60"/>
      </w:pPr>
      <w:r>
        <w:rPr>
          <w:color w:val="222222"/>
          <w:sz w:val="22"/>
          <w:szCs w:val="22"/>
        </w:rPr>
        <w:t xml:space="preserve">Old regime saves more. The agent also finds an unused 80D deduction — a health insurance premium gap worth over twenty thousand rupees in additional deductions. It suggests three instruments ranked by liquidity and risk.</w:t>
      </w:r>
    </w:p>
    <w:p>
      <w:pPr>
        <w:pBdr>
          <w:bottom w:val="single" w:color="7D3C98" w:sz="4" w:space="1"/>
        </w:pBdr>
        <w:spacing w:before="180" w:after="180"/>
      </w:pPr>
      <w:r>
        <w:t xml:space="preserve"/>
      </w:r>
    </w:p>
    <w:p>
      <w:pPr>
        <w:pStyle w:val="Heading1"/>
        <w:spacing w:before="360" w:after="160"/>
      </w:pPr>
      <w:r>
        <w:rPr>
          <w:b/>
          <w:bCs/>
          <w:color w:val="4A235A"/>
          <w:sz w:val="32"/>
          <w:szCs w:val="32"/>
        </w:rPr>
        <w:t xml:space="preserve">SEGMENT 4: MF X-Ray — Scenario Pack 3 (1:55 – 2:35)</w:t>
      </w:r>
    </w:p>
    <w:p>
      <w:pPr>
        <w:spacing w:before="180" w:after="60"/>
      </w:pPr>
      <w:r>
        <w:rPr>
          <w:b/>
          <w:bCs/>
          <w:color w:val="7D3C98"/>
          <w:sz w:val="22"/>
          <w:szCs w:val="22"/>
        </w:rPr>
        <w:t xml:space="preserve">1:55 – 2:05 | Set up the portfolio</w:t>
      </w:r>
    </w:p>
    <w:p>
      <w:pPr>
        <w:spacing w:before="40" w:after="40"/>
      </w:pPr>
      <w:r>
        <w:rPr>
          <w:i/>
          <w:iCs/>
          <w:color w:val="888888"/>
          <w:sz w:val="20"/>
          <w:szCs w:val="20"/>
        </w:rPr>
        <w:t xml:space="preserve">[VISUAL: Show the 6-fund portfolio table. Highlight the three large-cap funds.]</w:t>
      </w:r>
    </w:p>
    <w:p>
      <w:pPr>
        <w:spacing w:before="60" w:after="60"/>
      </w:pPr>
      <w:r>
        <w:rPr>
          <w:color w:val="222222"/>
          <w:sz w:val="22"/>
          <w:szCs w:val="22"/>
        </w:rPr>
        <w:t xml:space="preserve">Rahul has six mutual funds across four AMCs. Three of them are large-cap funds. They look different — but they all hold Reliance, HDFC Bank, and Infosys in their top five. He's paying three times for the same exposure.</w:t>
      </w:r>
    </w:p>
    <w:p>
      <w:pPr>
        <w:spacing w:before="180" w:after="60"/>
      </w:pPr>
      <w:r>
        <w:rPr>
          <w:b/>
          <w:bCs/>
          <w:color w:val="7D3C98"/>
          <w:sz w:val="22"/>
          <w:szCs w:val="22"/>
        </w:rPr>
        <w:t xml:space="preserve">2:05 – 2:20 | Show the X-Ray output</w:t>
      </w:r>
    </w:p>
    <w:p>
      <w:pPr>
        <w:spacing w:before="40" w:after="40"/>
      </w:pPr>
      <w:r>
        <w:rPr>
          <w:i/>
          <w:iCs/>
          <w:color w:val="888888"/>
          <w:sz w:val="20"/>
          <w:szCs w:val="20"/>
        </w:rPr>
        <w:t xml:space="preserve">[VISUAL: Overlap matrix. Highlight overlapping stocks. XIRR numbers. Expense ratio table.]</w:t>
      </w:r>
    </w:p>
    <w:p>
      <w:pPr>
        <w:spacing w:before="60" w:after="60"/>
      </w:pPr>
      <w:r>
        <w:rPr>
          <w:color w:val="222222"/>
          <w:sz w:val="22"/>
          <w:szCs w:val="22"/>
        </w:rPr>
        <w:t xml:space="preserve">The X-Ray calculates his true XIRR across the portfolio — not the inflated fund-level XIRR. It builds an overlap matrix — shows exactly which stocks appear in multiple funds. It quantifies the expense ratio drag — over seventy thousand rupees lost over ten years by staying in regular plans.</w:t>
      </w:r>
    </w:p>
    <w:p>
      <w:pPr>
        <w:spacing w:before="180" w:after="60"/>
      </w:pPr>
      <w:r>
        <w:rPr>
          <w:b/>
          <w:bCs/>
          <w:color w:val="7D3C98"/>
          <w:sz w:val="22"/>
          <w:szCs w:val="22"/>
        </w:rPr>
        <w:t xml:space="preserve">2:20 – 2:35 | Show the rebalancing plan</w:t>
      </w:r>
    </w:p>
    <w:p>
      <w:pPr>
        <w:spacing w:before="40" w:after="40"/>
      </w:pPr>
      <w:r>
        <w:rPr>
          <w:i/>
          <w:iCs/>
          <w:color w:val="888888"/>
          <w:sz w:val="20"/>
          <w:szCs w:val="20"/>
        </w:rPr>
        <w:t xml:space="preserve">[VISUAL: Scroll to Rebalancing Plan. Show REDEEM action. Show SWITCH_TO_DIRECT. Show tax note.]</w:t>
      </w:r>
    </w:p>
    <w:p>
      <w:pPr>
        <w:spacing w:before="60" w:after="60"/>
      </w:pPr>
      <w:r>
        <w:rPr>
          <w:color w:val="222222"/>
          <w:sz w:val="22"/>
          <w:szCs w:val="22"/>
        </w:rPr>
        <w:t xml:space="preserve">And it gives a specific rebalancing plan — not 'consider reducing large-cap exposure.' It says: redeem this fund, because it overlaps with these two others. Switch these three funds to direct plans. And — critically — it tells you the tax implications before you act.</w:t>
      </w:r>
    </w:p>
    <w:p>
      <w:pPr>
        <w:pBdr>
          <w:bottom w:val="single" w:color="7D3C98" w:sz="4" w:space="1"/>
        </w:pBdr>
        <w:spacing w:before="180" w:after="180"/>
      </w:pPr>
      <w:r>
        <w:t xml:space="preserve"/>
      </w:r>
    </w:p>
    <w:p>
      <w:pPr>
        <w:pStyle w:val="Heading1"/>
        <w:spacing w:before="360" w:after="160"/>
      </w:pPr>
      <w:r>
        <w:rPr>
          <w:b/>
          <w:bCs/>
          <w:color w:val="4A235A"/>
          <w:sz w:val="32"/>
          <w:szCs w:val="32"/>
        </w:rPr>
        <w:t xml:space="preserve">SEGMENT 5: Architecture &amp; Close (2:35 – 3:00)</w:t>
      </w:r>
    </w:p>
    <w:p>
      <w:pPr>
        <w:spacing w:before="180" w:after="60"/>
      </w:pPr>
      <w:r>
        <w:rPr>
          <w:b/>
          <w:bCs/>
          <w:color w:val="7D3C98"/>
          <w:sz w:val="22"/>
          <w:szCs w:val="22"/>
        </w:rPr>
        <w:t xml:space="preserve">2:35 – 2:45 | Architecture overview</w:t>
      </w:r>
    </w:p>
    <w:p>
      <w:pPr>
        <w:spacing w:before="40" w:after="40"/>
      </w:pPr>
      <w:r>
        <w:rPr>
          <w:i/>
          <w:iCs/>
          <w:color w:val="888888"/>
          <w:sz w:val="20"/>
          <w:szCs w:val="20"/>
        </w:rPr>
        <w:t xml:space="preserve">[VISUAL: Show architecture diagram from the architecture document (screenshot or slide).]</w:t>
      </w:r>
    </w:p>
    <w:p>
      <w:pPr>
        <w:spacing w:before="60" w:after="60"/>
      </w:pPr>
      <w:r>
        <w:rPr>
          <w:color w:val="222222"/>
          <w:sz w:val="22"/>
          <w:szCs w:val="22"/>
        </w:rPr>
        <w:t xml:space="preserve">Under the hood: a LangGraph StateGraph orchestrates eight specialised agents. Claude Haiku handles intent classification — cheap and fast. Claude Sonnet handles financial reasoning. All calculations are pure Python — deterministic, auditable, zero hallucination risk.</w:t>
      </w:r>
    </w:p>
    <w:p>
      <w:pPr>
        <w:spacing w:before="180" w:after="60"/>
      </w:pPr>
      <w:r>
        <w:rPr>
          <w:b/>
          <w:bCs/>
          <w:color w:val="7D3C98"/>
          <w:sz w:val="22"/>
          <w:szCs w:val="22"/>
        </w:rPr>
        <w:t xml:space="preserve">2:45 – 2:52 | Compliance</w:t>
      </w:r>
    </w:p>
    <w:p>
      <w:pPr>
        <w:spacing w:before="40" w:after="40"/>
      </w:pPr>
      <w:r>
        <w:rPr>
          <w:i/>
          <w:iCs/>
          <w:color w:val="888888"/>
          <w:sz w:val="20"/>
          <w:szCs w:val="20"/>
        </w:rPr>
        <w:t xml:space="preserve">[VISUAL: Show SEBI disclaimer being appended to output. Show compliance_guardrails.py briefly.]</w:t>
      </w:r>
    </w:p>
    <w:p>
      <w:pPr>
        <w:spacing w:before="60" w:after="60"/>
      </w:pPr>
      <w:r>
        <w:rPr>
          <w:color w:val="222222"/>
          <w:sz w:val="22"/>
          <w:szCs w:val="22"/>
        </w:rPr>
        <w:t xml:space="preserve">Every output is automatically checked for unlicensed advisory language and appended with an SEBI disclaimer. We never cross the line into regulated advice territory.</w:t>
      </w:r>
    </w:p>
    <w:p>
      <w:pPr>
        <w:spacing w:before="180" w:after="60"/>
      </w:pPr>
      <w:r>
        <w:rPr>
          <w:b/>
          <w:bCs/>
          <w:color w:val="7D3C98"/>
          <w:sz w:val="22"/>
          <w:szCs w:val="22"/>
        </w:rPr>
        <w:t xml:space="preserve">2:52 – 3:00 | The close</w:t>
      </w:r>
    </w:p>
    <w:p>
      <w:pPr>
        <w:spacing w:before="40" w:after="40"/>
      </w:pPr>
      <w:r>
        <w:rPr>
          <w:i/>
          <w:iCs/>
          <w:color w:val="888888"/>
          <w:sz w:val="20"/>
          <w:szCs w:val="20"/>
        </w:rPr>
        <w:t xml:space="preserve">[VISUAL: ET AI Money Mentor logo. Final stat cards: ₹40K tax saved, 5 min to plan, 8 agents, 0 human steps.]</w:t>
      </w:r>
    </w:p>
    <w:p>
      <w:pPr>
        <w:spacing w:before="60" w:after="60"/>
      </w:pPr>
      <w:r>
        <w:rPr>
          <w:b/>
          <w:bCs/>
          <w:color w:val="4A235A"/>
          <w:sz w:val="22"/>
          <w:szCs w:val="22"/>
        </w:rPr>
        <w:t xml:space="preserve">Fifty-two million ET users. Zero financial plans. We change that — one conversation at a time.</w:t>
      </w:r>
    </w:p>
    <w:p>
      <w:pPr>
        <w:spacing w:before="60" w:after="60"/>
      </w:pPr>
      <w:r>
        <w:rPr>
          <w:b/>
          <w:bCs/>
          <w:color w:val="4A235A"/>
          <w:sz w:val="22"/>
          <w:szCs w:val="22"/>
        </w:rPr>
        <w:t xml:space="preserve">ET AI Money Mentor. Track 9. Thank you.</w:t>
      </w:r>
    </w:p>
    <w:p>
      <w:pPr>
        <w:pBdr>
          <w:bottom w:val="single" w:color="7D3C98" w:sz="4" w:space="1"/>
        </w:pBdr>
        <w:spacing w:before="180" w:after="180"/>
      </w:pPr>
      <w:r>
        <w:t xml:space="preserve"/>
      </w:r>
    </w:p>
    <w:p>
      <w:pPr>
        <w:pStyle w:val="Heading1"/>
        <w:spacing w:before="360" w:after="160"/>
      </w:pPr>
      <w:r>
        <w:rPr>
          <w:b/>
          <w:bCs/>
          <w:color w:val="4A235A"/>
          <w:sz w:val="32"/>
          <w:szCs w:val="32"/>
        </w:rPr>
        <w:t xml:space="preserve">Recording Tips</w:t>
      </w:r>
    </w:p>
    <w:p>
      <w:pPr>
        <w:pStyle w:val="ListParagraph"/>
        <w:numPr>
          <w:ilvl w:val="0"/>
          <w:numId w:val="2"/>
        </w:numPr>
        <w:spacing w:before="40" w:after="40"/>
      </w:pPr>
      <w:r>
        <w:rPr>
          <w:sz w:val="22"/>
          <w:szCs w:val="22"/>
        </w:rPr>
        <w:t xml:space="preserve">Set terminal font to 18pt so output is readable on screen</w:t>
      </w:r>
    </w:p>
    <w:p>
      <w:pPr>
        <w:pStyle w:val="ListParagraph"/>
        <w:numPr>
          <w:ilvl w:val="0"/>
          <w:numId w:val="2"/>
        </w:numPr>
        <w:spacing w:before="40" w:after="40"/>
      </w:pPr>
      <w:r>
        <w:rPr>
          <w:sz w:val="22"/>
          <w:szCs w:val="22"/>
        </w:rPr>
        <w:t xml:space="preserve">Run: python main.py demo — record the full terminal output scrolling</w:t>
      </w:r>
    </w:p>
    <w:p>
      <w:pPr>
        <w:pStyle w:val="ListParagraph"/>
        <w:numPr>
          <w:ilvl w:val="0"/>
          <w:numId w:val="2"/>
        </w:numPr>
        <w:spacing w:before="40" w:after="40"/>
      </w:pPr>
      <w:r>
        <w:rPr>
          <w:sz w:val="22"/>
          <w:szCs w:val="22"/>
        </w:rPr>
        <w:t xml:space="preserve">Record voiceover separately and sync to the terminal video in any editor</w:t>
      </w:r>
    </w:p>
    <w:p>
      <w:pPr>
        <w:pStyle w:val="ListParagraph"/>
        <w:numPr>
          <w:ilvl w:val="0"/>
          <w:numId w:val="2"/>
        </w:numPr>
        <w:spacing w:before="40" w:after="40"/>
      </w:pPr>
      <w:r>
        <w:rPr>
          <w:sz w:val="22"/>
          <w:szCs w:val="22"/>
        </w:rPr>
        <w:t xml:space="preserve">Add captions showing the current scenario pack and step number</w:t>
      </w:r>
    </w:p>
    <w:p>
      <w:pPr>
        <w:pStyle w:val="ListParagraph"/>
        <w:numPr>
          <w:ilvl w:val="0"/>
          <w:numId w:val="2"/>
        </w:numPr>
        <w:spacing w:before="40" w:after="40"/>
      </w:pPr>
      <w:r>
        <w:rPr>
          <w:sz w:val="22"/>
          <w:szCs w:val="22"/>
        </w:rPr>
        <w:t xml:space="preserve">Background music: subtle, neutral — avoid anything distracting</w:t>
      </w:r>
    </w:p>
    <w:p>
      <w:pPr>
        <w:pStyle w:val="ListParagraph"/>
        <w:numPr>
          <w:ilvl w:val="0"/>
          <w:numId w:val="2"/>
        </w:numPr>
        <w:spacing w:before="40" w:after="40"/>
      </w:pPr>
      <w:r>
        <w:rPr>
          <w:sz w:val="22"/>
          <w:szCs w:val="22"/>
        </w:rPr>
        <w:t xml:space="preserve">End card: GitHub repo URL, team name, track number</w:t>
      </w:r>
    </w:p>
    <w:p>
      <w:pPr>
        <w:spacing w:before="360" w:after="0"/>
      </w:pPr>
      <w:r>
        <w:t xml:space="preserve"/>
      </w:r>
    </w:p>
    <w:p>
      <w:pPr>
        <w:pBdr>
          <w:bottom w:val="single" w:color="7D3C98" w:sz="4" w:space="1"/>
        </w:pBdr>
        <w:spacing w:before="180" w:after="180"/>
      </w:pPr>
      <w:r>
        <w:t xml:space="preserve"/>
      </w:r>
    </w:p>
    <w:p>
      <w:pPr>
        <w:spacing w:before="120" w:after="0"/>
        <w:jc w:val="center"/>
      </w:pPr>
      <w:r>
        <w:rPr>
          <w:color w:val="888888"/>
          <w:sz w:val="18"/>
          <w:szCs w:val="18"/>
        </w:rPr>
        <w:t xml:space="preserve">ET AI Money Mentor | Pitch Script | ET AI Hackathon 2026 | Track 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4A235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7D3C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2026-03-24T18:36:04.382Z</dcterms:created>
  <dcterms:modified xsi:type="dcterms:W3CDTF">2026-03-24T18:36:04.383Z</dcterms:modified>
</cp:coreProperties>
</file>

<file path=docProps/custom.xml><?xml version="1.0" encoding="utf-8"?>
<Properties xmlns="http://schemas.openxmlformats.org/officeDocument/2006/custom-properties" xmlns:vt="http://schemas.openxmlformats.org/officeDocument/2006/docPropsVTypes"/>
</file>