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20"/>
        <w:jc w:val="center"/>
      </w:pPr>
      <w:r>
        <w:rPr>
          <w:rFonts w:ascii="Arial" w:cs="Arial" w:eastAsia="Arial" w:hAnsi="Arial"/>
          <w:b/>
          <w:bCs/>
          <w:color w:val="1E4FD8"/>
          <w:spacing w:val="44"/>
          <w:sz w:val="42"/>
          <w:szCs w:val="42"/>
        </w:rPr>
        <w:t xml:space="preserve">DOCAYA</w:t>
      </w:r>
    </w:p>
    <w:p>
      <w:pPr>
        <w:spacing w:after="60"/>
        <w:jc w:val="center"/>
      </w:pPr>
      <w:r>
        <w:rPr>
          <w:rFonts w:ascii="Arial" w:cs="Arial" w:eastAsia="Arial" w:hAnsi="Arial"/>
          <w:b/>
          <w:bCs/>
          <w:color w:val="0F1B33"/>
          <w:sz w:val="23"/>
          <w:szCs w:val="23"/>
        </w:rPr>
        <w:t xml:space="preserve">Enterprise Electronic Document Management System</w:t>
      </w:r>
    </w:p>
    <w:p>
      <w:pPr>
        <w:spacing w:after="40"/>
        <w:jc w:val="center"/>
      </w:pPr>
      <w:r>
        <w:rPr>
          <w:rFonts w:ascii="Arial" w:cs="Arial" w:eastAsia="Arial" w:hAnsi="Arial"/>
          <w:b/>
          <w:bCs/>
          <w:color w:val="14705C"/>
          <w:sz w:val="26"/>
          <w:szCs w:val="26"/>
        </w:rPr>
        <w:t xml:space="preserve">Technical Architecture Document</w:t>
      </w:r>
    </w:p>
    <w:p>
      <w:pPr>
        <w:spacing w:after="220"/>
        <w:jc w:val="center"/>
      </w:pPr>
      <w:r>
        <w:rPr>
          <w:rFonts w:ascii="Arial" w:cs="Arial" w:eastAsia="Arial" w:hAnsi="Arial"/>
          <w:color w:val="5A6B85"/>
          <w:sz w:val="16"/>
          <w:szCs w:val="16"/>
        </w:rPr>
        <w:t xml:space="preserve">Architecture · Development · Build · Infrastructure · Network · Deployment · Operations</w:t>
      </w:r>
    </w:p>
    <w:tbl>
      <w:tblPr>
        <w:tblW w:type="dxa" w:w="10080"/>
        <w:tblBorders>
          <w:top w:val="none"/>
          <w:left w:val="none"/>
          <w:bottom w:val="none"/>
          <w:right w:val="none"/>
          <w:insideH w:val="single" w:color="auto" w:sz="4"/>
          <w:insideV w:val="none"/>
        </w:tblBorders>
      </w:tblPr>
      <w:tblGrid>
        <w:gridCol w:w="3360"/>
        <w:gridCol w:w="3360"/>
        <w:gridCol w:w="3360"/>
      </w:tblGrid>
      <w:tr>
        <w:trPr>
          <w:trHeight w:val="130" w:hRule="exact"/>
        </w:trPr>
        <w:tc>
          <w:tcPr>
            <w:shd w:fill="1E4FD8" w:val="clear"/>
          </w:tcPr>
          <w:p>
            <w:r>
              <w:t xml:space="preserve"/>
            </w:r>
          </w:p>
        </w:tc>
        <w:tc>
          <w:tcPr>
            <w:shd w:fill="14705C" w:val="clear"/>
          </w:tcPr>
          <w:p>
            <w:r>
              <w:t xml:space="preserve"/>
            </w:r>
          </w:p>
        </w:tc>
        <w:tc>
          <w:tcPr>
            <w:shd w:fill="D9660F" w:val="clear"/>
          </w:tcPr>
          <w:p>
            <w:r>
              <w:t xml:space="preserve"/>
            </w:r>
          </w:p>
        </w:tc>
      </w:tr>
    </w:tbl>
    <w:p>
      <w:pPr>
        <w:spacing w:after="200"/>
      </w:pPr>
      <w:r>
        <w:rPr>
          <w:rFonts w:ascii="Arial" w:cs="Arial" w:eastAsia="Arial" w:hAnsi="Arial"/>
        </w:rPr>
        <w:t xml:space="preserve"/>
      </w:r>
    </w:p>
    <w:tbl>
      <w:tblPr>
        <w:tblW w:type="dxa" w:w="7400"/>
        <w:jc w:val="center"/>
        <w:tblBorders>
          <w:top w:val="single" w:color="C9D4E6" w:sz="1"/>
          <w:left w:val="single" w:color="C9D4E6" w:sz="1"/>
          <w:bottom w:val="single" w:color="C9D4E6" w:sz="1"/>
          <w:right w:val="single" w:color="C9D4E6" w:sz="1"/>
          <w:insideH w:val="single" w:color="C9D4E6" w:sz="1"/>
          <w:insideV w:val="single" w:color="C9D4E6" w:sz="1"/>
        </w:tblBorders>
      </w:tblPr>
      <w:tblGrid>
        <w:gridCol w:w="2500"/>
        <w:gridCol w:w="4900"/>
      </w:tblGrid>
      <w:tr>
        <w:tc>
          <w:tcPr>
            <w:tcW w:type="dxa" w:w="2500"/>
            <w:shd w:fill="EEF3FB"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Document type</w:t>
            </w:r>
          </w:p>
        </w:tc>
        <w:tc>
          <w:tcPr>
            <w:tcW w:type="dxa" w:w="4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Technical Architecture Document (TAD)</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Platform</w:t>
            </w:r>
          </w:p>
        </w:tc>
        <w:tc>
          <w:tcPr>
            <w:tcW w:type="dxa" w:w="4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Microsoft Azure · Microsoft 365 · SharePoint Online · Microsoft Entra ID · National SSO</w:t>
            </w:r>
          </w:p>
        </w:tc>
      </w:tr>
      <w:tr>
        <w:tc>
          <w:tcPr>
            <w:tcW w:type="dxa" w:w="2500"/>
            <w:shd w:fill="EEF3FB"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Architecture style</w:t>
            </w:r>
          </w:p>
        </w:tc>
        <w:tc>
          <w:tcPr>
            <w:tcW w:type="dxa" w:w="4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Cloud-native, event-driven, staging-first, zero-trust</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Version</w:t>
            </w:r>
          </w:p>
        </w:tc>
        <w:tc>
          <w:tcPr>
            <w:tcW w:type="dxa" w:w="4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1.1 (adds development, build, infrastructure, network and deployment)</w:t>
            </w:r>
          </w:p>
        </w:tc>
      </w:tr>
      <w:tr>
        <w:tc>
          <w:tcPr>
            <w:tcW w:type="dxa" w:w="2500"/>
            <w:shd w:fill="EEF3FB"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Status</w:t>
            </w:r>
          </w:p>
        </w:tc>
        <w:tc>
          <w:tcPr>
            <w:tcW w:type="dxa" w:w="4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Draft for Review</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Classification</w:t>
            </w:r>
          </w:p>
        </w:tc>
        <w:tc>
          <w:tcPr>
            <w:tcW w:type="dxa" w:w="4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OFFICIAL – Internal</w:t>
            </w:r>
          </w:p>
        </w:tc>
      </w:tr>
      <w:tr>
        <w:tc>
          <w:tcPr>
            <w:tcW w:type="dxa" w:w="2500"/>
            <w:shd w:fill="EEF3FB" w:val="clear"/>
            <w:tcMar>
              <w:top w:type="dxa" w:w="64"/>
              <w:left w:type="dxa" w:w="104"/>
              <w:bottom w:type="dxa" w:w="64"/>
              <w:right w:type="dxa" w:w="104"/>
            </w:tcMar>
            <w:vAlign w:val="center"/>
          </w:tcPr>
          <w:p>
            <w:pPr>
              <w:spacing w:after="0" w:line="248"/>
            </w:pPr>
            <w:r>
              <w:rPr>
                <w:rFonts w:ascii="Arial" w:cs="Arial" w:eastAsia="Arial" w:hAnsi="Arial"/>
                <w:b/>
                <w:bCs/>
                <w:color w:val="0F1B33"/>
                <w:sz w:val="16"/>
                <w:szCs w:val="16"/>
              </w:rPr>
              <w:t xml:space="preserve">Date</w:t>
            </w:r>
          </w:p>
        </w:tc>
        <w:tc>
          <w:tcPr>
            <w:tcW w:type="dxa" w:w="4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6"/>
                <w:szCs w:val="16"/>
              </w:rPr>
              <w:t xml:space="preserve">September 2026</w:t>
            </w:r>
          </w:p>
        </w:tc>
      </w:tr>
    </w:tbl>
    <w:p>
      <w:r>
        <w:br w:type="page"/>
      </w:r>
    </w:p>
    <w:p>
      <w:pPr>
        <w:pStyle w:val="Heading1"/>
        <w:spacing w:after="130" w:before="240"/>
      </w:pPr>
      <w:r>
        <w:rPr>
          <w:rFonts w:ascii="Arial" w:cs="Arial" w:eastAsia="Arial" w:hAnsi="Arial"/>
          <w:b/>
          <w:bCs/>
        </w:rPr>
        <w:t xml:space="preserve">Document Control</w:t>
      </w:r>
    </w:p>
    <w:p>
      <w:pPr>
        <w:pStyle w:val="Heading2"/>
        <w:spacing w:after="100" w:before="190"/>
      </w:pPr>
      <w:r>
        <w:rPr>
          <w:rFonts w:ascii="Arial" w:cs="Arial" w:eastAsia="Arial" w:hAnsi="Arial"/>
          <w:b/>
          <w:bCs/>
        </w:rPr>
        <w:t xml:space="preserve">Version History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1150"/>
        <w:gridCol w:w="1550"/>
        <w:gridCol w:w="7380"/>
      </w:tblGrid>
      <w:tr>
        <w:trPr>
          <w:tblHeader/>
        </w:trPr>
        <w:tc>
          <w:tcPr>
            <w:tcW w:type="dxa" w:w="115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Version</w:t>
            </w:r>
          </w:p>
        </w:tc>
        <w:tc>
          <w:tcPr>
            <w:tcW w:type="dxa" w:w="155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Date</w:t>
            </w:r>
          </w:p>
        </w:tc>
        <w:tc>
          <w:tcPr>
            <w:tcW w:type="dxa" w:w="73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Summary of change</w:t>
            </w:r>
          </w:p>
        </w:tc>
      </w:tr>
      <w:tr>
        <w:tc>
          <w:tcPr>
            <w:tcW w:type="dxa" w:w="115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0.1</w:t>
            </w:r>
          </w:p>
        </w:tc>
        <w:tc>
          <w:tcPr>
            <w:tcW w:type="dxa" w:w="155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Aug 2026</w:t>
            </w:r>
          </w:p>
        </w:tc>
        <w:tc>
          <w:tcPr>
            <w:tcW w:type="dxa" w:w="7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Initial architecture skeleton and principles</w:t>
            </w:r>
          </w:p>
        </w:tc>
      </w:tr>
      <w:tr>
        <w:tc>
          <w:tcPr>
            <w:tcW w:type="dxa" w:w="115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0.9</w:t>
            </w:r>
          </w:p>
        </w:tc>
        <w:tc>
          <w:tcPr>
            <w:tcW w:type="dxa" w:w="155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Sep 2026</w:t>
            </w:r>
          </w:p>
        </w:tc>
        <w:tc>
          <w:tcPr>
            <w:tcW w:type="dxa" w:w="7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Solution and application architecture, security and data views</w:t>
            </w:r>
          </w:p>
        </w:tc>
      </w:tr>
      <w:tr>
        <w:tc>
          <w:tcPr>
            <w:tcW w:type="dxa" w:w="115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1.0</w:t>
            </w:r>
          </w:p>
        </w:tc>
        <w:tc>
          <w:tcPr>
            <w:tcW w:type="dxa" w:w="155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Sep 2026</w:t>
            </w:r>
          </w:p>
        </w:tc>
        <w:tc>
          <w:tcPr>
            <w:tcW w:type="dxa" w:w="7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Complete technical baseline with all architecture aspects and diagrams</w:t>
            </w:r>
          </w:p>
        </w:tc>
      </w:tr>
      <w:tr>
        <w:tc>
          <w:tcPr>
            <w:tcW w:type="dxa" w:w="115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1.1</w:t>
            </w:r>
          </w:p>
        </w:tc>
        <w:tc>
          <w:tcPr>
            <w:tcW w:type="dxa" w:w="155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Sep 2026</w:t>
            </w:r>
          </w:p>
        </w:tc>
        <w:tc>
          <w:tcPr>
            <w:tcW w:type="dxa" w:w="7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Added development methodology (VS Code), repository &amp; package structure, detailed application, infrastructure and network layers, and package deployment at the client site</w:t>
            </w:r>
          </w:p>
        </w:tc>
      </w:tr>
    </w:tbl>
    <w:p>
      <w:pPr>
        <w:pStyle w:val="Heading2"/>
        <w:spacing w:after="100" w:before="190"/>
      </w:pPr>
      <w:r>
        <w:rPr>
          <w:rFonts w:ascii="Arial" w:cs="Arial" w:eastAsia="Arial" w:hAnsi="Arial"/>
          <w:b/>
          <w:bCs/>
        </w:rPr>
        <w:t xml:space="preserve">Reviewers &amp; Approvals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5080"/>
        <w:gridCol w:w="200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Review area</w:t>
            </w:r>
          </w:p>
        </w:tc>
        <w:tc>
          <w:tcPr>
            <w:tcW w:type="dxa" w:w="5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c>
          <w:tcPr>
            <w:tcW w:type="dxa" w:w="2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Decision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Solution Architecture</w:t>
            </w:r>
          </w:p>
        </w:tc>
        <w:tc>
          <w:tcPr>
            <w:tcW w:type="dxa" w:w="5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Architecture fitness, integration, operability</w:t>
            </w:r>
          </w:p>
        </w:tc>
        <w:tc>
          <w:tcPr>
            <w:tcW w:type="dxa" w:w="2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Pending</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Security &amp; Identity</w:t>
            </w:r>
          </w:p>
        </w:tc>
        <w:tc>
          <w:tcPr>
            <w:tcW w:type="dxa" w:w="5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Zero-trust, identity, secrets, network controls</w:t>
            </w:r>
          </w:p>
        </w:tc>
        <w:tc>
          <w:tcPr>
            <w:tcW w:type="dxa" w:w="2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Pending</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Data &amp; Compliance</w:t>
            </w:r>
          </w:p>
        </w:tc>
        <w:tc>
          <w:tcPr>
            <w:tcW w:type="dxa" w:w="5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Classification, retention, residency, audit</w:t>
            </w:r>
          </w:p>
        </w:tc>
        <w:tc>
          <w:tcPr>
            <w:tcW w:type="dxa" w:w="2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Pending</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Platform &amp; Operations</w:t>
            </w:r>
          </w:p>
        </w:tc>
        <w:tc>
          <w:tcPr>
            <w:tcW w:type="dxa" w:w="5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Reliability, observability, deployment</w:t>
            </w:r>
          </w:p>
        </w:tc>
        <w:tc>
          <w:tcPr>
            <w:tcW w:type="dxa" w:w="2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Pending</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Programme Governance</w:t>
            </w:r>
          </w:p>
        </w:tc>
        <w:tc>
          <w:tcPr>
            <w:tcW w:type="dxa" w:w="5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Scope, risk, investment</w:t>
            </w:r>
          </w:p>
        </w:tc>
        <w:tc>
          <w:tcPr>
            <w:tcW w:type="dxa" w:w="2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Pending</w:t>
            </w:r>
          </w:p>
        </w:tc>
      </w:tr>
    </w:tbl>
    <w:p>
      <w:r>
        <w:br w:type="page"/>
      </w:r>
    </w:p>
    <w:p>
      <w:pPr>
        <w:pStyle w:val="Heading1"/>
        <w:spacing w:after="130" w:before="240"/>
      </w:pPr>
      <w:r>
        <w:rPr>
          <w:rFonts w:ascii="Arial" w:cs="Arial" w:eastAsia="Arial" w:hAnsi="Arial"/>
          <w:b/>
          <w:bCs/>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240"/>
      </w:pPr>
      <w:r>
        <w:rPr>
          <w:rFonts w:ascii="Arial" w:cs="Arial" w:eastAsia="Arial" w:hAnsi="Arial"/>
          <w:b/>
          <w:bCs/>
        </w:rPr>
        <w:t xml:space="preserve">1. Introduction</w:t>
      </w:r>
    </w:p>
    <w:p>
      <w:pPr>
        <w:pStyle w:val="Heading2"/>
        <w:spacing w:after="100" w:before="190"/>
      </w:pPr>
      <w:r>
        <w:rPr>
          <w:rFonts w:ascii="Arial" w:cs="Arial" w:eastAsia="Arial" w:hAnsi="Arial"/>
          <w:b/>
          <w:bCs/>
        </w:rPr>
        <w:t xml:space="preserve">1.1 Purpose</w:t>
      </w:r>
    </w:p>
    <w:p>
      <w:pPr>
        <w:spacing w:after="120" w:before="0" w:line="268"/>
      </w:pPr>
      <w:r>
        <w:rPr>
          <w:rFonts w:ascii="Arial" w:cs="Arial" w:eastAsia="Arial" w:hAnsi="Arial"/>
        </w:rPr>
        <w:t xml:space="preserve">This Technical Architecture Document (TAD) defines the end-to-end technical architecture of the Docaya Electronic Document Management System (EDMS). It is the authoritative engineering reference that translates the functional and business requirements into a concrete, cloud-native solution built entirely on Microsoft Azure, Microsoft 365, SharePoint Online and Microsoft Entra ID. It describes the solution architecture, the application (component) architecture, the supporting data, integration, security, infrastructure, network and operations views, and — from version 1.1 — the development methodology, package structure and packaged deployment approach used to build and deliver the system to a client environment.</w:t>
      </w:r>
    </w:p>
    <w:p>
      <w:pPr>
        <w:pStyle w:val="Heading2"/>
        <w:spacing w:after="100" w:before="190"/>
      </w:pPr>
      <w:r>
        <w:rPr>
          <w:rFonts w:ascii="Arial" w:cs="Arial" w:eastAsia="Arial" w:hAnsi="Arial"/>
          <w:b/>
          <w:bCs/>
        </w:rPr>
        <w:t xml:space="preserve">1.2 Scope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040"/>
        <w:gridCol w:w="5040"/>
      </w:tblGrid>
      <w:tr>
        <w:trPr>
          <w:tblHeader/>
        </w:trPr>
        <w:tc>
          <w:tcPr>
            <w:tcW w:type="dxa" w:w="504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In scope</w:t>
            </w:r>
          </w:p>
        </w:tc>
        <w:tc>
          <w:tcPr>
            <w:tcW w:type="dxa" w:w="504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Out of scope</w:t>
            </w:r>
          </w:p>
        </w:tc>
      </w:tr>
      <w:tr>
        <w:tc>
          <w:tcPr>
            <w:tcW w:type="dxa" w:w="504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Logical and physical architecture; application components and modules; data model and stores; integration with SharePoint and AI services; identity and access; security, network and encryption; development methodology and repository/package structure; deployment, observability and operations; non-functional design; and architecture decisions.</w:t>
            </w:r>
          </w:p>
        </w:tc>
        <w:tc>
          <w:tcPr>
            <w:tcW w:type="dxa" w:w="504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Detailed low-level class design and source code; project plans and commercials; organisation-specific naming and data; and migration of pre-existing content, which is handled by a separate workstream.</w:t>
            </w:r>
          </w:p>
        </w:tc>
      </w:tr>
    </w:tbl>
    <w:p>
      <w:pPr>
        <w:pStyle w:val="Heading2"/>
        <w:spacing w:after="100" w:before="190"/>
      </w:pPr>
      <w:r>
        <w:rPr>
          <w:rFonts w:ascii="Arial" w:cs="Arial" w:eastAsia="Arial" w:hAnsi="Arial"/>
          <w:b/>
          <w:bCs/>
        </w:rPr>
        <w:t xml:space="preserve">1.3 Intended Audience</w:t>
      </w:r>
    </w:p>
    <w:p>
      <w:pPr>
        <w:pStyle w:val="ListParagraph"/>
        <w:numPr>
          <w:ilvl w:val="0"/>
          <w:numId w:val="2"/>
        </w:numPr>
        <w:spacing w:after="64" w:line="264"/>
      </w:pPr>
      <w:r>
        <w:rPr>
          <w:rFonts w:ascii="Arial" w:cs="Arial" w:eastAsia="Arial" w:hAnsi="Arial"/>
          <w:b/>
          <w:bCs/>
        </w:rPr>
        <w:t xml:space="preserve">Solution &amp; technical architects</w:t>
      </w:r>
      <w:r>
        <w:rPr>
          <w:rFonts w:ascii="Arial" w:cs="Arial" w:eastAsia="Arial" w:hAnsi="Arial"/>
        </w:rPr>
        <w:t xml:space="preserve"> — to validate architecture fitness and evolve the design.</w:t>
      </w:r>
    </w:p>
    <w:p>
      <w:pPr>
        <w:pStyle w:val="ListParagraph"/>
        <w:numPr>
          <w:ilvl w:val="0"/>
          <w:numId w:val="2"/>
        </w:numPr>
        <w:spacing w:after="64" w:line="264"/>
      </w:pPr>
      <w:r>
        <w:rPr>
          <w:rFonts w:ascii="Arial" w:cs="Arial" w:eastAsia="Arial" w:hAnsi="Arial"/>
          <w:b/>
          <w:bCs/>
        </w:rPr>
        <w:t xml:space="preserve">Engineering teams</w:t>
      </w:r>
      <w:r>
        <w:rPr>
          <w:rFonts w:ascii="Arial" w:cs="Arial" w:eastAsia="Arial" w:hAnsi="Arial"/>
        </w:rPr>
        <w:t xml:space="preserve"> — to implement components against a shared blueprint and repository standard.</w:t>
      </w:r>
    </w:p>
    <w:p>
      <w:pPr>
        <w:pStyle w:val="ListParagraph"/>
        <w:numPr>
          <w:ilvl w:val="0"/>
          <w:numId w:val="2"/>
        </w:numPr>
        <w:spacing w:after="64" w:line="264"/>
      </w:pPr>
      <w:r>
        <w:rPr>
          <w:rFonts w:ascii="Arial" w:cs="Arial" w:eastAsia="Arial" w:hAnsi="Arial"/>
          <w:b/>
          <w:bCs/>
        </w:rPr>
        <w:t xml:space="preserve">Security, identity and compliance reviewers</w:t>
      </w:r>
      <w:r>
        <w:rPr>
          <w:rFonts w:ascii="Arial" w:cs="Arial" w:eastAsia="Arial" w:hAnsi="Arial"/>
        </w:rPr>
        <w:t xml:space="preserve"> — to assess controls, network posture and residency.</w:t>
      </w:r>
    </w:p>
    <w:p>
      <w:pPr>
        <w:pStyle w:val="ListParagraph"/>
        <w:numPr>
          <w:ilvl w:val="0"/>
          <w:numId w:val="2"/>
        </w:numPr>
        <w:spacing w:after="64" w:line="264"/>
      </w:pPr>
      <w:r>
        <w:rPr>
          <w:rFonts w:ascii="Arial" w:cs="Arial" w:eastAsia="Arial" w:hAnsi="Arial"/>
          <w:b/>
          <w:bCs/>
        </w:rPr>
        <w:t xml:space="preserve">Platform and operations teams</w:t>
      </w:r>
      <w:r>
        <w:rPr>
          <w:rFonts w:ascii="Arial" w:cs="Arial" w:eastAsia="Arial" w:hAnsi="Arial"/>
        </w:rPr>
        <w:t xml:space="preserve"> — to provision, deploy, monitor and run the system in the client environment.</w:t>
      </w:r>
    </w:p>
    <w:p>
      <w:pPr>
        <w:pStyle w:val="Heading2"/>
        <w:spacing w:after="100" w:before="190"/>
      </w:pPr>
      <w:r>
        <w:rPr>
          <w:rFonts w:ascii="Arial" w:cs="Arial" w:eastAsia="Arial" w:hAnsi="Arial"/>
          <w:b/>
          <w:bCs/>
        </w:rPr>
        <w:t xml:space="preserve">1.4 Definitions &amp; Acronyms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7880"/>
      </w:tblGrid>
      <w:tr>
        <w:trPr>
          <w:tblHeader/>
        </w:trPr>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Term</w:t>
            </w:r>
          </w:p>
        </w:tc>
        <w:tc>
          <w:tcPr>
            <w:tcW w:type="dxa" w:w="78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Meaning</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EDMS</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Electronic Document Management System</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Staging Zone</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Controlled holding area (Blob or SharePoint staging) before approval</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Promotion</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Moving an approved document from staging into the live SharePoint library</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SoR</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System of Record (SharePoint Online for content; Azure SQL for metadata/audit)</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RAG</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Retrieval-Augmented Generation (grounded AI search)</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RBAC / ABAC</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Role- / Attribute-Based Access Control</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BFF</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Backend-for-Frontend</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OBO</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On-Behalf-Of OAuth flow</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Managed Identity (secretless workload identity)</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APIM</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API Management</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IaC</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Infrastructure as Code (Bicep)</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CI/CD</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Continuous Integration / Continuous Delivery</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RPO / RTO</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Recovery Point / Time Objective</w:t>
            </w:r>
          </w:p>
        </w:tc>
      </w:tr>
    </w:tbl>
    <w:p>
      <w:pPr>
        <w:pStyle w:val="Heading2"/>
        <w:spacing w:after="100" w:before="190"/>
      </w:pPr>
      <w:r>
        <w:rPr>
          <w:rFonts w:ascii="Arial" w:cs="Arial" w:eastAsia="Arial" w:hAnsi="Arial"/>
          <w:b/>
          <w:bCs/>
        </w:rPr>
        <w:t xml:space="preserve">1.5 Requirement Conventions</w:t>
      </w:r>
    </w:p>
    <w:p>
      <w:pPr>
        <w:spacing w:after="120" w:before="0" w:line="268"/>
      </w:pPr>
      <w:r>
        <w:rPr>
          <w:rFonts w:ascii="Arial" w:cs="Arial" w:eastAsia="Arial" w:hAnsi="Arial"/>
        </w:rPr>
        <w:t xml:space="preserve">Normative statements use RFC-2119 keywords: MUST, SHOULD and MAY. Architectural decisions that constrain implementation are captured as Architecture Decision Records (ADRs) in Section 22.</w:t>
      </w:r>
    </w:p>
    <w:p>
      <w:r>
        <w:br w:type="page"/>
      </w:r>
    </w:p>
    <w:p>
      <w:pPr>
        <w:pStyle w:val="Heading1"/>
        <w:spacing w:after="130" w:before="240"/>
      </w:pPr>
      <w:r>
        <w:rPr>
          <w:rFonts w:ascii="Arial" w:cs="Arial" w:eastAsia="Arial" w:hAnsi="Arial"/>
          <w:b/>
          <w:bCs/>
        </w:rPr>
        <w:t xml:space="preserve">2. Architecture Goals &amp; Principles</w:t>
      </w:r>
    </w:p>
    <w:p>
      <w:pPr>
        <w:pStyle w:val="Heading2"/>
        <w:spacing w:after="100" w:before="190"/>
      </w:pPr>
      <w:r>
        <w:rPr>
          <w:rFonts w:ascii="Arial" w:cs="Arial" w:eastAsia="Arial" w:hAnsi="Arial"/>
          <w:b/>
          <w:bCs/>
        </w:rPr>
        <w:t xml:space="preserve">2.1 Architecture Goals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60"/>
        <w:gridCol w:w="2700"/>
        <w:gridCol w:w="6820"/>
      </w:tblGrid>
      <w:tr>
        <w:trPr>
          <w:tblHeader/>
        </w:trPr>
        <w:tc>
          <w:tcPr>
            <w:tcW w:type="dxa" w:w="56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t>
            </w:r>
          </w:p>
        </w:tc>
        <w:tc>
          <w:tcPr>
            <w:tcW w:type="dxa" w:w="27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Goal</w:t>
            </w:r>
          </w:p>
        </w:tc>
        <w:tc>
          <w:tcPr>
            <w:tcW w:type="dxa" w:w="682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Rationale</w:t>
            </w:r>
          </w:p>
        </w:tc>
      </w:tr>
      <w:tr>
        <w:tc>
          <w:tcPr>
            <w:tcW w:type="dxa" w:w="5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G1</w:t>
            </w:r>
          </w:p>
        </w:tc>
        <w:tc>
          <w:tcPr>
            <w:tcW w:type="dxa" w:w="2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Governed publishing</w:t>
            </w:r>
          </w:p>
        </w:tc>
        <w:tc>
          <w:tcPr>
            <w:tcW w:type="dxa" w:w="68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 content becomes a record until registered, classified and approved.</w:t>
            </w:r>
          </w:p>
        </w:tc>
      </w:tr>
      <w:tr>
        <w:tc>
          <w:tcPr>
            <w:tcW w:type="dxa" w:w="5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G2</w:t>
            </w:r>
          </w:p>
        </w:tc>
        <w:tc>
          <w:tcPr>
            <w:tcW w:type="dxa" w:w="2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Single source of truth</w:t>
            </w:r>
          </w:p>
        </w:tc>
        <w:tc>
          <w:tcPr>
            <w:tcW w:type="dxa" w:w="68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Content in SharePoint Online; metadata, workflow and audit in Azure SQL.</w:t>
            </w:r>
          </w:p>
        </w:tc>
      </w:tr>
      <w:tr>
        <w:tc>
          <w:tcPr>
            <w:tcW w:type="dxa" w:w="5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G3</w:t>
            </w:r>
          </w:p>
        </w:tc>
        <w:tc>
          <w:tcPr>
            <w:tcW w:type="dxa" w:w="2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Secure by default</w:t>
            </w:r>
          </w:p>
        </w:tc>
        <w:tc>
          <w:tcPr>
            <w:tcW w:type="dxa" w:w="68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Zero-trust, least privilege, everything authenticated and audited.</w:t>
            </w:r>
          </w:p>
        </w:tc>
      </w:tr>
      <w:tr>
        <w:tc>
          <w:tcPr>
            <w:tcW w:type="dxa" w:w="5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G4</w:t>
            </w:r>
          </w:p>
        </w:tc>
        <w:tc>
          <w:tcPr>
            <w:tcW w:type="dxa" w:w="2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Cloud-native &amp; elastic</w:t>
            </w:r>
          </w:p>
        </w:tc>
        <w:tc>
          <w:tcPr>
            <w:tcW w:type="dxa" w:w="68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Managed PaaS services that scale horizontally and fail over cleanly.</w:t>
            </w:r>
          </w:p>
        </w:tc>
      </w:tr>
      <w:tr>
        <w:tc>
          <w:tcPr>
            <w:tcW w:type="dxa" w:w="5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G5</w:t>
            </w:r>
          </w:p>
        </w:tc>
        <w:tc>
          <w:tcPr>
            <w:tcW w:type="dxa" w:w="2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Event-driven &amp; decoupled</w:t>
            </w:r>
          </w:p>
        </w:tc>
        <w:tc>
          <w:tcPr>
            <w:tcW w:type="dxa" w:w="68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Long-running and side-effecting work is asynchronous and idempotent.</w:t>
            </w:r>
          </w:p>
        </w:tc>
      </w:tr>
      <w:tr>
        <w:tc>
          <w:tcPr>
            <w:tcW w:type="dxa" w:w="5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G6</w:t>
            </w:r>
          </w:p>
        </w:tc>
        <w:tc>
          <w:tcPr>
            <w:tcW w:type="dxa" w:w="2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Intelligent retrieval</w:t>
            </w:r>
          </w:p>
        </w:tc>
        <w:tc>
          <w:tcPr>
            <w:tcW w:type="dxa" w:w="68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Permission-trimmed hybrid search and grounded AI answers over approved content.</w:t>
            </w:r>
          </w:p>
        </w:tc>
      </w:tr>
      <w:tr>
        <w:tc>
          <w:tcPr>
            <w:tcW w:type="dxa" w:w="5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G7</w:t>
            </w:r>
          </w:p>
        </w:tc>
        <w:tc>
          <w:tcPr>
            <w:tcW w:type="dxa" w:w="2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Operable &amp; observable</w:t>
            </w:r>
          </w:p>
        </w:tc>
        <w:tc>
          <w:tcPr>
            <w:tcW w:type="dxa" w:w="68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End-to-end tracing, actionable alerts and repeatable deployments.</w:t>
            </w:r>
          </w:p>
        </w:tc>
      </w:tr>
      <w:tr>
        <w:tc>
          <w:tcPr>
            <w:tcW w:type="dxa" w:w="5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G8</w:t>
            </w:r>
          </w:p>
        </w:tc>
        <w:tc>
          <w:tcPr>
            <w:tcW w:type="dxa" w:w="2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Repeatably deployable</w:t>
            </w:r>
          </w:p>
        </w:tc>
        <w:tc>
          <w:tcPr>
            <w:tcW w:type="dxa" w:w="68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One packaged release provisions and deploys the whole platform to any environment.</w:t>
            </w:r>
          </w:p>
        </w:tc>
      </w:tr>
    </w:tbl>
    <w:p>
      <w:pPr>
        <w:pStyle w:val="Heading2"/>
        <w:spacing w:after="100" w:before="190"/>
      </w:pPr>
      <w:r>
        <w:rPr>
          <w:rFonts w:ascii="Arial" w:cs="Arial" w:eastAsia="Arial" w:hAnsi="Arial"/>
          <w:b/>
          <w:bCs/>
        </w:rPr>
        <w:t xml:space="preserve">2.2 Guiding Principles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Principle</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Design implication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is the content system of record</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Published binaries and native versions live in governed libraries; no lock-in.</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Staging-first</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Incomplete or unapproved content is isolated in a controlled staging zone.</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Configuration over code</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Document types, routing, retention and notifications are managed, not hard-coded.</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Least privilege everywhere</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Human and workload identities receive only the access they need, at resource scope.</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Idempotent side effects</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Promotion, indexing and notifications tolerate retries without duplication.</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Defence in depth</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Controls are layered across identity, network, application and data.</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Everything as code</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Infrastructure, configuration and pipelines are versioned and reproducible.</w:t>
            </w:r>
          </w:p>
        </w:tc>
      </w:tr>
    </w:tbl>
    <w:p>
      <w:pPr>
        <w:pStyle w:val="Heading2"/>
        <w:spacing w:after="100" w:before="190"/>
      </w:pPr>
      <w:r>
        <w:rPr>
          <w:rFonts w:ascii="Arial" w:cs="Arial" w:eastAsia="Arial" w:hAnsi="Arial"/>
          <w:b/>
          <w:bCs/>
        </w:rPr>
        <w:t xml:space="preserve">2.3 Architecturally Significant Quality Attributes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Attribute</w:t>
            </w:r>
          </w:p>
        </w:tc>
        <w:tc>
          <w:tcPr>
            <w:tcW w:type="dxa" w:w="7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Target / approach</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Security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Zero-trust, deny-by-default RBAC+ABAC, private networking, encryption, immutable audit.</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Availability</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99.9% baseline via zone-redundant PaaS and health-based routing.</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Performance</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p95 page load &lt; 1.5s; search p95 &lt; 400 ms.</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Scalability</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Stateless services scale horizontally; async workers absorb bursts.</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Reliability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Idempotent operations; retries with backoff; dead-letter handling.</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Recoverability</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RPO ≤ 5 min, RTO ≤ 1 hr; geo-redundant backups.</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Maintainability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Modular services, clean adapters, IaC and automated pipelines.</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Deployability</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Immutable images, versioned IaC, gated CI/CD, one-command environment provisioning.</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Accessibility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WCAG 2.2 AA; bilingual and right-to-left capable presentation.</w:t>
            </w:r>
          </w:p>
        </w:tc>
      </w:tr>
    </w:tbl>
    <w:p>
      <w:pPr>
        <w:pStyle w:val="Heading2"/>
        <w:spacing w:after="100" w:before="190"/>
      </w:pPr>
      <w:r>
        <w:rPr>
          <w:rFonts w:ascii="Arial" w:cs="Arial" w:eastAsia="Arial" w:hAnsi="Arial"/>
          <w:b/>
          <w:bCs/>
        </w:rPr>
        <w:t xml:space="preserve">2.4 Constraints &amp; Assumptions</w:t>
      </w:r>
    </w:p>
    <w:p>
      <w:pPr>
        <w:pStyle w:val="ListParagraph"/>
        <w:numPr>
          <w:ilvl w:val="0"/>
          <w:numId w:val="2"/>
        </w:numPr>
        <w:spacing w:after="64" w:line="264"/>
      </w:pPr>
      <w:r>
        <w:rPr>
          <w:rFonts w:ascii="Arial" w:cs="Arial" w:eastAsia="Arial" w:hAnsi="Arial"/>
        </w:rPr>
        <w:t xml:space="preserve">The platform is delivered exclusively with native Azure and Microsoft 365 services; no third-party platform is required.</w:t>
      </w:r>
    </w:p>
    <w:p>
      <w:pPr>
        <w:pStyle w:val="ListParagraph"/>
        <w:numPr>
          <w:ilvl w:val="0"/>
          <w:numId w:val="2"/>
        </w:numPr>
        <w:spacing w:after="64" w:line="264"/>
      </w:pPr>
      <w:r>
        <w:rPr>
          <w:rFonts w:ascii="Arial" w:cs="Arial" w:eastAsia="Arial" w:hAnsi="Arial"/>
        </w:rPr>
        <w:t xml:space="preserve">A licensed SharePoint Online tenant and a federated national single-sign-on provider are available in the client tenant.</w:t>
      </w:r>
    </w:p>
    <w:p>
      <w:pPr>
        <w:pStyle w:val="ListParagraph"/>
        <w:numPr>
          <w:ilvl w:val="0"/>
          <w:numId w:val="2"/>
        </w:numPr>
        <w:spacing w:after="64" w:line="264"/>
      </w:pPr>
      <w:r>
        <w:rPr>
          <w:rFonts w:ascii="Arial" w:cs="Arial" w:eastAsia="Arial" w:hAnsi="Arial"/>
        </w:rPr>
        <w:t xml:space="preserve">All data resides within the approved sovereign Azure region(s) to meet residency requirements.</w:t>
      </w:r>
    </w:p>
    <w:p>
      <w:pPr>
        <w:pStyle w:val="ListParagraph"/>
        <w:numPr>
          <w:ilvl w:val="0"/>
          <w:numId w:val="2"/>
        </w:numPr>
        <w:spacing w:after="64" w:line="264"/>
      </w:pPr>
      <w:r>
        <w:rPr>
          <w:rFonts w:ascii="Arial" w:cs="Arial" w:eastAsia="Arial" w:hAnsi="Arial"/>
        </w:rPr>
        <w:t xml:space="preserve">Identity is centralised: user access is governed inside the application, while content operations use a governed service identity.</w:t>
      </w:r>
    </w:p>
    <w:p>
      <w:r>
        <w:br w:type="page"/>
      </w:r>
    </w:p>
    <w:p>
      <w:pPr>
        <w:pStyle w:val="Heading1"/>
        <w:spacing w:after="130" w:before="240"/>
      </w:pPr>
      <w:r>
        <w:rPr>
          <w:rFonts w:ascii="Arial" w:cs="Arial" w:eastAsia="Arial" w:hAnsi="Arial"/>
          <w:b/>
          <w:bCs/>
        </w:rPr>
        <w:t xml:space="preserve">3. Architecture Approach &amp; Views</w:t>
      </w:r>
    </w:p>
    <w:p>
      <w:pPr>
        <w:spacing w:after="120" w:before="0" w:line="268"/>
      </w:pPr>
      <w:r>
        <w:rPr>
          <w:rFonts w:ascii="Arial" w:cs="Arial" w:eastAsia="Arial" w:hAnsi="Arial"/>
        </w:rPr>
        <w:t xml:space="preserve">The architecture is described through complementary views so that each stakeholder can reason about the parts that matter to them. Together they provide a complete and consistent picture of the system, from the running services to the way the software is built and deployed.</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4600"/>
        <w:gridCol w:w="30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View</w:t>
            </w:r>
          </w:p>
        </w:tc>
        <w:tc>
          <w:tcPr>
            <w:tcW w:type="dxa" w:w="4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Question it answers</w:t>
            </w:r>
          </w:p>
        </w:tc>
        <w:tc>
          <w:tcPr>
            <w:tcW w:type="dxa" w:w="3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Where in this document</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Solution / physical</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Which services run and how do they connect?</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4</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Application / logical</w:t>
            </w:r>
          </w:p>
        </w:tc>
        <w:tc>
          <w:tcPr>
            <w:tcW w:type="dxa" w:w="4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the software organised into components?</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5</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Process / runtime</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does work flow end to end?</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6</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Data</w:t>
            </w:r>
          </w:p>
        </w:tc>
        <w:tc>
          <w:tcPr>
            <w:tcW w:type="dxa" w:w="4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What is stored, where, and under what rules?</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7</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Integration</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do systems and identities interoperate?</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8</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Security</w:t>
            </w:r>
          </w:p>
        </w:tc>
        <w:tc>
          <w:tcPr>
            <w:tcW w:type="dxa" w:w="4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the system protected?</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9</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Infrastructure / deployment</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it provisioned and released?</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Sections 10, 20</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Observability / operations</w:t>
            </w:r>
          </w:p>
        </w:tc>
        <w:tc>
          <w:tcPr>
            <w:tcW w:type="dxa" w:w="4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it observed and run?</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11</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Development / build</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the software developed and packaged?</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Sections 18, 19</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Network</w:t>
            </w:r>
          </w:p>
        </w:tc>
        <w:tc>
          <w:tcPr>
            <w:tcW w:type="dxa" w:w="4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traffic segmented and secured?</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21</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Packaged delivery</w:t>
            </w:r>
          </w:p>
        </w:tc>
        <w:tc>
          <w:tcPr>
            <w:tcW w:type="dxa" w:w="4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How is it deployed at the client site?</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Section 22</w:t>
            </w:r>
          </w:p>
        </w:tc>
      </w:tr>
    </w:tbl>
    <w:tbl>
      <w:tblPr>
        <w:tblW w:type="dxa" w:w="10080"/>
        <w:tblBorders>
          <w:top w:val="single" w:color="EAF6F5" w:sz="1"/>
          <w:left w:val="single" w:color="14705C" w:sz="18"/>
          <w:bottom w:val="single" w:color="EAF6F5" w:sz="1"/>
          <w:right w:val="single" w:color="EAF6F5" w:sz="1"/>
          <w:insideH w:val="single" w:color="auto" w:sz="4"/>
          <w:insideV w:val="single" w:color="auto" w:sz="4"/>
        </w:tblBorders>
      </w:tblPr>
      <w:tblGrid>
        <w:gridCol w:w="10080"/>
      </w:tblGrid>
      <w:tr>
        <w:tc>
          <w:tcPr>
            <w:tcW w:type="dxa" w:w="10080"/>
            <w:shd w:fill="EAF6F5" w:val="clear"/>
            <w:tcMar>
              <w:top w:type="dxa" w:w="104"/>
              <w:left w:type="dxa" w:w="150"/>
              <w:bottom w:type="dxa" w:w="104"/>
              <w:right w:type="dxa" w:w="140"/>
            </w:tcMar>
          </w:tcPr>
          <w:p>
            <w:pPr>
              <w:spacing w:after="0" w:line="262"/>
            </w:pPr>
            <w:r>
              <w:rPr>
                <w:rFonts w:ascii="Arial" w:cs="Arial" w:eastAsia="Arial" w:hAnsi="Arial"/>
                <w:b/>
                <w:bCs/>
                <w:color w:val="14705C"/>
                <w:sz w:val="18"/>
                <w:szCs w:val="18"/>
              </w:rPr>
              <w:t xml:space="preserve">Reading the two core diagrams  </w:t>
            </w:r>
            <w:r>
              <w:rPr>
                <w:rFonts w:ascii="Arial" w:cs="Arial" w:eastAsia="Arial" w:hAnsi="Arial"/>
                <w:color w:val="0F1B33"/>
                <w:sz w:val="17"/>
                <w:szCs w:val="17"/>
              </w:rPr>
              <w:t xml:space="preserve">Section 4 presents the Solution Architecture — the connected view of Azure and Microsoft 365 building blocks and the data flows between them. Section 5 presents the Application Architecture — the internal, layered composition of the software. Both are shown full-size on the following landscape pages and then described in detail.</w:t>
            </w:r>
          </w:p>
        </w:tc>
      </w:tr>
    </w:tbl>
    <w:p>
      <w:r>
        <w:br w:type="page"/>
      </w:r>
    </w:p>
    <w:p>
      <w:pPr>
        <w:pStyle w:val="Heading1"/>
        <w:spacing w:after="130" w:before="240"/>
      </w:pPr>
      <w:r>
        <w:rPr>
          <w:rFonts w:ascii="Arial" w:cs="Arial" w:eastAsia="Arial" w:hAnsi="Arial"/>
          <w:b/>
          <w:bCs/>
        </w:rPr>
        <w:t xml:space="preserve">4. Solution Architecture</w:t>
      </w:r>
    </w:p>
    <w:p>
      <w:pPr>
        <w:spacing w:after="120" w:before="0" w:line="268"/>
      </w:pPr>
      <w:r>
        <w:rPr>
          <w:rFonts w:ascii="Arial" w:cs="Arial" w:eastAsia="Arial" w:hAnsi="Arial"/>
        </w:rPr>
        <w:t xml:space="preserve">The solution architecture organises the platform into eight cooperating zones — users and channels, identity and single sign-on, the security edge, application services, asynchronous orchestration and messaging, data and content, the Microsoft 365 system of record, and the cross-cutting platform. The diagram overleaf shows every component and the integration paths between them, including the staging-first promotion path and the post-publish retrieval-augmented indexing path. A numbered one-to-ten sequence traces a document from sign-in to searchable record.</w:t>
      </w:r>
    </w:p>
    <w:p>
      <w:pPr>
        <w:spacing w:after="0" w:before="0" w:line="268"/>
      </w:pPr>
      <w:r>
        <w:rPr>
          <w:rFonts w:ascii="Arial" w:cs="Arial" w:eastAsia="Arial" w:hAnsi="Arial"/>
        </w:rPr>
        <w:t xml:space="preserve">The figure is presented full-width on the next (landscape) page for legibility; the layers are then described in detail in Sections 4.1–4.8.</w:t>
      </w:r>
    </w:p>
    <w:p>
      <w:pPr>
        <w:sectPr>
          <w:headerReference w:type="default" r:id="rId7"/>
          <w:footerReference w:type="default" r:id="rId8"/>
          <w:pgSz w:w="12240" w:h="15840" w:orient="portrait"/>
          <w:pgMar w:top="1160" w:right="1080" w:bottom="1040" w:left="1080" w:header="708" w:footer="708" w:gutter="0"/>
          <w:pgNumType/>
          <w:docGrid w:linePitch="360"/>
        </w:sectPr>
      </w:pPr>
    </w:p>
    <w:p>
      <w:pPr>
        <w:spacing w:after="40"/>
        <w:jc w:val="center"/>
      </w:pPr>
      <w:r>
        <w:rPr>
          <w:rFonts w:ascii="Arial" w:cs="Arial" w:eastAsia="Arial" w:hAnsi="Arial"/>
          <w:b/>
          <w:bCs/>
          <w:color w:val="14705C"/>
          <w:sz w:val="15"/>
          <w:szCs w:val="15"/>
        </w:rPr>
        <w:t xml:space="preserve">Figure 1 — Connected Solution Architecture</w:t>
      </w:r>
    </w:p>
    <w:p>
      <w:pPr>
        <w:spacing w:after="30" w:before="30"/>
        <w:jc w:val="center"/>
      </w:pPr>
      <w:r>
        <w:drawing>
          <wp:inline distT="0" distB="0" distL="0" distR="0">
            <wp:extent cx="8382000" cy="5924550"/>
            <wp:effectExtent t="0" r="0" b="0" l="0"/>
            <wp:docPr id="1" name="arch" descr="technical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382000" cy="5924550"/>
                    </a:xfrm>
                    <a:prstGeom prst="rect">
                      <a:avLst/>
                    </a:prstGeom>
                  </pic:spPr>
                </pic:pic>
              </a:graphicData>
            </a:graphic>
          </wp:inline>
        </w:drawing>
      </w:r>
    </w:p>
    <w:p>
      <w:pPr>
        <w:spacing w:after="120" w:before="40"/>
        <w:jc w:val="center"/>
      </w:pPr>
      <w:r>
        <w:rPr>
          <w:rFonts w:ascii="Arial" w:cs="Arial" w:eastAsia="Arial" w:hAnsi="Arial"/>
          <w:i/>
          <w:iCs/>
          <w:color w:val="5A6B85"/>
          <w:sz w:val="15"/>
          <w:szCs w:val="15"/>
        </w:rPr>
        <w:t xml:space="preserve">Figure 1 — Solution architecture: Azure &amp; Microsoft 365 building blocks, integration paths, staging-first promotion (orange) and post-publish RAG indexing (teal).</w:t>
      </w:r>
    </w:p>
    <w:p>
      <w:pPr>
        <w:sectPr>
          <w:headerReference w:type="default" r:id="rId9"/>
          <w:footerReference w:type="default" r:id="rId10"/>
          <w:pgSz w:w="15840" w:h="12240" w:orient="landscape"/>
          <w:pgMar w:top="540" w:right="700" w:bottom="520" w:left="700" w:header="708" w:footer="708" w:gutter="0"/>
          <w:pgNumType/>
          <w:docGrid w:linePitch="360"/>
        </w:sectPr>
      </w:pPr>
    </w:p>
    <w:p>
      <w:pPr>
        <w:pStyle w:val="Heading2"/>
        <w:spacing w:after="100" w:before="190"/>
      </w:pPr>
      <w:r>
        <w:rPr>
          <w:rFonts w:ascii="Arial" w:cs="Arial" w:eastAsia="Arial" w:hAnsi="Arial"/>
          <w:b/>
          <w:bCs/>
        </w:rPr>
        <w:t xml:space="preserve">4.1 Users &amp; Channels</w:t>
      </w:r>
    </w:p>
    <w:p>
      <w:pPr>
        <w:spacing w:after="120" w:before="0" w:line="268"/>
      </w:pPr>
      <w:r>
        <w:rPr>
          <w:rFonts w:ascii="Arial" w:cs="Arial" w:eastAsia="Arial" w:hAnsi="Arial"/>
        </w:rPr>
        <w:t xml:space="preserve">Contributors, approvers, records officers and administrators interact through a single-page web application, with Microsoft Teams and Outlook as secondary channels for approvals and notifications. The client is a modern, accessible experience that is bilingual and right-to-left capable.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Web Browser (SPA)</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Primary experience for capture, classification, approvals, search and administration.</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Teams / Outlook</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Approve documents and receive alerts within existing collaboration tools.</w:t>
            </w:r>
          </w:p>
        </w:tc>
      </w:tr>
    </w:tbl>
    <w:p>
      <w:pPr>
        <w:pStyle w:val="Heading2"/>
        <w:spacing w:after="100" w:before="190"/>
      </w:pPr>
      <w:r>
        <w:rPr>
          <w:rFonts w:ascii="Arial" w:cs="Arial" w:eastAsia="Arial" w:hAnsi="Arial"/>
          <w:b/>
          <w:bCs/>
        </w:rPr>
        <w:t xml:space="preserve">4.2 Identity &amp; Single Sign-On</w:t>
      </w:r>
    </w:p>
    <w:p>
      <w:pPr>
        <w:spacing w:after="120" w:before="0" w:line="268"/>
      </w:pPr>
      <w:r>
        <w:rPr>
          <w:rFonts w:ascii="Arial" w:cs="Arial" w:eastAsia="Arial" w:hAnsi="Arial"/>
        </w:rPr>
        <w:t xml:space="preserve">Authentication is federated: a national digital identity provider is the primary sign-on, federated to Microsoft Entra ID which issues application tokens, enforces multi-factor authentication and conditional access, and drives step-up authentication for sensitive actions.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National Digital ID</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Primary, standards-based single sign-on for all users.</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Microsoft Entra ID</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OIDC/SAML federation, application roles, token issuance.</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MFA + Conditional Access</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Risk-based and step-up authentication policies.</w:t>
            </w:r>
          </w:p>
        </w:tc>
      </w:tr>
    </w:tbl>
    <w:p>
      <w:pPr>
        <w:pStyle w:val="Heading2"/>
        <w:spacing w:after="100" w:before="190"/>
      </w:pPr>
      <w:r>
        <w:rPr>
          <w:rFonts w:ascii="Arial" w:cs="Arial" w:eastAsia="Arial" w:hAnsi="Arial"/>
          <w:b/>
          <w:bCs/>
        </w:rPr>
        <w:t xml:space="preserve">4.3 Security Edge</w:t>
      </w:r>
    </w:p>
    <w:p>
      <w:pPr>
        <w:spacing w:after="120" w:before="0" w:line="268"/>
      </w:pPr>
      <w:r>
        <w:rPr>
          <w:rFonts w:ascii="Arial" w:cs="Arial" w:eastAsia="Arial" w:hAnsi="Arial"/>
        </w:rPr>
        <w:t xml:space="preserve">All ingress passes through a hardened edge. Azure Front Door provides global entry and content delivery, a Web Application Firewall blocks common threats and bots, and Azure API Management enforces throttling, versioning and JSON Web Token validation before any request reaches a service.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Front Door</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Global entry point, routing and CDN.</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Web Application Firewall</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OWASP protection and bot mitigation.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API Management</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Rate limiting, versioning, token validation, policy enforcement.</w:t>
            </w:r>
          </w:p>
        </w:tc>
      </w:tr>
    </w:tbl>
    <w:p>
      <w:pPr>
        <w:pStyle w:val="Heading2"/>
        <w:spacing w:after="100" w:before="190"/>
      </w:pPr>
      <w:r>
        <w:rPr>
          <w:rFonts w:ascii="Arial" w:cs="Arial" w:eastAsia="Arial" w:hAnsi="Arial"/>
          <w:b/>
          <w:bCs/>
        </w:rPr>
        <w:t xml:space="preserve">4.4 Application Services</w:t>
      </w:r>
    </w:p>
    <w:p>
      <w:pPr>
        <w:spacing w:after="120" w:before="0" w:line="268"/>
      </w:pPr>
      <w:r>
        <w:rPr>
          <w:rFonts w:ascii="Arial" w:cs="Arial" w:eastAsia="Arial" w:hAnsi="Arial"/>
        </w:rPr>
        <w:t xml:space="preserve">The application tier hosts the domain modules as independently deployable services on Azure Container Apps or App Service. Each service owns a bounded context — capture and registration, classification, workflow and approval, promotion, notification, search, access control, and administration and reporting — and emits domain events for loose coupling and audit.</w:t>
      </w:r>
    </w:p>
    <w:p>
      <w:pPr>
        <w:pStyle w:val="Heading2"/>
        <w:spacing w:after="100" w:before="190"/>
      </w:pPr>
      <w:r>
        <w:rPr>
          <w:rFonts w:ascii="Arial" w:cs="Arial" w:eastAsia="Arial" w:hAnsi="Arial"/>
          <w:b/>
          <w:bCs/>
        </w:rPr>
        <w:t xml:space="preserve">4.5 Asynchronous Orchestration &amp; Messaging</w:t>
      </w:r>
    </w:p>
    <w:p>
      <w:pPr>
        <w:spacing w:after="120" w:before="0" w:line="268"/>
      </w:pPr>
      <w:r>
        <w:rPr>
          <w:rFonts w:ascii="Arial" w:cs="Arial" w:eastAsia="Arial" w:hAnsi="Arial"/>
        </w:rPr>
        <w:t xml:space="preserve">Long-running and side-effecting work is asynchronous. Durable Functions orchestrate the approval and idempotent promotion process; Azure Service Bus carries queues, topics and domain events; timer-triggered Azure Functions run the expiry scan, the batch indexing job and staging cleanup; and Azure SignalR pushes real-time updates to the client.</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Durable Functions</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Stateful orchestration of approval and promotion; idempotent by design.</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Service Bus</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Reliable queues, topics and event distribution.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 (timers)</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Expiry reminders, batch RAG indexing, staging lifecycle cleanup.</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SignalR</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Real-time notification push to connected clients.</w:t>
            </w:r>
          </w:p>
        </w:tc>
      </w:tr>
    </w:tbl>
    <w:p>
      <w:pPr>
        <w:pStyle w:val="Heading2"/>
        <w:spacing w:after="100" w:before="190"/>
      </w:pPr>
      <w:r>
        <w:rPr>
          <w:rFonts w:ascii="Arial" w:cs="Arial" w:eastAsia="Arial" w:hAnsi="Arial"/>
          <w:b/>
          <w:bCs/>
        </w:rPr>
        <w:t xml:space="preserve">4.6 Data &amp; Content</w:t>
      </w:r>
    </w:p>
    <w:p>
      <w:pPr>
        <w:spacing w:after="120" w:before="0" w:line="268"/>
      </w:pPr>
      <w:r>
        <w:rPr>
          <w:rFonts w:ascii="Arial" w:cs="Arial" w:eastAsia="Arial" w:hAnsi="Arial"/>
        </w:rPr>
        <w:t xml:space="preserve">The data zone separates transient staging from durable stores. Azure Blob Storage holds the original file during capture, classification and approval; Azure SQL Database is the authoritative registry for metadata, workflow state and the hash-chained audit; Azure AI Search holds the vector and keyword index; Azure OpenAI provides embeddings and grounded answers; and Azure Cache for Redis serves sessions, presence and unread counts. A malware and data-loss-prevention gate validates every upload before it can proceed.</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Blob Storage (Staging)</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Holds the original file in its native format with lifecycle rules.</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SQL Database</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Registry, metadata, workflow state and tamper-evident audit.</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AI Search</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Hybrid vector + keyword index over approved content.</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OpenAI</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Embeddings and grounded, cited answers for the assistant.</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Cache for Redis</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Sessions, presence and unread notification counts.</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Content-safety gate</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Malware scan and DLP/classification checks before commit.</w:t>
            </w:r>
          </w:p>
        </w:tc>
      </w:tr>
    </w:tbl>
    <w:p>
      <w:pPr>
        <w:pStyle w:val="Heading2"/>
        <w:spacing w:after="100" w:before="190"/>
      </w:pPr>
      <w:r>
        <w:rPr>
          <w:rFonts w:ascii="Arial" w:cs="Arial" w:eastAsia="Arial" w:hAnsi="Arial"/>
          <w:b/>
          <w:bCs/>
        </w:rPr>
        <w:t xml:space="preserve">4.7 Microsoft 365 — System of Record</w:t>
      </w:r>
    </w:p>
    <w:p>
      <w:pPr>
        <w:spacing w:after="120" w:before="0" w:line="268"/>
      </w:pPr>
      <w:r>
        <w:rPr>
          <w:rFonts w:ascii="Arial" w:cs="Arial" w:eastAsia="Arial" w:hAnsi="Arial"/>
        </w:rPr>
        <w:t xml:space="preserve">Approved content lives in SharePoint Online, which provides governed libraries and native versioning. Microsoft Graph is the integration surface for drive-item operations, performed under a governed workload identity. Azure Communication Services and Graph deliver email and Teams/Outlook notifications.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70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w:t>
            </w:r>
          </w:p>
        </w:tc>
        <w:tc>
          <w:tcPr>
            <w:tcW w:type="dxa" w:w="7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Online</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Live libraries, native versioning; content system of record.</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Microsoft Graph</w:t>
            </w:r>
          </w:p>
        </w:tc>
        <w:tc>
          <w:tcPr>
            <w:tcW w:type="dxa" w:w="7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Drive-item APIs for promotion and retrieval; OBO / application permissions.</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Communication Services + Graph</w:t>
            </w:r>
          </w:p>
        </w:tc>
        <w:tc>
          <w:tcPr>
            <w:tcW w:type="dxa" w:w="7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Email and Teams/Outlook notification delivery.</w:t>
            </w:r>
          </w:p>
        </w:tc>
      </w:tr>
    </w:tbl>
    <w:p>
      <w:pPr>
        <w:pStyle w:val="Heading2"/>
        <w:spacing w:after="100" w:before="190"/>
      </w:pPr>
      <w:r>
        <w:rPr>
          <w:rFonts w:ascii="Arial" w:cs="Arial" w:eastAsia="Arial" w:hAnsi="Arial"/>
          <w:b/>
          <w:bCs/>
        </w:rPr>
        <w:t xml:space="preserve">4.8 Cross-Cutting Platform</w:t>
      </w:r>
    </w:p>
    <w:p>
      <w:pPr>
        <w:spacing w:after="120" w:before="0" w:line="268"/>
      </w:pPr>
      <w:r>
        <w:rPr>
          <w:rFonts w:ascii="Arial" w:cs="Arial" w:eastAsia="Arial" w:hAnsi="Arial"/>
        </w:rPr>
        <w:t xml:space="preserve">Platform services apply to every zone: Azure Key Vault for secrets, certificates and keys; Managed Identity for secretless workload authentication; Microsoft Defender for Cloud for threat protection and upload malware scanning; Microsoft Purview for sensitivity labelling and data-loss prevention; and Azure Monitor with Log Analytics (and Power BI) for metrics, logs, traces and dashboards.</w:t>
      </w:r>
    </w:p>
    <w:tbl>
      <w:tblPr>
        <w:tblW w:type="dxa" w:w="10080"/>
        <w:tblBorders>
          <w:top w:val="single" w:color="FFF3E8" w:sz="1"/>
          <w:left w:val="single" w:color="D9660F" w:sz="18"/>
          <w:bottom w:val="single" w:color="FFF3E8" w:sz="1"/>
          <w:right w:val="single" w:color="FFF3E8" w:sz="1"/>
          <w:insideH w:val="single" w:color="auto" w:sz="4"/>
          <w:insideV w:val="single" w:color="auto" w:sz="4"/>
        </w:tblBorders>
      </w:tblPr>
      <w:tblGrid>
        <w:gridCol w:w="10080"/>
      </w:tblGrid>
      <w:tr>
        <w:tc>
          <w:tcPr>
            <w:tcW w:type="dxa" w:w="10080"/>
            <w:shd w:fill="FFF3E8" w:val="clear"/>
            <w:tcMar>
              <w:top w:type="dxa" w:w="104"/>
              <w:left w:type="dxa" w:w="150"/>
              <w:bottom w:type="dxa" w:w="104"/>
              <w:right w:type="dxa" w:w="140"/>
            </w:tcMar>
          </w:tcPr>
          <w:p>
            <w:pPr>
              <w:spacing w:after="0" w:line="262"/>
            </w:pPr>
            <w:r>
              <w:rPr>
                <w:rFonts w:ascii="Arial" w:cs="Arial" w:eastAsia="Arial" w:hAnsi="Arial"/>
                <w:b/>
                <w:bCs/>
                <w:color w:val="D9660F"/>
                <w:sz w:val="18"/>
                <w:szCs w:val="18"/>
              </w:rPr>
              <w:t xml:space="preserve">Staging-first &amp; RAG paths  </w:t>
            </w:r>
            <w:r>
              <w:rPr>
                <w:rFonts w:ascii="Arial" w:cs="Arial" w:eastAsia="Arial" w:hAnsi="Arial"/>
                <w:color w:val="0F1B33"/>
                <w:sz w:val="17"/>
                <w:szCs w:val="17"/>
              </w:rPr>
              <w:t xml:space="preserve">The orange path shows that a document is promoted into the correct SharePoint library only on approval, in its original format. The teal path shows that retrieval-augmented indexing runs as a batch over approved, published content — never during capture or classification.</w:t>
            </w:r>
          </w:p>
        </w:tc>
      </w:tr>
    </w:tbl>
    <w:p>
      <w:r>
        <w:br w:type="page"/>
      </w:r>
    </w:p>
    <w:p>
      <w:pPr>
        <w:pStyle w:val="Heading1"/>
        <w:spacing w:after="130" w:before="240"/>
      </w:pPr>
      <w:r>
        <w:rPr>
          <w:rFonts w:ascii="Arial" w:cs="Arial" w:eastAsia="Arial" w:hAnsi="Arial"/>
          <w:b/>
          <w:bCs/>
        </w:rPr>
        <w:t xml:space="preserve">5. Application Architecture</w:t>
      </w:r>
    </w:p>
    <w:p>
      <w:pPr>
        <w:spacing w:after="120" w:before="0" w:line="268"/>
      </w:pPr>
      <w:r>
        <w:rPr>
          <w:rFonts w:ascii="Arial" w:cs="Arial" w:eastAsia="Arial" w:hAnsi="Arial"/>
        </w:rPr>
        <w:t xml:space="preserve">The application architecture describes how the software itself is composed. It follows a clean, layered structure with clear dependency direction from top to bottom: a presentation tier, an API gateway and backend-for-frontend, the application (domain) services, a domain model and business-logic layer, integration and anti-corruption adapters, and a data-access and persistence layer. Cross-cutting concerns apply to every layer, and asynchronous workers handle orchestration and scheduled processing.</w:t>
      </w:r>
    </w:p>
    <w:p>
      <w:pPr>
        <w:spacing w:after="0" w:before="0" w:line="268"/>
      </w:pPr>
      <w:r>
        <w:rPr>
          <w:rFonts w:ascii="Arial" w:cs="Arial" w:eastAsia="Arial" w:hAnsi="Arial"/>
        </w:rPr>
        <w:t xml:space="preserve">The component diagram is presented full-width on the next (landscape) page and then described tier by tier in Sections 5.1–5.7.</w:t>
      </w:r>
    </w:p>
    <w:p>
      <w:pPr>
        <w:sectPr>
          <w:headerReference w:type="default" r:id="rId11"/>
          <w:footerReference w:type="default" r:id="rId12"/>
          <w:pgSz w:w="12240" w:h="15840" w:orient="portrait"/>
          <w:pgMar w:top="1160" w:right="1080" w:bottom="1040" w:left="1080" w:header="708" w:footer="708" w:gutter="0"/>
          <w:pgNumType/>
          <w:docGrid w:linePitch="360"/>
        </w:sectPr>
      </w:pPr>
    </w:p>
    <w:p>
      <w:pPr>
        <w:spacing w:after="40"/>
        <w:jc w:val="center"/>
      </w:pPr>
      <w:r>
        <w:rPr>
          <w:rFonts w:ascii="Arial" w:cs="Arial" w:eastAsia="Arial" w:hAnsi="Arial"/>
          <w:b/>
          <w:bCs/>
          <w:color w:val="14705C"/>
          <w:sz w:val="15"/>
          <w:szCs w:val="15"/>
        </w:rPr>
        <w:t xml:space="preserve">Figure 2 — Detailed Application Architecture</w:t>
      </w:r>
    </w:p>
    <w:p>
      <w:pPr>
        <w:spacing w:after="30" w:before="30"/>
        <w:jc w:val="center"/>
      </w:pPr>
      <w:r>
        <w:drawing>
          <wp:inline distT="0" distB="0" distL="0" distR="0">
            <wp:extent cx="7620000" cy="6115050"/>
            <wp:effectExtent t="0" r="0" b="0" l="0"/>
            <wp:docPr id="1" name="arch" descr="technical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7620000" cy="6115050"/>
                    </a:xfrm>
                    <a:prstGeom prst="rect">
                      <a:avLst/>
                    </a:prstGeom>
                  </pic:spPr>
                </pic:pic>
              </a:graphicData>
            </a:graphic>
          </wp:inline>
        </w:drawing>
      </w:r>
    </w:p>
    <w:p>
      <w:pPr>
        <w:spacing w:after="120" w:before="40"/>
        <w:jc w:val="center"/>
      </w:pPr>
      <w:r>
        <w:rPr>
          <w:rFonts w:ascii="Arial" w:cs="Arial" w:eastAsia="Arial" w:hAnsi="Arial"/>
          <w:i/>
          <w:iCs/>
          <w:color w:val="5A6B85"/>
          <w:sz w:val="15"/>
          <w:szCs w:val="15"/>
        </w:rPr>
        <w:t xml:space="preserve">Figure 2 — Application architecture: presentation, API/BFF, application services (M1–M15), domain logic, integration adapters, data access, and cross-cutting concerns.</w:t>
      </w:r>
    </w:p>
    <w:p>
      <w:pPr>
        <w:sectPr>
          <w:headerReference w:type="default" r:id="rId13"/>
          <w:footerReference w:type="default" r:id="rId14"/>
          <w:pgSz w:w="15840" w:h="12240" w:orient="landscape"/>
          <w:pgMar w:top="540" w:right="700" w:bottom="520" w:left="700" w:header="708" w:footer="708" w:gutter="0"/>
          <w:pgNumType/>
          <w:docGrid w:linePitch="360"/>
        </w:sectPr>
      </w:pPr>
    </w:p>
    <w:p>
      <w:pPr>
        <w:pStyle w:val="Heading2"/>
        <w:spacing w:after="100" w:before="190"/>
      </w:pPr>
      <w:r>
        <w:rPr>
          <w:rFonts w:ascii="Arial" w:cs="Arial" w:eastAsia="Arial" w:hAnsi="Arial"/>
          <w:b/>
          <w:bCs/>
        </w:rPr>
        <w:t xml:space="preserve">5.1 Presentation Tier</w:t>
      </w:r>
    </w:p>
    <w:p>
      <w:pPr>
        <w:spacing w:after="120" w:before="0" w:line="268"/>
      </w:pPr>
      <w:r>
        <w:rPr>
          <w:rFonts w:ascii="Arial" w:cs="Arial" w:eastAsia="Arial" w:hAnsi="Arial"/>
        </w:rPr>
        <w:t xml:space="preserve">The presentation tier is a React 18 and TypeScript single-page application built with Fluent UI and hosted on Azure Static Web Apps. It is composed of nine feature modules and five foundation blocks.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7880"/>
      </w:tblGrid>
      <w:tr>
        <w:trPr>
          <w:tblHeader/>
        </w:trPr>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Group</w:t>
            </w:r>
          </w:p>
        </w:tc>
        <w:tc>
          <w:tcPr>
            <w:tcW w:type="dxa" w:w="78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Components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Feature modules</w:t>
            </w:r>
          </w:p>
        </w:tc>
        <w:tc>
          <w:tcPr>
            <w:tcW w:type="dxa" w:w="7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Dashboard · Capture &amp; Register · My Documents · Approvals · Search / Ask · Notification Center · Records &amp; Retention · Audit Trail · Admin Center</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Foundation</w:t>
            </w:r>
          </w:p>
        </w:tc>
        <w:tc>
          <w:tcPr>
            <w:tcW w:type="dxa" w:w="7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Accessible UI component kit · State &amp; data (server cache + client store) · i18n / RTL · Auth client (OIDC + PKCE) · Real-time client (SignalR)</w:t>
            </w:r>
          </w:p>
        </w:tc>
      </w:tr>
    </w:tbl>
    <w:p>
      <w:pPr>
        <w:pStyle w:val="Heading2"/>
        <w:spacing w:after="100" w:before="190"/>
      </w:pPr>
      <w:r>
        <w:rPr>
          <w:rFonts w:ascii="Arial" w:cs="Arial" w:eastAsia="Arial" w:hAnsi="Arial"/>
          <w:b/>
          <w:bCs/>
        </w:rPr>
        <w:t xml:space="preserve">5.2 API Gateway &amp; Backend-for-Frontend</w:t>
      </w:r>
    </w:p>
    <w:p>
      <w:pPr>
        <w:spacing w:after="120" w:before="0" w:line="268"/>
      </w:pPr>
      <w:r>
        <w:rPr>
          <w:rFonts w:ascii="Arial" w:cs="Arial" w:eastAsia="Arial" w:hAnsi="Arial"/>
        </w:rPr>
        <w:t xml:space="preserve">A backend-for-frontend behind Azure API Management aggregates reads, shapes responses for the client, and hosts the request-processing pipeline. Every request passes through authentication, authorization (RBAC + ABAC), input validation, rate limiting, correlation-ID assignment and a normalised error envelope.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7480"/>
      </w:tblGrid>
      <w:tr>
        <w:trPr>
          <w:tblHeader/>
        </w:trPr>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Pipeline stage</w:t>
            </w:r>
          </w:p>
        </w:tc>
        <w:tc>
          <w:tcPr>
            <w:tcW w:type="dxa" w:w="7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Function</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Authentication</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Validate the Entra-issued bearer token.</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Authorization</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Enforce deny-by-default RBAC + ABAC for the operation and object.</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Validation</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Validate body, schema, MIME type and identifiers.</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Rate limiting</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Protect services per key/user.</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Correlation</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Attach an end-to-end request ID.</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Error handling</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Return safe, structured error envelopes without leaking internals.</w:t>
            </w:r>
          </w:p>
        </w:tc>
      </w:tr>
    </w:tbl>
    <w:p>
      <w:pPr>
        <w:pStyle w:val="Heading2"/>
        <w:spacing w:after="100" w:before="190"/>
      </w:pPr>
      <w:r>
        <w:rPr>
          <w:rFonts w:ascii="Arial" w:cs="Arial" w:eastAsia="Arial" w:hAnsi="Arial"/>
          <w:b/>
          <w:bCs/>
        </w:rPr>
        <w:t xml:space="preserve">5.3 Application Services (Domain Modules)</w:t>
      </w:r>
    </w:p>
    <w:p>
      <w:pPr>
        <w:spacing w:after="120" w:before="0" w:line="268"/>
      </w:pPr>
      <w:r>
        <w:rPr>
          <w:rFonts w:ascii="Arial" w:cs="Arial" w:eastAsia="Arial" w:hAnsi="Arial"/>
        </w:rPr>
        <w:t xml:space="preserve">The domain modules implement the business capabilities. Each is a cohesive service with a single responsibility, communicating synchronously via the BFF and asynchronously via events.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100"/>
        <w:gridCol w:w="6980"/>
      </w:tblGrid>
      <w:tr>
        <w:trPr>
          <w:tblHeader/>
        </w:trPr>
        <w:tc>
          <w:tcPr>
            <w:tcW w:type="dxa" w:w="31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Module</w:t>
            </w:r>
          </w:p>
        </w:tc>
        <w:tc>
          <w:tcPr>
            <w:tcW w:type="dxa" w:w="69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Responsibility</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 Capture &amp; Registration</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Chunked upload, SHA-256 hashing, tracking-number issue, registry creation.</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M2 Classification</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Manual, schema-validated metadata capture.</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M3 Workflow &amp; Approval</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Routing rules, SLA timers, escalation, decision handling.</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M4 Promotion &amp; Publishing</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Graph upload of the original file, version write-back.</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M5 Staging Lifecycle</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Purge or retain staging, replay failed promotions.</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M6 Ask (RAG)</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Grounded, cited answers over permitted content.</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M7 Notification</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Preference evaluation and multi-channel fan-out.</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M8 Correspondence</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Reference numbers, threading and action tracking.</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M9 Records &amp; Retention</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Retention schedules, disposition and legal hold.</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M10 Search</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Hybrid keyword + semantic query orchestration.</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M11 Identity &amp; Session</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Federated sign-on, OBO and session management.</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M12 Access Control</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RBAC + ABAC effective-permission evaluation.</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M13/M14 Admin &amp; Reporting</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No-code configuration, dashboards and exports.</w:t>
            </w:r>
          </w:p>
        </w:tc>
      </w:tr>
      <w:tr>
        <w:tc>
          <w:tcPr>
            <w:tcW w:type="dxa" w:w="3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M15 Audit</w:t>
            </w:r>
          </w:p>
        </w:tc>
        <w:tc>
          <w:tcPr>
            <w:tcW w:type="dxa" w:w="6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Hash-chained, tamper-evident event recording.</w:t>
            </w:r>
          </w:p>
        </w:tc>
      </w:tr>
      <w:tr>
        <w:tc>
          <w:tcPr>
            <w:tcW w:type="dxa" w:w="3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Document Service (core)</w:t>
            </w:r>
          </w:p>
        </w:tc>
        <w:tc>
          <w:tcPr>
            <w:tcW w:type="dxa" w:w="6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CRUD, deduplication and the document state machine.</w:t>
            </w:r>
          </w:p>
        </w:tc>
      </w:tr>
    </w:tbl>
    <w:p>
      <w:pPr>
        <w:pStyle w:val="Heading2"/>
        <w:spacing w:after="100" w:before="190"/>
      </w:pPr>
      <w:r>
        <w:rPr>
          <w:rFonts w:ascii="Arial" w:cs="Arial" w:eastAsia="Arial" w:hAnsi="Arial"/>
          <w:b/>
          <w:bCs/>
        </w:rPr>
        <w:t xml:space="preserve">5.4 Domain Model &amp; Business Logic</w:t>
      </w:r>
    </w:p>
    <w:p>
      <w:pPr>
        <w:spacing w:after="120" w:before="0" w:line="268"/>
      </w:pPr>
      <w:r>
        <w:rPr>
          <w:rFonts w:ascii="Arial" w:cs="Arial" w:eastAsia="Arial" w:hAnsi="Arial"/>
        </w:rPr>
        <w:t xml:space="preserve">Business rules are centralised in a domain layer independent of infrastructure. It contains the workflow engine (states, transitions and guards), the routing and rules engine (mapping class and sensitivity to library and approvers), the policy engine (retention, legal hold and ABAC rules), the domain entities (document, version, ACL, audit), and the invariants that enforce the platform's business rules.</w:t>
      </w:r>
    </w:p>
    <w:p>
      <w:pPr>
        <w:pStyle w:val="Heading2"/>
        <w:spacing w:after="100" w:before="190"/>
      </w:pPr>
      <w:r>
        <w:rPr>
          <w:rFonts w:ascii="Arial" w:cs="Arial" w:eastAsia="Arial" w:hAnsi="Arial"/>
          <w:b/>
          <w:bCs/>
        </w:rPr>
        <w:t xml:space="preserve">5.5 Integration &amp; Anti-Corruption Adapters</w:t>
      </w:r>
    </w:p>
    <w:p>
      <w:pPr>
        <w:spacing w:after="120" w:before="0" w:line="268"/>
      </w:pPr>
      <w:r>
        <w:rPr>
          <w:rFonts w:ascii="Arial" w:cs="Arial" w:eastAsia="Arial" w:hAnsi="Arial"/>
        </w:rPr>
        <w:t xml:space="preserve">External systems are reached only through adapters that isolate the domain from provider-specific detail. This keeps the core clean and makes providers replaceable.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900"/>
        <w:gridCol w:w="7180"/>
      </w:tblGrid>
      <w:tr>
        <w:trPr>
          <w:tblHeader/>
        </w:trPr>
        <w:tc>
          <w:tcPr>
            <w:tcW w:type="dxa" w:w="29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Adapter</w:t>
            </w:r>
          </w:p>
        </w:tc>
        <w:tc>
          <w:tcPr>
            <w:tcW w:type="dxa" w:w="71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Encapsulates</w:t>
            </w:r>
          </w:p>
        </w:tc>
      </w:tr>
      <w:tr>
        <w:tc>
          <w:tcPr>
            <w:tcW w:type="dxa" w:w="2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Graph Adapter</w:t>
            </w:r>
          </w:p>
        </w:tc>
        <w:tc>
          <w:tcPr>
            <w:tcW w:type="dxa" w:w="71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drive-item operations via Microsoft Graph (OBO / app-only).</w:t>
            </w:r>
          </w:p>
        </w:tc>
      </w:tr>
      <w:tr>
        <w:tc>
          <w:tcPr>
            <w:tcW w:type="dxa" w:w="2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Search Adapter</w:t>
            </w:r>
          </w:p>
        </w:tc>
        <w:tc>
          <w:tcPr>
            <w:tcW w:type="dxa" w:w="71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AI Search indexing and query.</w:t>
            </w:r>
          </w:p>
        </w:tc>
      </w:tr>
      <w:tr>
        <w:tc>
          <w:tcPr>
            <w:tcW w:type="dxa" w:w="2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AI Adapter</w:t>
            </w:r>
          </w:p>
        </w:tc>
        <w:tc>
          <w:tcPr>
            <w:tcW w:type="dxa" w:w="71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OpenAI embeddings and chat completions.</w:t>
            </w:r>
          </w:p>
        </w:tc>
      </w:tr>
      <w:tr>
        <w:tc>
          <w:tcPr>
            <w:tcW w:type="dxa" w:w="2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Notification Providers</w:t>
            </w:r>
          </w:p>
        </w:tc>
        <w:tc>
          <w:tcPr>
            <w:tcW w:type="dxa" w:w="71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Communication Services email, Teams and SignalR.</w:t>
            </w:r>
          </w:p>
        </w:tc>
      </w:tr>
      <w:tr>
        <w:tc>
          <w:tcPr>
            <w:tcW w:type="dxa" w:w="2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Storage Adapter</w:t>
            </w:r>
          </w:p>
        </w:tc>
        <w:tc>
          <w:tcPr>
            <w:tcW w:type="dxa" w:w="71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Streaming to and from Blob staging.</w:t>
            </w:r>
          </w:p>
        </w:tc>
      </w:tr>
      <w:tr>
        <w:tc>
          <w:tcPr>
            <w:tcW w:type="dxa" w:w="2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Identity Adapter</w:t>
            </w:r>
          </w:p>
        </w:tc>
        <w:tc>
          <w:tcPr>
            <w:tcW w:type="dxa" w:w="71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Entra, national SSO and Managed Identity token acquisition.</w:t>
            </w:r>
          </w:p>
        </w:tc>
      </w:tr>
    </w:tbl>
    <w:p>
      <w:pPr>
        <w:pStyle w:val="Heading2"/>
        <w:spacing w:after="100" w:before="190"/>
      </w:pPr>
      <w:r>
        <w:rPr>
          <w:rFonts w:ascii="Arial" w:cs="Arial" w:eastAsia="Arial" w:hAnsi="Arial"/>
          <w:b/>
          <w:bCs/>
        </w:rPr>
        <w:t xml:space="preserve">5.6 Data Access &amp; Persistence</w:t>
      </w:r>
    </w:p>
    <w:p>
      <w:pPr>
        <w:spacing w:after="120" w:before="0" w:line="268"/>
      </w:pPr>
      <w:r>
        <w:rPr>
          <w:rFonts w:ascii="Arial" w:cs="Arial" w:eastAsia="Arial" w:hAnsi="Arial"/>
        </w:rPr>
        <w:t xml:space="preserve">A repository and unit-of-work layer with EF Core mappings mediates all persistence, providing cursor pagination and idempotency keys. It fronts Azure SQL (registry, metadata, workflow, audit), Blob staging (original files), Azure AI Search (index), Redis (cache) and SharePoint Online (published records).</w:t>
      </w:r>
    </w:p>
    <w:p>
      <w:pPr>
        <w:pStyle w:val="Heading2"/>
        <w:spacing w:after="100" w:before="190"/>
      </w:pPr>
      <w:r>
        <w:rPr>
          <w:rFonts w:ascii="Arial" w:cs="Arial" w:eastAsia="Arial" w:hAnsi="Arial"/>
          <w:b/>
          <w:bCs/>
        </w:rPr>
        <w:t xml:space="preserve">5.7 Cross-Cutting Concerns &amp; Async Workers</w:t>
      </w:r>
    </w:p>
    <w:p>
      <w:pPr>
        <w:spacing w:after="120" w:before="0" w:line="268"/>
      </w:pPr>
      <w:r>
        <w:rPr>
          <w:rFonts w:ascii="Arial" w:cs="Arial" w:eastAsia="Arial" w:hAnsi="Arial"/>
        </w:rPr>
        <w:t xml:space="preserve">Security, observability, secrets management, caching and resilience, content safety, audit and DevOps apply across all layers. Asynchronous workers — Durable Functions, Service Bus consumers and timer functions — orchestrate approval and promotion, distribute events, and run the batch indexing and expiry jobs, all with idempotent, retry-safe semantics.</w:t>
      </w:r>
    </w:p>
    <w:p>
      <w:r>
        <w:br w:type="page"/>
      </w:r>
    </w:p>
    <w:p>
      <w:pPr>
        <w:pStyle w:val="Heading1"/>
        <w:spacing w:after="130" w:before="240"/>
      </w:pPr>
      <w:r>
        <w:rPr>
          <w:rFonts w:ascii="Arial" w:cs="Arial" w:eastAsia="Arial" w:hAnsi="Arial"/>
          <w:b/>
          <w:bCs/>
        </w:rPr>
        <w:t xml:space="preserve">6. Process &amp; Runtime View — End-to-End Lifecycle</w:t>
      </w:r>
    </w:p>
    <w:p>
      <w:pPr>
        <w:spacing w:after="120" w:before="0" w:line="268"/>
      </w:pPr>
      <w:r>
        <w:rPr>
          <w:rFonts w:ascii="Arial" w:cs="Arial" w:eastAsia="Arial" w:hAnsi="Arial"/>
        </w:rPr>
        <w:t xml:space="preserve">The platform enforces a controlled capture → classify → approve → promote pipeline, followed by batch indexing and continuous access governance. The table below is the authoritative runtime sequence.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00"/>
        <w:gridCol w:w="1500"/>
        <w:gridCol w:w="6480"/>
        <w:gridCol w:w="1600"/>
      </w:tblGrid>
      <w:tr>
        <w:trPr>
          <w:tblHeader/>
        </w:trPr>
        <w:tc>
          <w:tcPr>
            <w:tcW w:type="dxa" w:w="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t>
            </w:r>
          </w:p>
        </w:tc>
        <w:tc>
          <w:tcPr>
            <w:tcW w:type="dxa" w:w="1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Stage</w:t>
            </w:r>
          </w:p>
        </w:tc>
        <w:tc>
          <w:tcPr>
            <w:tcW w:type="dxa" w:w="6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Runtime behaviour</w:t>
            </w:r>
          </w:p>
        </w:tc>
        <w:tc>
          <w:tcPr>
            <w:tcW w:type="dxa" w:w="1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Status</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1</w:t>
            </w:r>
          </w:p>
        </w:tc>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Capture / Register</w:t>
            </w:r>
          </w:p>
        </w:tc>
        <w:tc>
          <w:tcPr>
            <w:tcW w:type="dxa" w:w="6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Original file streamed to Blob staging; SHA-256 computed; tracking number issued; registry row created in Azure SQL.</w:t>
            </w:r>
          </w:p>
        </w:tc>
        <w:tc>
          <w:tcPr>
            <w:tcW w:type="dxa" w:w="1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PendingRegistration</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2</w:t>
            </w:r>
          </w:p>
        </w:tc>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Classify</w:t>
            </w:r>
          </w:p>
        </w:tc>
        <w:tc>
          <w:tcPr>
            <w:tcW w:type="dxa" w:w="6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Contributor selects class, sensitivity, department and approval flow; metadata validated and persisted.</w:t>
            </w:r>
          </w:p>
        </w:tc>
        <w:tc>
          <w:tcPr>
            <w:tcW w:type="dxa" w:w="1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Classified</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3</w:t>
            </w:r>
          </w:p>
        </w:tc>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Submit</w:t>
            </w:r>
          </w:p>
        </w:tc>
        <w:tc>
          <w:tcPr>
            <w:tcW w:type="dxa" w:w="6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Routing rules resolve target library and approver(s); item enqueued to the approver.</w:t>
            </w:r>
          </w:p>
        </w:tc>
        <w:tc>
          <w:tcPr>
            <w:tcW w:type="dxa" w:w="1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PendingApproval</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4</w:t>
            </w:r>
          </w:p>
        </w:tc>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Notify</w:t>
            </w:r>
          </w:p>
        </w:tc>
        <w:tc>
          <w:tcPr>
            <w:tcW w:type="dxa" w:w="6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Events raised to the Notification Service; in-app, email and Teams alerts delivered.</w:t>
            </w:r>
          </w:p>
        </w:tc>
        <w:tc>
          <w:tcPr>
            <w:tcW w:type="dxa" w:w="1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(no change)</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5</w:t>
            </w:r>
          </w:p>
        </w:tc>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Decide</w:t>
            </w:r>
          </w:p>
        </w:tc>
        <w:tc>
          <w:tcPr>
            <w:tcW w:type="dxa" w:w="6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Approver approves, or rejects with mandatory comments returning the item to the initiator.</w:t>
            </w:r>
          </w:p>
        </w:tc>
        <w:tc>
          <w:tcPr>
            <w:tcW w:type="dxa" w:w="1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Approved / Returned</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6</w:t>
            </w:r>
          </w:p>
        </w:tc>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Promote</w:t>
            </w:r>
          </w:p>
        </w:tc>
        <w:tc>
          <w:tcPr>
            <w:tcW w:type="dxa" w:w="6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Durable Functions call Graph to upload the original file to the correct library; item ID, URL and version 1.0 written back.</w:t>
            </w:r>
          </w:p>
        </w:tc>
        <w:tc>
          <w:tcPr>
            <w:tcW w:type="dxa" w:w="1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Published</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7</w:t>
            </w:r>
          </w:p>
        </w:tc>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Cleanup</w:t>
            </w:r>
          </w:p>
        </w:tc>
        <w:tc>
          <w:tcPr>
            <w:tcW w:type="dxa" w:w="6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Staging reconciled (purge or retain); contributor notified of publication.</w:t>
            </w:r>
          </w:p>
        </w:tc>
        <w:tc>
          <w:tcPr>
            <w:tcW w:type="dxa" w:w="1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Reconciled</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8</w:t>
            </w:r>
          </w:p>
        </w:tc>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Index (RAG)</w:t>
            </w:r>
          </w:p>
        </w:tc>
        <w:tc>
          <w:tcPr>
            <w:tcW w:type="dxa" w:w="6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Batch job chunks and embeds published content and metadata into Azure AI Search.</w:t>
            </w:r>
          </w:p>
        </w:tc>
        <w:tc>
          <w:tcPr>
            <w:tcW w:type="dxa" w:w="1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Indexed</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9</w:t>
            </w:r>
          </w:p>
        </w:tc>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Access &amp; Govern</w:t>
            </w:r>
          </w:p>
        </w:tc>
        <w:tc>
          <w:tcPr>
            <w:tcW w:type="dxa" w:w="6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Federated SSO; RBAC+ABAC evaluation; audit; retention and legal hold applied.</w:t>
            </w:r>
          </w:p>
        </w:tc>
        <w:tc>
          <w:tcPr>
            <w:tcW w:type="dxa" w:w="1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Continuous</w:t>
            </w:r>
          </w:p>
        </w:tc>
      </w:tr>
    </w:tbl>
    <w:p>
      <w:pPr>
        <w:pStyle w:val="Heading2"/>
        <w:spacing w:after="100" w:before="190"/>
      </w:pPr>
      <w:r>
        <w:rPr>
          <w:rFonts w:ascii="Arial" w:cs="Arial" w:eastAsia="Arial" w:hAnsi="Arial"/>
          <w:b/>
          <w:bCs/>
        </w:rPr>
        <w:t xml:space="preserve">6.1 Consistency &amp; Idempotency</w:t>
      </w:r>
    </w:p>
    <w:p>
      <w:pPr>
        <w:pStyle w:val="ListParagraph"/>
        <w:numPr>
          <w:ilvl w:val="0"/>
          <w:numId w:val="2"/>
        </w:numPr>
        <w:spacing w:after="64" w:line="264"/>
      </w:pPr>
      <w:r>
        <w:rPr>
          <w:rFonts w:ascii="Arial" w:cs="Arial" w:eastAsia="Arial" w:hAnsi="Arial"/>
        </w:rPr>
        <w:t xml:space="preserve">Azure SQL is authoritative for metadata, workflow state and audit; SharePoint is authoritative for content.</w:t>
      </w:r>
    </w:p>
    <w:p>
      <w:pPr>
        <w:pStyle w:val="ListParagraph"/>
        <w:numPr>
          <w:ilvl w:val="0"/>
          <w:numId w:val="2"/>
        </w:numPr>
        <w:spacing w:after="64" w:line="264"/>
      </w:pPr>
      <w:r>
        <w:rPr>
          <w:rFonts w:ascii="Arial" w:cs="Arial" w:eastAsia="Arial" w:hAnsi="Arial"/>
        </w:rPr>
        <w:t xml:space="preserve">Promotion carries an idempotency key so a retry can never create a duplicate SharePoint item.</w:t>
      </w:r>
    </w:p>
    <w:p>
      <w:pPr>
        <w:pStyle w:val="ListParagraph"/>
        <w:numPr>
          <w:ilvl w:val="0"/>
          <w:numId w:val="2"/>
        </w:numPr>
        <w:spacing w:after="64" w:line="264"/>
      </w:pPr>
      <w:r>
        <w:rPr>
          <w:rFonts w:ascii="Arial" w:cs="Arial" w:eastAsia="Arial" w:hAnsi="Arial"/>
        </w:rPr>
        <w:t xml:space="preserve">SharePoint item ID, URL and version are committed only after a successful upload; failures remain recoverable in staging.</w:t>
      </w:r>
    </w:p>
    <w:p>
      <w:pPr>
        <w:pStyle w:val="ListParagraph"/>
        <w:numPr>
          <w:ilvl w:val="0"/>
          <w:numId w:val="2"/>
        </w:numPr>
        <w:spacing w:after="64" w:line="264"/>
      </w:pPr>
      <w:r>
        <w:rPr>
          <w:rFonts w:ascii="Arial" w:cs="Arial" w:eastAsia="Arial" w:hAnsi="Arial"/>
        </w:rPr>
        <w:t xml:space="preserve">Indexing is asynchronous, permission-aware and fully re-runnable.</w:t>
      </w:r>
    </w:p>
    <w:p>
      <w:r>
        <w:br w:type="page"/>
      </w:r>
    </w:p>
    <w:p>
      <w:pPr>
        <w:pStyle w:val="Heading1"/>
        <w:spacing w:after="130" w:before="240"/>
      </w:pPr>
      <w:r>
        <w:rPr>
          <w:rFonts w:ascii="Arial" w:cs="Arial" w:eastAsia="Arial" w:hAnsi="Arial"/>
          <w:b/>
          <w:bCs/>
        </w:rPr>
        <w:t xml:space="preserve">7. Data Architecture</w:t>
      </w:r>
    </w:p>
    <w:p>
      <w:pPr>
        <w:pStyle w:val="Heading2"/>
        <w:spacing w:after="100" w:before="190"/>
      </w:pPr>
      <w:r>
        <w:rPr>
          <w:rFonts w:ascii="Arial" w:cs="Arial" w:eastAsia="Arial" w:hAnsi="Arial"/>
          <w:b/>
          <w:bCs/>
        </w:rPr>
        <w:t xml:space="preserve">7.1 Storage Strategy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500"/>
        <w:gridCol w:w="3300"/>
        <w:gridCol w:w="4280"/>
      </w:tblGrid>
      <w:tr>
        <w:trPr>
          <w:tblHeader/>
        </w:trPr>
        <w:tc>
          <w:tcPr>
            <w:tcW w:type="dxa" w:w="2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Store</w:t>
            </w:r>
          </w:p>
        </w:tc>
        <w:tc>
          <w:tcPr>
            <w:tcW w:type="dxa" w:w="33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Purpose</w:t>
            </w:r>
          </w:p>
        </w:tc>
        <w:tc>
          <w:tcPr>
            <w:tcW w:type="dxa" w:w="42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Notes</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SQL Database</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Registry, metadata, workflow state, audit</w:t>
            </w:r>
          </w:p>
        </w:tc>
        <w:tc>
          <w:tcPr>
            <w:tcW w:type="dxa" w:w="42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Authoritative for all structured data; hash-chained audit.</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Blob (Staging)</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Original files pre-approval</w:t>
            </w:r>
          </w:p>
        </w:tc>
        <w:tc>
          <w:tcPr>
            <w:tcW w:type="dxa" w:w="42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Native format preserved; lifecycle rules for cleanup.</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Online</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Published records</w:t>
            </w:r>
          </w:p>
        </w:tc>
        <w:tc>
          <w:tcPr>
            <w:tcW w:type="dxa" w:w="42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Content system of record with native versioning.</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AI Search</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Vector + keyword index</w:t>
            </w:r>
          </w:p>
        </w:tc>
        <w:tc>
          <w:tcPr>
            <w:tcW w:type="dxa" w:w="42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Built from approved content; permission-trimming keys.</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Cache for Redis</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Sessions, presence, counts</w:t>
            </w:r>
          </w:p>
        </w:tc>
        <w:tc>
          <w:tcPr>
            <w:tcW w:type="dxa" w:w="42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Low-latency ephemeral state.</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Archive tier / repository</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Cold records</w:t>
            </w:r>
          </w:p>
        </w:tc>
        <w:tc>
          <w:tcPr>
            <w:tcW w:type="dxa" w:w="42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Retention-driven archival with registry linkage.</w:t>
            </w:r>
          </w:p>
        </w:tc>
      </w:tr>
    </w:tbl>
    <w:p>
      <w:pPr>
        <w:pStyle w:val="Heading2"/>
        <w:spacing w:after="100" w:before="190"/>
      </w:pPr>
      <w:r>
        <w:rPr>
          <w:rFonts w:ascii="Arial" w:cs="Arial" w:eastAsia="Arial" w:hAnsi="Arial"/>
          <w:b/>
          <w:bCs/>
        </w:rPr>
        <w:t xml:space="preserve">7.2 Core Entities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100"/>
        <w:gridCol w:w="3000"/>
        <w:gridCol w:w="4980"/>
      </w:tblGrid>
      <w:tr>
        <w:trPr>
          <w:tblHeader/>
        </w:trPr>
        <w:tc>
          <w:tcPr>
            <w:tcW w:type="dxa" w:w="21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Entity</w:t>
            </w:r>
          </w:p>
        </w:tc>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Purpose</w:t>
            </w:r>
          </w:p>
        </w:tc>
        <w:tc>
          <w:tcPr>
            <w:tcW w:type="dxa" w:w="49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Key fields</w:t>
            </w:r>
          </w:p>
        </w:tc>
      </w:tr>
      <w:tr>
        <w:tc>
          <w:tcPr>
            <w:tcW w:type="dxa" w:w="2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Document</w:t>
            </w:r>
          </w:p>
        </w:tc>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Central registry &amp; lifecycle</w:t>
            </w:r>
          </w:p>
        </w:tc>
        <w:tc>
          <w:tcPr>
            <w:tcW w:type="dxa" w:w="4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TrackingNumber, Status, Class, Sensitivity, ExpiryDate, SharePointItemId</w:t>
            </w:r>
          </w:p>
        </w:tc>
      </w:tr>
      <w:tr>
        <w:tc>
          <w:tcPr>
            <w:tcW w:type="dxa" w:w="2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w:t>
            </w:r>
          </w:p>
        </w:tc>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Immutable version reference</w:t>
            </w:r>
          </w:p>
        </w:tc>
        <w:tc>
          <w:tcPr>
            <w:tcW w:type="dxa" w:w="4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VersionLabel, SharePoint version, CreatedAt</w:t>
            </w:r>
          </w:p>
        </w:tc>
      </w:tr>
      <w:tr>
        <w:tc>
          <w:tcPr>
            <w:tcW w:type="dxa" w:w="2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AccessEntry</w:t>
            </w:r>
          </w:p>
        </w:tc>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ABAC / scoping</w:t>
            </w:r>
          </w:p>
        </w:tc>
        <w:tc>
          <w:tcPr>
            <w:tcW w:type="dxa" w:w="4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PrincipalId, PrincipalType, Permission</w:t>
            </w:r>
          </w:p>
        </w:tc>
      </w:tr>
      <w:tr>
        <w:tc>
          <w:tcPr>
            <w:tcW w:type="dxa" w:w="2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WorkflowInstance</w:t>
            </w:r>
          </w:p>
        </w:tc>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Approval state &amp; history</w:t>
            </w:r>
          </w:p>
        </w:tc>
        <w:tc>
          <w:tcPr>
            <w:tcW w:type="dxa" w:w="4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Stage, AssignedTo, Decision, ActedAt</w:t>
            </w:r>
          </w:p>
        </w:tc>
      </w:tr>
      <w:tr>
        <w:tc>
          <w:tcPr>
            <w:tcW w:type="dxa" w:w="2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Notification</w:t>
            </w:r>
          </w:p>
        </w:tc>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Durable notification history</w:t>
            </w:r>
          </w:p>
        </w:tc>
        <w:tc>
          <w:tcPr>
            <w:tcW w:type="dxa" w:w="4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UserId, Type, Channel, ReadAt</w:t>
            </w:r>
          </w:p>
        </w:tc>
      </w:tr>
      <w:tr>
        <w:tc>
          <w:tcPr>
            <w:tcW w:type="dxa" w:w="21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AuditEvent</w:t>
            </w:r>
          </w:p>
        </w:tc>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Tamper-evident audit</w:t>
            </w:r>
          </w:p>
        </w:tc>
        <w:tc>
          <w:tcPr>
            <w:tcW w:type="dxa" w:w="4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ActorId, Action, RequestId, PrevHash, Hash</w:t>
            </w:r>
          </w:p>
        </w:tc>
      </w:tr>
      <w:tr>
        <w:tc>
          <w:tcPr>
            <w:tcW w:type="dxa" w:w="21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RetentionPolicy</w:t>
            </w:r>
          </w:p>
        </w:tc>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Lifecycle rules</w:t>
            </w:r>
          </w:p>
        </w:tc>
        <w:tc>
          <w:tcPr>
            <w:tcW w:type="dxa" w:w="4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Trigger, Duration, Disposition</w:t>
            </w:r>
          </w:p>
        </w:tc>
      </w:tr>
    </w:tbl>
    <w:p>
      <w:pPr>
        <w:pStyle w:val="Heading2"/>
        <w:spacing w:after="100" w:before="190"/>
      </w:pPr>
      <w:r>
        <w:rPr>
          <w:rFonts w:ascii="Arial" w:cs="Arial" w:eastAsia="Arial" w:hAnsi="Arial"/>
          <w:b/>
          <w:bCs/>
        </w:rPr>
        <w:t xml:space="preserve">7.3 Data Classification &amp; Handling</w:t>
      </w:r>
    </w:p>
    <w:p>
      <w:pPr>
        <w:pStyle w:val="ListParagraph"/>
        <w:numPr>
          <w:ilvl w:val="0"/>
          <w:numId w:val="2"/>
        </w:numPr>
        <w:spacing w:after="64" w:line="264"/>
      </w:pPr>
      <w:r>
        <w:rPr>
          <w:rFonts w:ascii="Arial" w:cs="Arial" w:eastAsia="Arial" w:hAnsi="Arial"/>
        </w:rPr>
        <w:t xml:space="preserve">Every document carries a sensitivity marking (Public, Internal, Confidential, Secret) that drives access and routing.</w:t>
      </w:r>
    </w:p>
    <w:p>
      <w:pPr>
        <w:pStyle w:val="ListParagraph"/>
        <w:numPr>
          <w:ilvl w:val="0"/>
          <w:numId w:val="2"/>
        </w:numPr>
        <w:spacing w:after="64" w:line="264"/>
      </w:pPr>
      <w:r>
        <w:rPr>
          <w:rFonts w:ascii="Arial" w:cs="Arial" w:eastAsia="Arial" w:hAnsi="Arial"/>
        </w:rPr>
        <w:t xml:space="preserve">Sensitivity labels and data-loss-prevention policies are applied through Microsoft Purview.</w:t>
      </w:r>
    </w:p>
    <w:p>
      <w:pPr>
        <w:pStyle w:val="ListParagraph"/>
        <w:numPr>
          <w:ilvl w:val="0"/>
          <w:numId w:val="2"/>
        </w:numPr>
        <w:spacing w:after="64" w:line="264"/>
      </w:pPr>
      <w:r>
        <w:rPr>
          <w:rFonts w:ascii="Arial" w:cs="Arial" w:eastAsia="Arial" w:hAnsi="Arial"/>
        </w:rPr>
        <w:t xml:space="preserve">Personal data is minimised, access-controlled and processed lawfully in line with applicable data-protection law.</w:t>
      </w:r>
    </w:p>
    <w:p>
      <w:pPr>
        <w:pStyle w:val="Heading2"/>
        <w:spacing w:after="100" w:before="190"/>
      </w:pPr>
      <w:r>
        <w:rPr>
          <w:rFonts w:ascii="Arial" w:cs="Arial" w:eastAsia="Arial" w:hAnsi="Arial"/>
          <w:b/>
          <w:bCs/>
        </w:rPr>
        <w:t xml:space="preserve">7.4 Retention, Legal Hold &amp; Residency</w:t>
      </w:r>
    </w:p>
    <w:p>
      <w:pPr>
        <w:pStyle w:val="ListParagraph"/>
        <w:numPr>
          <w:ilvl w:val="0"/>
          <w:numId w:val="2"/>
        </w:numPr>
        <w:spacing w:after="64" w:line="264"/>
      </w:pPr>
      <w:r>
        <w:rPr>
          <w:rFonts w:ascii="Arial" w:cs="Arial" w:eastAsia="Arial" w:hAnsi="Arial"/>
        </w:rPr>
        <w:t xml:space="preserve">Time- or event-based retention schedules govern disposition (auto-archive, review-then-delete, or approved deletion).</w:t>
      </w:r>
    </w:p>
    <w:p>
      <w:pPr>
        <w:pStyle w:val="ListParagraph"/>
        <w:numPr>
          <w:ilvl w:val="0"/>
          <w:numId w:val="2"/>
        </w:numPr>
        <w:spacing w:after="64" w:line="264"/>
      </w:pPr>
      <w:r>
        <w:rPr>
          <w:rFonts w:ascii="Arial" w:cs="Arial" w:eastAsia="Arial" w:hAnsi="Arial"/>
        </w:rPr>
        <w:t xml:space="preserve">Legal hold overrides retention, freezes documents and blocks deletion, fully audited.</w:t>
      </w:r>
    </w:p>
    <w:p>
      <w:pPr>
        <w:pStyle w:val="ListParagraph"/>
        <w:numPr>
          <w:ilvl w:val="0"/>
          <w:numId w:val="2"/>
        </w:numPr>
        <w:spacing w:after="64" w:line="264"/>
      </w:pPr>
      <w:r>
        <w:rPr>
          <w:rFonts w:ascii="Arial" w:cs="Arial" w:eastAsia="Arial" w:hAnsi="Arial"/>
        </w:rPr>
        <w:t xml:space="preserve">All data resides within the approved sovereign Azure region(s).</w:t>
      </w:r>
    </w:p>
    <w:p>
      <w:r>
        <w:br w:type="page"/>
      </w:r>
    </w:p>
    <w:p>
      <w:pPr>
        <w:pStyle w:val="Heading1"/>
        <w:spacing w:after="130" w:before="240"/>
      </w:pPr>
      <w:r>
        <w:rPr>
          <w:rFonts w:ascii="Arial" w:cs="Arial" w:eastAsia="Arial" w:hAnsi="Arial"/>
          <w:b/>
          <w:bCs/>
        </w:rPr>
        <w:t xml:space="preserve">8. Integration Architecture</w:t>
      </w:r>
    </w:p>
    <w:p>
      <w:pPr>
        <w:pStyle w:val="Heading2"/>
        <w:spacing w:after="100" w:before="190"/>
      </w:pPr>
      <w:r>
        <w:rPr>
          <w:rFonts w:ascii="Arial" w:cs="Arial" w:eastAsia="Arial" w:hAnsi="Arial"/>
          <w:b/>
          <w:bCs/>
        </w:rPr>
        <w:t xml:space="preserve">8.1 SharePoint &amp; Microsoft Graph</w:t>
      </w:r>
    </w:p>
    <w:p>
      <w:pPr>
        <w:spacing w:after="120" w:before="0" w:line="268"/>
      </w:pPr>
      <w:r>
        <w:rPr>
          <w:rFonts w:ascii="Arial" w:cs="Arial" w:eastAsia="Arial" w:hAnsi="Arial"/>
        </w:rPr>
        <w:t xml:space="preserve">The platform integrates with SharePoint Online through Microsoft Graph. A single governed service identity holds the required read/write scope over the document estate; user access is decided inside the application before any Graph call is made. Promotion uploads the original file to the resolved library; native versioning assigns the version, which is recorded against the registry.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4400"/>
        <w:gridCol w:w="3480"/>
      </w:tblGrid>
      <w:tr>
        <w:trPr>
          <w:tblHeader/>
        </w:trPr>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Aspect</w:t>
            </w:r>
          </w:p>
        </w:tc>
        <w:tc>
          <w:tcPr>
            <w:tcW w:type="dxa" w:w="4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Design decision</w:t>
            </w:r>
          </w:p>
        </w:tc>
        <w:tc>
          <w:tcPr>
            <w:tcW w:type="dxa" w:w="3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Benefit</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User access</w:t>
            </w:r>
          </w:p>
        </w:tc>
        <w:tc>
          <w:tcPr>
            <w:tcW w:type="dxa" w:w="4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Governed inside the application (RBAC + ABAC)</w:t>
            </w:r>
          </w:p>
        </w:tc>
        <w:tc>
          <w:tcPr>
            <w:tcW w:type="dxa" w:w="3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Single, consistent control point</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Content operations</w:t>
            </w:r>
          </w:p>
        </w:tc>
        <w:tc>
          <w:tcPr>
            <w:tcW w:type="dxa" w:w="4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Executed by the governed service identity</w:t>
            </w:r>
          </w:p>
        </w:tc>
        <w:tc>
          <w:tcPr>
            <w:tcW w:type="dxa" w:w="3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Uniform, auditable access to content</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Credential</w:t>
            </w:r>
          </w:p>
        </w:tc>
        <w:tc>
          <w:tcPr>
            <w:tcW w:type="dxa" w:w="4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Managed Identity / workload identity</w:t>
            </w:r>
          </w:p>
        </w:tc>
        <w:tc>
          <w:tcPr>
            <w:tcW w:type="dxa" w:w="3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Secretless; least privilege</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Attribution</w:t>
            </w:r>
          </w:p>
        </w:tc>
        <w:tc>
          <w:tcPr>
            <w:tcW w:type="dxa" w:w="4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Actions attributed to the real user in Azure SQL</w:t>
            </w:r>
          </w:p>
        </w:tc>
        <w:tc>
          <w:tcPr>
            <w:tcW w:type="dxa" w:w="3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Full accountability</w:t>
            </w:r>
          </w:p>
        </w:tc>
      </w:tr>
    </w:tbl>
    <w:p>
      <w:pPr>
        <w:pStyle w:val="Heading2"/>
        <w:spacing w:after="100" w:before="190"/>
      </w:pPr>
      <w:r>
        <w:rPr>
          <w:rFonts w:ascii="Arial" w:cs="Arial" w:eastAsia="Arial" w:hAnsi="Arial"/>
          <w:b/>
          <w:bCs/>
        </w:rPr>
        <w:t xml:space="preserve">8.2 AI &amp; Retrieval-Augmented Generation</w:t>
      </w:r>
    </w:p>
    <w:p>
      <w:pPr>
        <w:spacing w:after="120" w:before="0" w:line="268"/>
      </w:pPr>
      <w:r>
        <w:rPr>
          <w:rFonts w:ascii="Arial" w:cs="Arial" w:eastAsia="Arial" w:hAnsi="Arial"/>
        </w:rPr>
        <w:t xml:space="preserve">A batch pipeline collects newly published content, extracts and chunks text, generates embeddings with Azure OpenAI, and upserts vectors, metadata and permission-trimming keys into Azure AI Search. Queries fuse keyword and vector relevance; the assistant answers only from content the user may access and cites its sources. AI is never invoked during capture or classification.</w:t>
      </w:r>
    </w:p>
    <w:p>
      <w:pPr>
        <w:pStyle w:val="Heading2"/>
        <w:spacing w:after="100" w:before="190"/>
      </w:pPr>
      <w:r>
        <w:rPr>
          <w:rFonts w:ascii="Arial" w:cs="Arial" w:eastAsia="Arial" w:hAnsi="Arial"/>
          <w:b/>
          <w:bCs/>
        </w:rPr>
        <w:t xml:space="preserve">8.3 Notifications</w:t>
      </w:r>
    </w:p>
    <w:p>
      <w:pPr>
        <w:spacing w:after="120" w:before="0" w:line="268"/>
      </w:pPr>
      <w:r>
        <w:rPr>
          <w:rFonts w:ascii="Arial" w:cs="Arial" w:eastAsia="Arial" w:hAnsi="Arial"/>
        </w:rPr>
        <w:t xml:space="preserve">Domain events flow through Service Bus to the Notification Service, which evaluates per-user preferences and quiet hours and fans out across in-app (SignalR), email (Communication Services) and Teams/Outlook (Graph). Security notifications are mandatory. Delivery is de-duplicated and idempotent.</w:t>
      </w:r>
    </w:p>
    <w:p>
      <w:pPr>
        <w:pStyle w:val="Heading2"/>
        <w:spacing w:after="100" w:before="190"/>
      </w:pPr>
      <w:r>
        <w:rPr>
          <w:rFonts w:ascii="Arial" w:cs="Arial" w:eastAsia="Arial" w:hAnsi="Arial"/>
          <w:b/>
          <w:bCs/>
        </w:rPr>
        <w:t xml:space="preserve">8.4 API &amp; Contracts</w:t>
      </w:r>
    </w:p>
    <w:p>
      <w:pPr>
        <w:pStyle w:val="ListParagraph"/>
        <w:numPr>
          <w:ilvl w:val="0"/>
          <w:numId w:val="2"/>
        </w:numPr>
        <w:spacing w:after="64" w:line="264"/>
      </w:pPr>
      <w:r>
        <w:rPr>
          <w:rFonts w:ascii="Arial" w:cs="Arial" w:eastAsia="Arial" w:hAnsi="Arial"/>
        </w:rPr>
        <w:t xml:space="preserve">Public contracts are versioned under a stable path and described with an OpenAPI document validated in the pipeline.</w:t>
      </w:r>
    </w:p>
    <w:p>
      <w:pPr>
        <w:pStyle w:val="ListParagraph"/>
        <w:numPr>
          <w:ilvl w:val="0"/>
          <w:numId w:val="2"/>
        </w:numPr>
        <w:spacing w:after="64" w:line="264"/>
      </w:pPr>
      <w:r>
        <w:rPr>
          <w:rFonts w:ascii="Arial" w:cs="Arial" w:eastAsia="Arial" w:hAnsi="Arial"/>
        </w:rPr>
        <w:t xml:space="preserve">Writes are idempotent; collection endpoints use cursor pagination with deterministic ordering.</w:t>
      </w:r>
    </w:p>
    <w:p>
      <w:pPr>
        <w:pStyle w:val="ListParagraph"/>
        <w:numPr>
          <w:ilvl w:val="0"/>
          <w:numId w:val="2"/>
        </w:numPr>
        <w:spacing w:after="64" w:line="264"/>
      </w:pPr>
      <w:r>
        <w:rPr>
          <w:rFonts w:ascii="Arial" w:cs="Arial" w:eastAsia="Arial" w:hAnsi="Arial"/>
        </w:rPr>
        <w:t xml:space="preserve">A consistent error envelope is returned for validation, authorization, not-found, conflict, throttling and dependency failures.</w:t>
      </w:r>
    </w:p>
    <w:p>
      <w:r>
        <w:br w:type="page"/>
      </w:r>
    </w:p>
    <w:p>
      <w:pPr>
        <w:pStyle w:val="Heading1"/>
        <w:spacing w:after="130" w:before="240"/>
      </w:pPr>
      <w:r>
        <w:rPr>
          <w:rFonts w:ascii="Arial" w:cs="Arial" w:eastAsia="Arial" w:hAnsi="Arial"/>
          <w:b/>
          <w:bCs/>
        </w:rPr>
        <w:t xml:space="preserve">9. Security Architecture</w:t>
      </w:r>
    </w:p>
    <w:p>
      <w:pPr>
        <w:pStyle w:val="Heading2"/>
        <w:spacing w:after="100" w:before="190"/>
      </w:pPr>
      <w:r>
        <w:rPr>
          <w:rFonts w:ascii="Arial" w:cs="Arial" w:eastAsia="Arial" w:hAnsi="Arial"/>
          <w:b/>
          <w:bCs/>
        </w:rPr>
        <w:t xml:space="preserve">9.1 Identity &amp; Access</w:t>
      </w:r>
    </w:p>
    <w:p>
      <w:pPr>
        <w:pStyle w:val="ListParagraph"/>
        <w:numPr>
          <w:ilvl w:val="0"/>
          <w:numId w:val="2"/>
        </w:numPr>
        <w:spacing w:after="64" w:line="264"/>
      </w:pPr>
      <w:r>
        <w:rPr>
          <w:rFonts w:ascii="Arial" w:cs="Arial" w:eastAsia="Arial" w:hAnsi="Arial"/>
          <w:b/>
          <w:bCs/>
        </w:rPr>
        <w:t xml:space="preserve">Authentication: </w:t>
      </w:r>
      <w:r>
        <w:rPr>
          <w:rFonts w:ascii="Arial" w:cs="Arial" w:eastAsia="Arial" w:hAnsi="Arial"/>
        </w:rPr>
        <w:t xml:space="preserve">federated national SSO to Entra ID; OIDC + PKCE for the SPA; MFA and conditional access enforced.</w:t>
      </w:r>
    </w:p>
    <w:p>
      <w:pPr>
        <w:pStyle w:val="ListParagraph"/>
        <w:numPr>
          <w:ilvl w:val="0"/>
          <w:numId w:val="2"/>
        </w:numPr>
        <w:spacing w:after="64" w:line="264"/>
      </w:pPr>
      <w:r>
        <w:rPr>
          <w:rFonts w:ascii="Arial" w:cs="Arial" w:eastAsia="Arial" w:hAnsi="Arial"/>
          <w:b/>
          <w:bCs/>
        </w:rPr>
        <w:t xml:space="preserve">Authorization: </w:t>
      </w:r>
      <w:r>
        <w:rPr>
          <w:rFonts w:ascii="Arial" w:cs="Arial" w:eastAsia="Arial" w:hAnsi="Arial"/>
        </w:rPr>
        <w:t xml:space="preserve">deny-by-default RBAC plus ABAC on department, sensitivity and clearance; SharePoint ACLs remain decisive for content.</w:t>
      </w:r>
    </w:p>
    <w:p>
      <w:pPr>
        <w:pStyle w:val="ListParagraph"/>
        <w:numPr>
          <w:ilvl w:val="0"/>
          <w:numId w:val="2"/>
        </w:numPr>
        <w:spacing w:after="64" w:line="264"/>
      </w:pPr>
      <w:r>
        <w:rPr>
          <w:rFonts w:ascii="Arial" w:cs="Arial" w:eastAsia="Arial" w:hAnsi="Arial"/>
          <w:b/>
          <w:bCs/>
        </w:rPr>
        <w:t xml:space="preserve">Workload identity: </w:t>
      </w:r>
      <w:r>
        <w:rPr>
          <w:rFonts w:ascii="Arial" w:cs="Arial" w:eastAsia="Arial" w:hAnsi="Arial"/>
        </w:rPr>
        <w:t xml:space="preserve">Managed Identity for service-to-service and SharePoint access; no stored user passwords.</w:t>
      </w:r>
    </w:p>
    <w:p>
      <w:pPr>
        <w:pStyle w:val="ListParagraph"/>
        <w:numPr>
          <w:ilvl w:val="0"/>
          <w:numId w:val="2"/>
        </w:numPr>
        <w:spacing w:after="64" w:line="264"/>
      </w:pPr>
      <w:r>
        <w:rPr>
          <w:rFonts w:ascii="Arial" w:cs="Arial" w:eastAsia="Arial" w:hAnsi="Arial"/>
          <w:b/>
          <w:bCs/>
        </w:rPr>
        <w:t xml:space="preserve">Step-up: </w:t>
      </w:r>
      <w:r>
        <w:rPr>
          <w:rFonts w:ascii="Arial" w:cs="Arial" w:eastAsia="Arial" w:hAnsi="Arial"/>
        </w:rPr>
        <w:t xml:space="preserve">additional verification for sensitive actions such as approving Secret documents or changing permissions.</w:t>
      </w:r>
    </w:p>
    <w:p>
      <w:pPr>
        <w:pStyle w:val="Heading2"/>
        <w:spacing w:after="100" w:before="190"/>
      </w:pPr>
      <w:r>
        <w:rPr>
          <w:rFonts w:ascii="Arial" w:cs="Arial" w:eastAsia="Arial" w:hAnsi="Arial"/>
          <w:b/>
          <w:bCs/>
        </w:rPr>
        <w:t xml:space="preserve">9.2 Network &amp; Perimeter</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Control</w:t>
            </w:r>
          </w:p>
        </w:tc>
        <w:tc>
          <w:tcPr>
            <w:tcW w:type="dxa" w:w="7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Design</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Ingress</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Front Door + WAF + API Management; only published, authenticated endpoints are exposed.</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connectivity</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endpoints for SQL, Blob and Key Vault; disabled public access where feasible.</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Egress &amp; DNS</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Controlled egress and private DNS resolution from the application to data services.</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Segmentation</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Least-privilege network paths between tiers; no direct client access to data stores.</w:t>
            </w:r>
          </w:p>
        </w:tc>
      </w:tr>
    </w:tbl>
    <w:p>
      <w:pPr>
        <w:pStyle w:val="Heading2"/>
        <w:spacing w:after="100" w:before="190"/>
      </w:pPr>
      <w:r>
        <w:rPr>
          <w:rFonts w:ascii="Arial" w:cs="Arial" w:eastAsia="Arial" w:hAnsi="Arial"/>
          <w:b/>
          <w:bCs/>
        </w:rPr>
        <w:t xml:space="preserve">9.3 Data Protection &amp; Content Safety</w:t>
      </w:r>
    </w:p>
    <w:p>
      <w:pPr>
        <w:pStyle w:val="ListParagraph"/>
        <w:numPr>
          <w:ilvl w:val="0"/>
          <w:numId w:val="2"/>
        </w:numPr>
        <w:spacing w:after="64" w:line="264"/>
      </w:pPr>
      <w:r>
        <w:rPr>
          <w:rFonts w:ascii="Arial" w:cs="Arial" w:eastAsia="Arial" w:hAnsi="Arial"/>
        </w:rPr>
        <w:t xml:space="preserve">Encryption in transit (TLS) and at rest (platform-managed keys; customer-managed keys optional by policy).</w:t>
      </w:r>
    </w:p>
    <w:p>
      <w:pPr>
        <w:pStyle w:val="ListParagraph"/>
        <w:numPr>
          <w:ilvl w:val="0"/>
          <w:numId w:val="2"/>
        </w:numPr>
        <w:spacing w:after="64" w:line="264"/>
      </w:pPr>
      <w:r>
        <w:rPr>
          <w:rFonts w:ascii="Arial" w:cs="Arial" w:eastAsia="Arial" w:hAnsi="Arial"/>
        </w:rPr>
        <w:t xml:space="preserve">Every upload is quarantined and scanned for malware; DLP and sensitivity checks run before commit.</w:t>
      </w:r>
    </w:p>
    <w:p>
      <w:pPr>
        <w:pStyle w:val="ListParagraph"/>
        <w:numPr>
          <w:ilvl w:val="0"/>
          <w:numId w:val="2"/>
        </w:numPr>
        <w:spacing w:after="64" w:line="264"/>
      </w:pPr>
      <w:r>
        <w:rPr>
          <w:rFonts w:ascii="Arial" w:cs="Arial" w:eastAsia="Arial" w:hAnsi="Arial"/>
        </w:rPr>
        <w:t xml:space="preserve">Secrets, certificates and keys are held in Key Vault and never exposed in logs or configuration exports.</w:t>
      </w:r>
    </w:p>
    <w:p>
      <w:pPr>
        <w:pStyle w:val="Heading2"/>
        <w:spacing w:after="100" w:before="190"/>
      </w:pPr>
      <w:r>
        <w:rPr>
          <w:rFonts w:ascii="Arial" w:cs="Arial" w:eastAsia="Arial" w:hAnsi="Arial"/>
          <w:b/>
          <w:bCs/>
        </w:rPr>
        <w:t xml:space="preserve">9.4 Audit &amp; Tamper-Evidence</w:t>
      </w:r>
    </w:p>
    <w:p>
      <w:pPr>
        <w:spacing w:after="120" w:before="0" w:line="268"/>
      </w:pPr>
      <w:r>
        <w:rPr>
          <w:rFonts w:ascii="Arial" w:cs="Arial" w:eastAsia="Arial" w:hAnsi="Arial"/>
        </w:rPr>
        <w:t xml:space="preserve">Every action — register, classify, submit, decide, promote, view, download and permission change — is recorded in a hash-chained audit log in Azure SQL, capturing actor, action, object, tracking number, timestamp, request ID, source and outcome. The chain makes tampering evident, and records can be exported to immutable storage for legal purposes.</w:t>
      </w:r>
    </w:p>
    <w:p>
      <w:pPr>
        <w:pStyle w:val="Heading2"/>
        <w:spacing w:after="100" w:before="190"/>
      </w:pPr>
      <w:r>
        <w:rPr>
          <w:rFonts w:ascii="Arial" w:cs="Arial" w:eastAsia="Arial" w:hAnsi="Arial"/>
          <w:b/>
          <w:bCs/>
        </w:rPr>
        <w:t xml:space="preserve">9.5 Threat Model (summary)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300"/>
        <w:gridCol w:w="6780"/>
      </w:tblGrid>
      <w:tr>
        <w:trPr>
          <w:tblHeader/>
        </w:trPr>
        <w:tc>
          <w:tcPr>
            <w:tcW w:type="dxa" w:w="33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Threat</w:t>
            </w:r>
          </w:p>
        </w:tc>
        <w:tc>
          <w:tcPr>
            <w:tcW w:type="dxa" w:w="67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Primary mitigation</w:t>
            </w:r>
          </w:p>
        </w:tc>
      </w:tr>
      <w:tr>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Stolen credential / token replay</w:t>
            </w:r>
          </w:p>
        </w:tc>
        <w:tc>
          <w:tcPr>
            <w:tcW w:type="dxa" w:w="67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Managed Identity, short-lived tokens, audience validation, anomaly alerts.</w:t>
            </w:r>
          </w:p>
        </w:tc>
      </w:tr>
      <w:tr>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Over-privileged access</w:t>
            </w:r>
          </w:p>
        </w:tc>
        <w:tc>
          <w:tcPr>
            <w:tcW w:type="dxa" w:w="67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Resource-scoped least privilege; periodic access review.</w:t>
            </w:r>
          </w:p>
        </w:tc>
      </w:tr>
      <w:tr>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Malicious upload</w:t>
            </w:r>
          </w:p>
        </w:tc>
        <w:tc>
          <w:tcPr>
            <w:tcW w:type="dxa" w:w="67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Quarantine, malware scan, MIME/signature validation, DLP.</w:t>
            </w:r>
          </w:p>
        </w:tc>
      </w:tr>
      <w:tr>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Unauthorized search result</w:t>
            </w:r>
          </w:p>
        </w:tc>
        <w:tc>
          <w:tcPr>
            <w:tcW w:type="dxa" w:w="67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Permission-trimmed indexing and re-check at open/download.</w:t>
            </w:r>
          </w:p>
        </w:tc>
      </w:tr>
      <w:tr>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Duplicate publication on retry</w:t>
            </w:r>
          </w:p>
        </w:tc>
        <w:tc>
          <w:tcPr>
            <w:tcW w:type="dxa" w:w="67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Idempotency keys and item reconciliation.</w:t>
            </w:r>
          </w:p>
        </w:tc>
      </w:tr>
      <w:tr>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Data exfiltration</w:t>
            </w:r>
          </w:p>
        </w:tc>
        <w:tc>
          <w:tcPr>
            <w:tcW w:type="dxa" w:w="67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networking, DLP, audit and alerting.</w:t>
            </w:r>
          </w:p>
        </w:tc>
      </w:tr>
    </w:tbl>
    <w:p>
      <w:r>
        <w:br w:type="page"/>
      </w:r>
    </w:p>
    <w:p>
      <w:pPr>
        <w:pStyle w:val="Heading1"/>
        <w:spacing w:after="130" w:before="240"/>
      </w:pPr>
      <w:r>
        <w:rPr>
          <w:rFonts w:ascii="Arial" w:cs="Arial" w:eastAsia="Arial" w:hAnsi="Arial"/>
          <w:b/>
          <w:bCs/>
        </w:rPr>
        <w:t xml:space="preserve">10. Infrastructure &amp; Deployment (Overview)</w:t>
      </w:r>
    </w:p>
    <w:p>
      <w:pPr>
        <w:spacing w:after="120" w:before="0" w:line="268"/>
      </w:pPr>
      <w:r>
        <w:rPr>
          <w:rFonts w:ascii="Arial" w:cs="Arial" w:eastAsia="Arial" w:hAnsi="Arial"/>
        </w:rPr>
        <w:t xml:space="preserve">This section gives the high-level hosting and release model. The detailed infrastructure layer, Infrastructure-as-Code module structure and provisioning order are specified in Section 20; the network design in Section 21; and the packaged client-site deployment in Section 22.</w:t>
      </w:r>
    </w:p>
    <w:p>
      <w:pPr>
        <w:pStyle w:val="Heading2"/>
        <w:spacing w:after="100" w:before="190"/>
      </w:pPr>
      <w:r>
        <w:rPr>
          <w:rFonts w:ascii="Arial" w:cs="Arial" w:eastAsia="Arial" w:hAnsi="Arial"/>
          <w:b/>
          <w:bCs/>
        </w:rPr>
        <w:t xml:space="preserve">10.1 Compute &amp; Hosting</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3200"/>
        <w:gridCol w:w="44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Concern</w:t>
            </w:r>
          </w:p>
        </w:tc>
        <w:tc>
          <w:tcPr>
            <w:tcW w:type="dxa" w:w="3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Choice</w:t>
            </w:r>
          </w:p>
        </w:tc>
        <w:tc>
          <w:tcPr>
            <w:tcW w:type="dxa" w:w="4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Rationale</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Frontend hosting</w:t>
            </w:r>
          </w:p>
        </w:tc>
        <w:tc>
          <w:tcPr>
            <w:tcW w:type="dxa" w:w="3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Static Web Apps</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Global delivery, integrated auth and CI/CD.</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 &amp; services</w:t>
            </w:r>
          </w:p>
        </w:tc>
        <w:tc>
          <w:tcPr>
            <w:tcW w:type="dxa" w:w="3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Container Apps / App Service</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Elastic, containerised, managed scaling.</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Async workers</w:t>
            </w:r>
          </w:p>
        </w:tc>
        <w:tc>
          <w:tcPr>
            <w:tcW w:type="dxa" w:w="3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 / Durable Functions</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Event- and timer-driven orchestration.</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Gateway</w:t>
            </w:r>
          </w:p>
        </w:tc>
        <w:tc>
          <w:tcPr>
            <w:tcW w:type="dxa" w:w="3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API Management</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Policy, throttling, versioning.</w:t>
            </w:r>
          </w:p>
        </w:tc>
      </w:tr>
    </w:tbl>
    <w:p>
      <w:pPr>
        <w:pStyle w:val="Heading2"/>
        <w:spacing w:after="100" w:before="190"/>
      </w:pPr>
      <w:r>
        <w:rPr>
          <w:rFonts w:ascii="Arial" w:cs="Arial" w:eastAsia="Arial" w:hAnsi="Arial"/>
          <w:b/>
          <w:bCs/>
        </w:rPr>
        <w:t xml:space="preserve">10.2 Environments</w:t>
      </w:r>
    </w:p>
    <w:p>
      <w:pPr>
        <w:spacing w:after="120" w:before="0" w:line="268"/>
      </w:pPr>
      <w:r>
        <w:rPr>
          <w:rFonts w:ascii="Arial" w:cs="Arial" w:eastAsia="Arial" w:hAnsi="Arial"/>
        </w:rPr>
        <w:t xml:space="preserve">Isolated development, test, staging and production environments are provisioned identically through Infrastructure-as-Code (Bicep), with environment-specific configuration and immutable application images. Production credentials and role assignments are created by an authorised deployment identity, separate from developer accounts.</w:t>
      </w:r>
    </w:p>
    <w:p>
      <w:pPr>
        <w:pStyle w:val="Heading2"/>
        <w:spacing w:after="100" w:before="190"/>
      </w:pPr>
      <w:r>
        <w:rPr>
          <w:rFonts w:ascii="Arial" w:cs="Arial" w:eastAsia="Arial" w:hAnsi="Arial"/>
          <w:b/>
          <w:bCs/>
        </w:rPr>
        <w:t xml:space="preserve">10.3 CI/CD &amp; Release Gates</w:t>
      </w:r>
    </w:p>
    <w:p>
      <w:pPr>
        <w:pStyle w:val="ListParagraph"/>
        <w:numPr>
          <w:ilvl w:val="0"/>
          <w:numId w:val="2"/>
        </w:numPr>
        <w:spacing w:after="64" w:line="264"/>
      </w:pPr>
      <w:r>
        <w:rPr>
          <w:rFonts w:ascii="Arial" w:cs="Arial" w:eastAsia="Arial" w:hAnsi="Arial"/>
        </w:rPr>
        <w:t xml:space="preserve">Build, type-check, lint and dependency audit.</w:t>
      </w:r>
    </w:p>
    <w:p>
      <w:pPr>
        <w:pStyle w:val="ListParagraph"/>
        <w:numPr>
          <w:ilvl w:val="0"/>
          <w:numId w:val="2"/>
        </w:numPr>
        <w:spacing w:after="64" w:line="264"/>
      </w:pPr>
      <w:r>
        <w:rPr>
          <w:rFonts w:ascii="Arial" w:cs="Arial" w:eastAsia="Arial" w:hAnsi="Arial"/>
        </w:rPr>
        <w:t xml:space="preserve">Unit, integration, end-to-end, accessibility and API-contract tests.</w:t>
      </w:r>
    </w:p>
    <w:p>
      <w:pPr>
        <w:pStyle w:val="ListParagraph"/>
        <w:numPr>
          <w:ilvl w:val="0"/>
          <w:numId w:val="2"/>
        </w:numPr>
        <w:spacing w:after="64" w:line="264"/>
      </w:pPr>
      <w:r>
        <w:rPr>
          <w:rFonts w:ascii="Arial" w:cs="Arial" w:eastAsia="Arial" w:hAnsi="Arial"/>
        </w:rPr>
        <w:t xml:space="preserve">Container, IaC, secret, SAST and DAST security scans.</w:t>
      </w:r>
    </w:p>
    <w:p>
      <w:pPr>
        <w:pStyle w:val="ListParagraph"/>
        <w:numPr>
          <w:ilvl w:val="0"/>
          <w:numId w:val="2"/>
        </w:numPr>
        <w:spacing w:after="64" w:line="264"/>
      </w:pPr>
      <w:r>
        <w:rPr>
          <w:rFonts w:ascii="Arial" w:cs="Arial" w:eastAsia="Arial" w:hAnsi="Arial"/>
        </w:rPr>
        <w:t xml:space="preserve">Infrastructure validation and reviewed what-if under an authorised identity.</w:t>
      </w:r>
    </w:p>
    <w:p>
      <w:pPr>
        <w:pStyle w:val="ListParagraph"/>
        <w:numPr>
          <w:ilvl w:val="0"/>
          <w:numId w:val="2"/>
        </w:numPr>
        <w:spacing w:after="64" w:line="264"/>
      </w:pPr>
      <w:r>
        <w:rPr>
          <w:rFonts w:ascii="Arial" w:cs="Arial" w:eastAsia="Arial" w:hAnsi="Arial"/>
        </w:rPr>
        <w:t xml:space="preserve">Private-endpoint and DNS connectivity verified from the running workload.</w:t>
      </w:r>
    </w:p>
    <w:p>
      <w:pPr>
        <w:pStyle w:val="ListParagraph"/>
        <w:numPr>
          <w:ilvl w:val="0"/>
          <w:numId w:val="2"/>
        </w:numPr>
        <w:spacing w:after="64" w:line="264"/>
      </w:pPr>
      <w:r>
        <w:rPr>
          <w:rFonts w:ascii="Arial" w:cs="Arial" w:eastAsia="Arial" w:hAnsi="Arial"/>
        </w:rPr>
        <w:t xml:space="preserve">Database migration and rollback rehearsal; synthetic health checks; blue-green or canary release.</w:t>
      </w:r>
    </w:p>
    <w:p>
      <w:r>
        <w:br w:type="page"/>
      </w:r>
    </w:p>
    <w:p>
      <w:pPr>
        <w:pStyle w:val="Heading1"/>
        <w:spacing w:after="130" w:before="240"/>
      </w:pPr>
      <w:r>
        <w:rPr>
          <w:rFonts w:ascii="Arial" w:cs="Arial" w:eastAsia="Arial" w:hAnsi="Arial"/>
          <w:b/>
          <w:bCs/>
        </w:rPr>
        <w:t xml:space="preserve">11. Observability &amp; Operations</w:t>
      </w:r>
    </w:p>
    <w:p>
      <w:pPr>
        <w:pStyle w:val="Heading2"/>
        <w:spacing w:after="100" w:before="190"/>
      </w:pPr>
      <w:r>
        <w:rPr>
          <w:rFonts w:ascii="Arial" w:cs="Arial" w:eastAsia="Arial" w:hAnsi="Arial"/>
          <w:b/>
          <w:bCs/>
        </w:rPr>
        <w:t xml:space="preserve">11.1 Telemetry</w:t>
      </w:r>
    </w:p>
    <w:p>
      <w:pPr>
        <w:spacing w:after="120" w:before="0" w:line="268"/>
      </w:pPr>
      <w:r>
        <w:rPr>
          <w:rFonts w:ascii="Arial" w:cs="Arial" w:eastAsia="Arial" w:hAnsi="Arial"/>
        </w:rPr>
        <w:t xml:space="preserve">The application is instrumented with OpenTelemetry; traces, metrics and logs flow to Application Insights and Log Analytics, correlated by the end-to-end request ID so a document's journey from capture to publication can be reconstructed. Power BI surfaces operational and compliance dashboards.</w:t>
      </w:r>
    </w:p>
    <w:p>
      <w:pPr>
        <w:pStyle w:val="Heading2"/>
        <w:spacing w:after="100" w:before="190"/>
      </w:pPr>
      <w:r>
        <w:rPr>
          <w:rFonts w:ascii="Arial" w:cs="Arial" w:eastAsia="Arial" w:hAnsi="Arial"/>
          <w:b/>
          <w:bCs/>
        </w:rPr>
        <w:t xml:space="preserve">11.2 Monitoring &amp; Alerting</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3600"/>
        <w:gridCol w:w="40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Signal</w:t>
            </w:r>
          </w:p>
        </w:tc>
        <w:tc>
          <w:tcPr>
            <w:tcW w:type="dxa" w:w="3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Alert condition</w:t>
            </w:r>
          </w:p>
        </w:tc>
        <w:tc>
          <w:tcPr>
            <w:tcW w:type="dxa" w:w="4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Response</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Token / auth failures</w:t>
            </w:r>
          </w:p>
        </w:tc>
        <w:tc>
          <w:tcPr>
            <w:tcW w:type="dxa" w:w="3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Sustained 401/403 or issuer mismatch</w:t>
            </w:r>
          </w:p>
        </w:tc>
        <w:tc>
          <w:tcPr>
            <w:tcW w:type="dxa" w:w="4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Validate identity, claims and scope.</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AI dependency</w:t>
            </w:r>
          </w:p>
        </w:tc>
        <w:tc>
          <w:tcPr>
            <w:tcW w:type="dxa" w:w="3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Throttling or latency breach</w:t>
            </w:r>
          </w:p>
        </w:tc>
        <w:tc>
          <w:tcPr>
            <w:tcW w:type="dxa" w:w="4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Backoff, inspect quota, degrade gracefully.</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Promotion backlog</w:t>
            </w:r>
          </w:p>
        </w:tc>
        <w:tc>
          <w:tcPr>
            <w:tcW w:type="dxa" w:w="3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Queue age or dead-letter threshold</w:t>
            </w:r>
          </w:p>
        </w:tc>
        <w:tc>
          <w:tcPr>
            <w:tcW w:type="dxa" w:w="4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Reprocess safely via idempotent retry.</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Search drift</w:t>
            </w:r>
          </w:p>
        </w:tc>
        <w:tc>
          <w:tcPr>
            <w:tcW w:type="dxa" w:w="3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Reconciliation mismatch</w:t>
            </w:r>
          </w:p>
        </w:tc>
        <w:tc>
          <w:tcPr>
            <w:tcW w:type="dxa" w:w="4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Re-index and correct ACL source.</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Expiry job failure</w:t>
            </w:r>
          </w:p>
        </w:tc>
        <w:tc>
          <w:tcPr>
            <w:tcW w:type="dxa" w:w="3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Missed run or delivery spike</w:t>
            </w:r>
          </w:p>
        </w:tc>
        <w:tc>
          <w:tcPr>
            <w:tcW w:type="dxa" w:w="4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Run recovery job; confirm owner notification.</w:t>
            </w:r>
          </w:p>
        </w:tc>
      </w:tr>
    </w:tbl>
    <w:p>
      <w:pPr>
        <w:pStyle w:val="Heading2"/>
        <w:spacing w:after="100" w:before="190"/>
      </w:pPr>
      <w:r>
        <w:rPr>
          <w:rFonts w:ascii="Arial" w:cs="Arial" w:eastAsia="Arial" w:hAnsi="Arial"/>
          <w:b/>
          <w:bCs/>
        </w:rPr>
        <w:t xml:space="preserve">11.3 SLOs &amp; Runbooks</w:t>
      </w:r>
    </w:p>
    <w:p>
      <w:pPr>
        <w:pStyle w:val="ListParagraph"/>
        <w:numPr>
          <w:ilvl w:val="0"/>
          <w:numId w:val="2"/>
        </w:numPr>
        <w:spacing w:after="64" w:line="264"/>
      </w:pPr>
      <w:r>
        <w:rPr>
          <w:rFonts w:ascii="Arial" w:cs="Arial" w:eastAsia="Arial" w:hAnsi="Arial"/>
        </w:rPr>
        <w:t xml:space="preserve">Service-level objectives with error budgets for availability and latency.</w:t>
      </w:r>
    </w:p>
    <w:p>
      <w:pPr>
        <w:pStyle w:val="ListParagraph"/>
        <w:numPr>
          <w:ilvl w:val="0"/>
          <w:numId w:val="2"/>
        </w:numPr>
        <w:spacing w:after="64" w:line="264"/>
      </w:pPr>
      <w:r>
        <w:rPr>
          <w:rFonts w:ascii="Arial" w:cs="Arial" w:eastAsia="Arial" w:hAnsi="Arial"/>
        </w:rPr>
        <w:t xml:space="preserve">Documented runbooks for sign-in, capture, approval, promotion, search and audit journeys.</w:t>
      </w:r>
    </w:p>
    <w:p>
      <w:pPr>
        <w:pStyle w:val="ListParagraph"/>
        <w:numPr>
          <w:ilvl w:val="0"/>
          <w:numId w:val="2"/>
        </w:numPr>
        <w:spacing w:after="64" w:line="264"/>
      </w:pPr>
      <w:r>
        <w:rPr>
          <w:rFonts w:ascii="Arial" w:cs="Arial" w:eastAsia="Arial" w:hAnsi="Arial"/>
        </w:rPr>
        <w:t xml:space="preserve">Synthetic monitoring of critical flows and on-call escalation.</w:t>
      </w:r>
    </w:p>
    <w:p>
      <w:r>
        <w:br w:type="page"/>
      </w:r>
    </w:p>
    <w:p>
      <w:pPr>
        <w:pStyle w:val="Heading1"/>
        <w:spacing w:after="130" w:before="240"/>
      </w:pPr>
      <w:r>
        <w:rPr>
          <w:rFonts w:ascii="Arial" w:cs="Arial" w:eastAsia="Arial" w:hAnsi="Arial"/>
          <w:b/>
          <w:bCs/>
        </w:rPr>
        <w:t xml:space="preserve">12. Non-Functional Requirements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3400"/>
        <w:gridCol w:w="4480"/>
      </w:tblGrid>
      <w:tr>
        <w:trPr>
          <w:tblHeader/>
        </w:trPr>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Attribute</w:t>
            </w:r>
          </w:p>
        </w:tc>
        <w:tc>
          <w:tcPr>
            <w:tcW w:type="dxa" w:w="3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Target</w:t>
            </w:r>
          </w:p>
        </w:tc>
        <w:tc>
          <w:tcPr>
            <w:tcW w:type="dxa" w:w="4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Verification</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Availability</w:t>
            </w:r>
          </w:p>
        </w:tc>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99.9% baseline</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Synthetic checks; monthly SLO report.</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Page load</w:t>
            </w:r>
          </w:p>
        </w:tc>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p95 &lt; 1.5 s</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Browser telemetry; load tests.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Search latency</w:t>
            </w:r>
          </w:p>
        </w:tc>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p95 &lt; 400 ms</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Permission-trimmed query tests.</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File size</w:t>
            </w:r>
          </w:p>
        </w:tc>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Up to 5 GB (resumable)</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Interruption, retry and memory tests.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Recovery</w:t>
            </w:r>
          </w:p>
        </w:tc>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RPO ≤ 5 min · RTO ≤ 1 hr</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Restore and regional recovery exercise.</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Accessibility</w:t>
            </w:r>
          </w:p>
        </w:tc>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WCAG 2.2 AA; RTL</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Automated and manual audits.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Scalability</w:t>
            </w:r>
          </w:p>
        </w:tc>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10k+ concurrent; 1B+ documents</w:t>
            </w:r>
          </w:p>
        </w:tc>
        <w:tc>
          <w:tcPr>
            <w:tcW w:type="dxa" w:w="4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Load and soak testing.</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Integration reliability</w:t>
            </w:r>
          </w:p>
        </w:tc>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Idempotent, bounded retry</w:t>
            </w:r>
          </w:p>
        </w:tc>
        <w:tc>
          <w:tcPr>
            <w:tcW w:type="dxa" w:w="4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Contract and failure-injection tests.</w:t>
            </w:r>
          </w:p>
        </w:tc>
      </w:tr>
    </w:tbl>
    <w:p>
      <w:pPr>
        <w:pStyle w:val="Heading1"/>
        <w:spacing w:after="130" w:before="240"/>
      </w:pPr>
      <w:r>
        <w:rPr>
          <w:rFonts w:ascii="Arial" w:cs="Arial" w:eastAsia="Arial" w:hAnsi="Arial"/>
          <w:b/>
          <w:bCs/>
        </w:rPr>
        <w:t xml:space="preserve">13. Resilience, Availability &amp; Disaster Recovery</w:t>
      </w:r>
    </w:p>
    <w:p>
      <w:pPr>
        <w:pStyle w:val="ListParagraph"/>
        <w:numPr>
          <w:ilvl w:val="0"/>
          <w:numId w:val="2"/>
        </w:numPr>
        <w:spacing w:after="64" w:line="264"/>
      </w:pPr>
      <w:r>
        <w:rPr>
          <w:rFonts w:ascii="Arial" w:cs="Arial" w:eastAsia="Arial" w:hAnsi="Arial"/>
        </w:rPr>
        <w:t xml:space="preserve">Zone-redundant PaaS and stateless services enable horizontal scale and graceful failover.</w:t>
      </w:r>
    </w:p>
    <w:p>
      <w:pPr>
        <w:pStyle w:val="ListParagraph"/>
        <w:numPr>
          <w:ilvl w:val="0"/>
          <w:numId w:val="2"/>
        </w:numPr>
        <w:spacing w:after="64" w:line="264"/>
      </w:pPr>
      <w:r>
        <w:rPr>
          <w:rFonts w:ascii="Arial" w:cs="Arial" w:eastAsia="Arial" w:hAnsi="Arial"/>
        </w:rPr>
        <w:t xml:space="preserve">Asynchronous workers absorb bursts; dead-letter queues capture and replay poison messages.</w:t>
      </w:r>
    </w:p>
    <w:p>
      <w:pPr>
        <w:pStyle w:val="ListParagraph"/>
        <w:numPr>
          <w:ilvl w:val="0"/>
          <w:numId w:val="2"/>
        </w:numPr>
        <w:spacing w:after="64" w:line="264"/>
      </w:pPr>
      <w:r>
        <w:rPr>
          <w:rFonts w:ascii="Arial" w:cs="Arial" w:eastAsia="Arial" w:hAnsi="Arial"/>
        </w:rPr>
        <w:t xml:space="preserve">Geo-redundant backups with continuous and daily snapshots; documented restore procedures.</w:t>
      </w:r>
    </w:p>
    <w:p>
      <w:pPr>
        <w:pStyle w:val="ListParagraph"/>
        <w:numPr>
          <w:ilvl w:val="0"/>
          <w:numId w:val="2"/>
        </w:numPr>
        <w:spacing w:after="64" w:line="264"/>
      </w:pPr>
      <w:r>
        <w:rPr>
          <w:rFonts w:ascii="Arial" w:cs="Arial" w:eastAsia="Arial" w:hAnsi="Arial"/>
        </w:rPr>
        <w:t xml:space="preserve">Retries with exponential backoff and circuit breakers protect against transient dependency failures.</w:t>
      </w:r>
    </w:p>
    <w:p>
      <w:pPr>
        <w:pStyle w:val="ListParagraph"/>
        <w:numPr>
          <w:ilvl w:val="0"/>
          <w:numId w:val="2"/>
        </w:numPr>
        <w:spacing w:after="64" w:line="264"/>
      </w:pPr>
      <w:r>
        <w:rPr>
          <w:rFonts w:ascii="Arial" w:cs="Arial" w:eastAsia="Arial" w:hAnsi="Arial"/>
        </w:rPr>
        <w:t xml:space="preserve">Failed promotions and indexing are recoverable and idempotently re-runnable.</w:t>
      </w:r>
    </w:p>
    <w:p>
      <w:pPr>
        <w:pStyle w:val="Heading1"/>
        <w:spacing w:after="130" w:before="240"/>
      </w:pPr>
      <w:r>
        <w:rPr>
          <w:rFonts w:ascii="Arial" w:cs="Arial" w:eastAsia="Arial" w:hAnsi="Arial"/>
          <w:b/>
          <w:bCs/>
        </w:rPr>
        <w:t xml:space="preserve">14. Compliance &amp; Governance</w:t>
      </w:r>
    </w:p>
    <w:p>
      <w:pPr>
        <w:pStyle w:val="ListParagraph"/>
        <w:numPr>
          <w:ilvl w:val="0"/>
          <w:numId w:val="2"/>
        </w:numPr>
        <w:spacing w:after="64" w:line="264"/>
      </w:pPr>
      <w:r>
        <w:rPr>
          <w:rFonts w:ascii="Arial" w:cs="Arial" w:eastAsia="Arial" w:hAnsi="Arial"/>
        </w:rPr>
        <w:t xml:space="preserve">Designed to align with recognised information-assurance standards and applicable data-protection law.</w:t>
      </w:r>
    </w:p>
    <w:p>
      <w:pPr>
        <w:pStyle w:val="ListParagraph"/>
        <w:numPr>
          <w:ilvl w:val="0"/>
          <w:numId w:val="2"/>
        </w:numPr>
        <w:spacing w:after="64" w:line="264"/>
      </w:pPr>
      <w:r>
        <w:rPr>
          <w:rFonts w:ascii="Arial" w:cs="Arial" w:eastAsia="Arial" w:hAnsi="Arial"/>
        </w:rPr>
        <w:t xml:space="preserve">Data residency pinned to approved sovereign region(s).</w:t>
      </w:r>
    </w:p>
    <w:p>
      <w:pPr>
        <w:pStyle w:val="ListParagraph"/>
        <w:numPr>
          <w:ilvl w:val="0"/>
          <w:numId w:val="2"/>
        </w:numPr>
        <w:spacing w:after="64" w:line="264"/>
      </w:pPr>
      <w:r>
        <w:rPr>
          <w:rFonts w:ascii="Arial" w:cs="Arial" w:eastAsia="Arial" w:hAnsi="Arial"/>
        </w:rPr>
        <w:t xml:space="preserve">Immutable, hash-chained audit supports evidential integrity and defensible disposition.</w:t>
      </w:r>
    </w:p>
    <w:p>
      <w:pPr>
        <w:pStyle w:val="ListParagraph"/>
        <w:numPr>
          <w:ilvl w:val="0"/>
          <w:numId w:val="2"/>
        </w:numPr>
        <w:spacing w:after="64" w:line="264"/>
      </w:pPr>
      <w:r>
        <w:rPr>
          <w:rFonts w:ascii="Arial" w:cs="Arial" w:eastAsia="Arial" w:hAnsi="Arial"/>
        </w:rPr>
        <w:t xml:space="preserve">Right-to-be-forgotten and data-subject processes supported through governed workflows.</w:t>
      </w:r>
    </w:p>
    <w:p>
      <w:r>
        <w:br w:type="page"/>
      </w:r>
    </w:p>
    <w:p>
      <w:pPr>
        <w:pStyle w:val="Heading1"/>
        <w:spacing w:after="130" w:before="240"/>
      </w:pPr>
      <w:r>
        <w:rPr>
          <w:rFonts w:ascii="Arial" w:cs="Arial" w:eastAsia="Arial" w:hAnsi="Arial"/>
          <w:b/>
          <w:bCs/>
        </w:rPr>
        <w:t xml:space="preserve">15. Technology Stack Summary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7480"/>
      </w:tblGrid>
      <w:tr>
        <w:trPr>
          <w:tblHeader/>
        </w:trPr>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Concern</w:t>
            </w:r>
          </w:p>
        </w:tc>
        <w:tc>
          <w:tcPr>
            <w:tcW w:type="dxa" w:w="74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Technology</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Frontend</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React 18 + TypeScript + Fluent UI on Azure Static Web Apps</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Gateway / BFF</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API Management + backend-for-frontend</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Services</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ASP.NET Core on Azure Container Apps / App Service</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Async / workflow</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 Durable Functions, Azure Service Bus</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Real-time</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SignalR Service</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Content store</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Online via Microsoft Graph</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Staging</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Blob Storage</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Metadata / audit</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SQL Database</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Search / AI</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AI Search + Azure OpenAI</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Cache</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Cache for Redis</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Secrets</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Key Vault + Managed Identity</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Security</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Defender for Cloud, Microsoft Purview</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Observability</w:t>
            </w:r>
          </w:p>
        </w:tc>
        <w:tc>
          <w:tcPr>
            <w:tcW w:type="dxa" w:w="74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OpenTelemetry, Application Insights, Log Analytics, Power BI</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IaC / CI-CD</w:t>
            </w:r>
          </w:p>
        </w:tc>
        <w:tc>
          <w:tcPr>
            <w:tcW w:type="dxa" w:w="74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Bicep + pipeline automation (GitHub Actions / Azure DevOps)</w:t>
            </w:r>
          </w:p>
        </w:tc>
      </w:tr>
    </w:tbl>
    <w:p>
      <w:pPr>
        <w:pStyle w:val="Heading1"/>
        <w:spacing w:after="130" w:before="240"/>
      </w:pPr>
      <w:r>
        <w:rPr>
          <w:rFonts w:ascii="Arial" w:cs="Arial" w:eastAsia="Arial" w:hAnsi="Arial"/>
          <w:b/>
          <w:bCs/>
        </w:rPr>
        <w:t xml:space="preserve">16. Architecture Decision Records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700"/>
        <w:gridCol w:w="8380"/>
        <w:gridCol w:w="1000"/>
      </w:tblGrid>
      <w:tr>
        <w:trPr>
          <w:tblHeader/>
        </w:trPr>
        <w:tc>
          <w:tcPr>
            <w:tcW w:type="dxa" w:w="7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ID</w:t>
            </w:r>
          </w:p>
        </w:tc>
        <w:tc>
          <w:tcPr>
            <w:tcW w:type="dxa" w:w="83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Decision</w:t>
            </w:r>
          </w:p>
        </w:tc>
        <w:tc>
          <w:tcPr>
            <w:tcW w:type="dxa" w:w="1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Status</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ADR-01</w:t>
            </w:r>
          </w:p>
        </w:tc>
        <w:tc>
          <w:tcPr>
            <w:tcW w:type="dxa" w:w="8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Online is the content system of record; Azure SQL is authoritative for metadata and audit.</w:t>
            </w:r>
          </w:p>
        </w:tc>
        <w:tc>
          <w:tcPr>
            <w:tcW w:type="dxa" w:w="1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ADR-02</w:t>
            </w:r>
          </w:p>
        </w:tc>
        <w:tc>
          <w:tcPr>
            <w:tcW w:type="dxa" w:w="8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All content follows staging → classify → approve → promote; nothing publishes ungoverned.</w:t>
            </w:r>
          </w:p>
        </w:tc>
        <w:tc>
          <w:tcPr>
            <w:tcW w:type="dxa" w:w="1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ADR-03</w:t>
            </w:r>
          </w:p>
        </w:tc>
        <w:tc>
          <w:tcPr>
            <w:tcW w:type="dxa" w:w="8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User access is governed in-application; content operations use one governed service identity.</w:t>
            </w:r>
          </w:p>
        </w:tc>
        <w:tc>
          <w:tcPr>
            <w:tcW w:type="dxa" w:w="1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ADR-04</w:t>
            </w:r>
          </w:p>
        </w:tc>
        <w:tc>
          <w:tcPr>
            <w:tcW w:type="dxa" w:w="8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AI/RAG runs as a batch over approved content only; never at capture or classification.</w:t>
            </w:r>
          </w:p>
        </w:tc>
        <w:tc>
          <w:tcPr>
            <w:tcW w:type="dxa" w:w="1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ADR-05</w:t>
            </w:r>
          </w:p>
        </w:tc>
        <w:tc>
          <w:tcPr>
            <w:tcW w:type="dxa" w:w="8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Asynchronous orchestration via Durable Functions and Service Bus with idempotent operations.</w:t>
            </w:r>
          </w:p>
        </w:tc>
        <w:tc>
          <w:tcPr>
            <w:tcW w:type="dxa" w:w="1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ADR-06</w:t>
            </w:r>
          </w:p>
        </w:tc>
        <w:tc>
          <w:tcPr>
            <w:tcW w:type="dxa" w:w="8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Zero-trust with private networking, Managed Identity and deny-by-default authorization.</w:t>
            </w:r>
          </w:p>
        </w:tc>
        <w:tc>
          <w:tcPr>
            <w:tcW w:type="dxa" w:w="1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ADR-07</w:t>
            </w:r>
          </w:p>
        </w:tc>
        <w:tc>
          <w:tcPr>
            <w:tcW w:type="dxa" w:w="8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Delivered exclusively on native Azure and Microsoft 365 services.</w:t>
            </w:r>
          </w:p>
        </w:tc>
        <w:tc>
          <w:tcPr>
            <w:tcW w:type="dxa" w:w="1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ADR-08</w:t>
            </w:r>
          </w:p>
        </w:tc>
        <w:tc>
          <w:tcPr>
            <w:tcW w:type="dxa" w:w="8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UI, API, workers and infrastructure are separately packaged and independently deployable.</w:t>
            </w:r>
          </w:p>
        </w:tc>
        <w:tc>
          <w:tcPr>
            <w:tcW w:type="dxa" w:w="1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Accepted</w:t>
            </w:r>
          </w:p>
        </w:tc>
      </w:tr>
    </w:tbl>
    <w:p>
      <w:pPr>
        <w:pStyle w:val="Heading1"/>
        <w:spacing w:after="130" w:before="240"/>
      </w:pPr>
      <w:r>
        <w:rPr>
          <w:rFonts w:ascii="Arial" w:cs="Arial" w:eastAsia="Arial" w:hAnsi="Arial"/>
          <w:b/>
          <w:bCs/>
        </w:rPr>
        <w:t xml:space="preserve">17. Risks &amp; Mitigations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000"/>
        <w:gridCol w:w="2400"/>
        <w:gridCol w:w="4680"/>
      </w:tblGrid>
      <w:tr>
        <w:trPr>
          <w:tblHeader/>
        </w:trPr>
        <w:tc>
          <w:tcPr>
            <w:tcW w:type="dxa" w:w="3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Risk</w:t>
            </w:r>
          </w:p>
        </w:tc>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Impact</w:t>
            </w:r>
          </w:p>
        </w:tc>
        <w:tc>
          <w:tcPr>
            <w:tcW w:type="dxa" w:w="4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Mitigation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Graph API throttling during bulk promotion</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Delayed publishing</w:t>
            </w:r>
          </w:p>
        </w:tc>
        <w:tc>
          <w:tcPr>
            <w:tcW w:type="dxa" w:w="4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Batching, retry with backoff, queue smoothing.</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Staging growth</w:t>
            </w:r>
          </w:p>
        </w:tc>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Cost</w:t>
            </w:r>
          </w:p>
        </w:tc>
        <w:tc>
          <w:tcPr>
            <w:tcW w:type="dxa" w:w="4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Lifecycle cleanup after promotion.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Complex ABAC rules</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Misconfiguration</w:t>
            </w:r>
          </w:p>
        </w:tc>
        <w:tc>
          <w:tcPr>
            <w:tcW w:type="dxa" w:w="4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Rule simulation and review before publish.</w:t>
            </w:r>
          </w:p>
        </w:tc>
      </w:tr>
      <w:tr>
        <w:tc>
          <w:tcPr>
            <w:tcW w:type="dxa" w:w="3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Permission drift in SharePoint</w:t>
            </w:r>
          </w:p>
        </w:tc>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 errors</w:t>
            </w:r>
          </w:p>
        </w:tc>
        <w:tc>
          <w:tcPr>
            <w:tcW w:type="dxa" w:w="4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Service identity + periodic reconciliation.</w:t>
            </w:r>
          </w:p>
        </w:tc>
      </w:tr>
      <w:tr>
        <w:tc>
          <w:tcPr>
            <w:tcW w:type="dxa" w:w="3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Index staleness</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Stale search results</w:t>
            </w:r>
          </w:p>
        </w:tc>
        <w:tc>
          <w:tcPr>
            <w:tcW w:type="dxa" w:w="4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Scheduled batch cadence and full re-index capability.</w:t>
            </w:r>
          </w:p>
        </w:tc>
      </w:tr>
    </w:tbl>
    <w:p>
      <w:r>
        <w:br w:type="page"/>
      </w:r>
    </w:p>
    <w:p>
      <w:pPr>
        <w:pStyle w:val="Heading1"/>
        <w:spacing w:after="130" w:before="240"/>
      </w:pPr>
      <w:r>
        <w:rPr>
          <w:rFonts w:ascii="Arial" w:cs="Arial" w:eastAsia="Arial" w:hAnsi="Arial"/>
          <w:b/>
          <w:bCs/>
        </w:rPr>
        <w:t xml:space="preserve">18. Development Methodology &amp; Guidelines (VS Code)</w:t>
      </w:r>
    </w:p>
    <w:p>
      <w:pPr>
        <w:spacing w:after="120" w:before="0" w:line="268"/>
      </w:pPr>
      <w:r>
        <w:rPr>
          <w:rFonts w:ascii="Arial" w:cs="Arial" w:eastAsia="Arial" w:hAnsi="Arial"/>
        </w:rPr>
        <w:t xml:space="preserve">This section defines how the platform is engineered day-to-day using Visual Studio Code (VS Code). It establishes the workspace model, the toolchain, coding standards, branching and review process, and the local run/debug loop for each independently developed package — the web UI, the API, the asynchronous workers/workflow, and the shared contracts. Each package is developed, versioned, tested and packaged separately, and can be run in isolation on a developer machine.</w:t>
      </w:r>
    </w:p>
    <w:p>
      <w:pPr>
        <w:pStyle w:val="Heading2"/>
        <w:spacing w:after="100" w:before="190"/>
      </w:pPr>
      <w:r>
        <w:rPr>
          <w:rFonts w:ascii="Arial" w:cs="Arial" w:eastAsia="Arial" w:hAnsi="Arial"/>
          <w:b/>
          <w:bCs/>
        </w:rPr>
        <w:t xml:space="preserve">18.1 Delivery Approach</w:t>
      </w:r>
    </w:p>
    <w:p>
      <w:pPr>
        <w:spacing w:after="120" w:before="0" w:line="268"/>
      </w:pPr>
      <w:r>
        <w:rPr>
          <w:rFonts w:ascii="Arial" w:cs="Arial" w:eastAsia="Arial" w:hAnsi="Arial"/>
        </w:rPr>
        <w:t xml:space="preserve">Delivery is iterative and trunk-based. Work is planned as small, vertically-sliced increments (a thin slice through UI → API → data), each protected by automated tests and a definition of done. Short-lived feature branches are merged into the main branch through pull requests that must pass all quality gates. Every merge to main produces versioned, immutable build artifacts that are promoted unchanged across environments.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Practice</w:t>
            </w:r>
          </w:p>
        </w:tc>
        <w:tc>
          <w:tcPr>
            <w:tcW w:type="dxa" w:w="7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Standard</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Methodology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Agile increments with trunk-based development and continuous integration.</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Branching</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main (always releasable) + short-lived feature/*, fix/*, chore/* branches.</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Merge policy</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Pull request with review, green pipeline, and up-to-date branch; squash merge.</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Versioning</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Semantic Versioning (MAJOR.MINOR.PATCH); Git tag per release.</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Commits</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Conventional Commits (feat, fix, chore, docs, refactor, test).</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Definition of Done</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Code + tests + accessibility + security checks + docs + telemetry emitted.</w:t>
            </w:r>
          </w:p>
        </w:tc>
      </w:tr>
    </w:tbl>
    <w:p>
      <w:pPr>
        <w:pStyle w:val="Heading2"/>
        <w:spacing w:after="100" w:before="190"/>
      </w:pPr>
      <w:r>
        <w:rPr>
          <w:rFonts w:ascii="Arial" w:cs="Arial" w:eastAsia="Arial" w:hAnsi="Arial"/>
          <w:b/>
          <w:bCs/>
        </w:rPr>
        <w:t xml:space="preserve">18.2 Separation into Independently Developed Packages</w:t>
      </w:r>
    </w:p>
    <w:p>
      <w:pPr>
        <w:spacing w:after="120" w:before="0" w:line="268"/>
      </w:pPr>
      <w:r>
        <w:rPr>
          <w:rFonts w:ascii="Arial" w:cs="Arial" w:eastAsia="Arial" w:hAnsi="Arial"/>
        </w:rPr>
        <w:t xml:space="preserve">The solution is deliberately separated so that the presentation, the API, the asynchronous processing and the shared contracts are developed, built and released as distinct packages. This lets teams work in parallel, keeps build times short, allows each part to scale and deploy on its own cadence, and produces clean, independently versioned artifacts.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1900"/>
        <w:gridCol w:w="3200"/>
        <w:gridCol w:w="2400"/>
        <w:gridCol w:w="2580"/>
      </w:tblGrid>
      <w:tr>
        <w:trPr>
          <w:tblHeader/>
        </w:trPr>
        <w:tc>
          <w:tcPr>
            <w:tcW w:type="dxa" w:w="19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Package</w:t>
            </w:r>
          </w:p>
        </w:tc>
        <w:tc>
          <w:tcPr>
            <w:tcW w:type="dxa" w:w="3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What it is</w:t>
            </w:r>
          </w:p>
        </w:tc>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Built with</w:t>
            </w:r>
          </w:p>
        </w:tc>
        <w:tc>
          <w:tcPr>
            <w:tcW w:type="dxa" w:w="25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Produced artifact</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Web UI (SPA)</w:t>
            </w:r>
          </w:p>
        </w:tc>
        <w:tc>
          <w:tcPr>
            <w:tcW w:type="dxa" w:w="3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React 18 + TypeScript + Fluent UI single-page app</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Vite</w:t>
            </w:r>
          </w:p>
        </w:tc>
        <w:tc>
          <w:tcPr>
            <w:tcW w:type="dxa" w:w="2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Static bundle (Static Web App)</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 / BFF</w:t>
            </w:r>
          </w:p>
        </w:tc>
        <w:tc>
          <w:tcPr>
            <w:tcW w:type="dxa" w:w="3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ASP.NET Core Web API and backend-for-frontend</w:t>
            </w:r>
          </w:p>
        </w:tc>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dotnet + Docker</w:t>
            </w:r>
          </w:p>
        </w:tc>
        <w:tc>
          <w:tcPr>
            <w:tcW w:type="dxa" w:w="2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Container image</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Workers / Workflow</w:t>
            </w:r>
          </w:p>
        </w:tc>
        <w:tc>
          <w:tcPr>
            <w:tcW w:type="dxa" w:w="3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 + Durable Functions</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dotnet + Functions</w:t>
            </w:r>
          </w:p>
        </w:tc>
        <w:tc>
          <w:tcPr>
            <w:tcW w:type="dxa" w:w="2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Function app package (zip)</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Shared Contracts</w:t>
            </w:r>
          </w:p>
        </w:tc>
        <w:tc>
          <w:tcPr>
            <w:tcW w:type="dxa" w:w="3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OpenAPI spec + generated TypeScript &amp; C# clients, DTOs</w:t>
            </w:r>
          </w:p>
        </w:tc>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OpenAPI generator</w:t>
            </w:r>
          </w:p>
        </w:tc>
        <w:tc>
          <w:tcPr>
            <w:tcW w:type="dxa" w:w="2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Versioned client packages</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Infrastructure</w:t>
            </w:r>
          </w:p>
        </w:tc>
        <w:tc>
          <w:tcPr>
            <w:tcW w:type="dxa" w:w="3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Bicep modules + parameters</w:t>
            </w:r>
          </w:p>
        </w:tc>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Bicep</w:t>
            </w:r>
          </w:p>
        </w:tc>
        <w:tc>
          <w:tcPr>
            <w:tcW w:type="dxa" w:w="2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ARM template + parameter files</w:t>
            </w:r>
          </w:p>
        </w:tc>
      </w:tr>
    </w:tbl>
    <w:tbl>
      <w:tblPr>
        <w:tblW w:type="dxa" w:w="10080"/>
        <w:tblBorders>
          <w:top w:val="single" w:color="EAF6F5" w:sz="1"/>
          <w:left w:val="single" w:color="14705C" w:sz="18"/>
          <w:bottom w:val="single" w:color="EAF6F5" w:sz="1"/>
          <w:right w:val="single" w:color="EAF6F5" w:sz="1"/>
          <w:insideH w:val="single" w:color="auto" w:sz="4"/>
          <w:insideV w:val="single" w:color="auto" w:sz="4"/>
        </w:tblBorders>
      </w:tblPr>
      <w:tblGrid>
        <w:gridCol w:w="10080"/>
      </w:tblGrid>
      <w:tr>
        <w:tc>
          <w:tcPr>
            <w:tcW w:type="dxa" w:w="10080"/>
            <w:shd w:fill="EAF6F5" w:val="clear"/>
            <w:tcMar>
              <w:top w:type="dxa" w:w="104"/>
              <w:left w:type="dxa" w:w="150"/>
              <w:bottom w:type="dxa" w:w="104"/>
              <w:right w:type="dxa" w:w="140"/>
            </w:tcMar>
          </w:tcPr>
          <w:p>
            <w:pPr>
              <w:spacing w:after="0" w:line="262"/>
            </w:pPr>
            <w:r>
              <w:rPr>
                <w:rFonts w:ascii="Arial" w:cs="Arial" w:eastAsia="Arial" w:hAnsi="Arial"/>
                <w:b/>
                <w:bCs/>
                <w:color w:val="14705C"/>
                <w:sz w:val="18"/>
                <w:szCs w:val="18"/>
              </w:rPr>
              <w:t xml:space="preserve">Why separate packages  </w:t>
            </w:r>
            <w:r>
              <w:rPr>
                <w:rFonts w:ascii="Arial" w:cs="Arial" w:eastAsia="Arial" w:hAnsi="Arial"/>
                <w:color w:val="0F1B33"/>
                <w:sz w:val="17"/>
                <w:szCs w:val="17"/>
              </w:rPr>
              <w:t xml:space="preserve">Separating the UI, API, workers and infrastructure gives independent build/test/release cycles, smaller and faster pipelines, clear ownership boundaries, and the ability to roll a single package forward or back without touching the others — while a shared, versioned contract keeps the UI and API in lock-step.</w:t>
            </w:r>
          </w:p>
        </w:tc>
      </w:tr>
    </w:tbl>
    <w:p>
      <w:pPr>
        <w:pStyle w:val="Heading2"/>
        <w:spacing w:after="100" w:before="190"/>
      </w:pPr>
      <w:r>
        <w:rPr>
          <w:rFonts w:ascii="Arial" w:cs="Arial" w:eastAsia="Arial" w:hAnsi="Arial"/>
          <w:b/>
          <w:bCs/>
        </w:rPr>
        <w:t xml:space="preserve">18.3 Developer Workstation Prerequisites</w:t>
      </w:r>
    </w:p>
    <w:p>
      <w:pPr>
        <w:spacing w:after="120" w:before="0" w:line="268"/>
      </w:pPr>
      <w:r>
        <w:rPr>
          <w:rFonts w:ascii="Arial" w:cs="Arial" w:eastAsia="Arial" w:hAnsi="Arial"/>
        </w:rPr>
        <w:t xml:space="preserve">Every developer prepares an identical local toolchain. Versions are pinned so that all machines and the CI runners build the software the same way.</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500"/>
        <w:gridCol w:w="3700"/>
        <w:gridCol w:w="3880"/>
      </w:tblGrid>
      <w:tr>
        <w:trPr>
          <w:tblHeader/>
        </w:trPr>
        <w:tc>
          <w:tcPr>
            <w:tcW w:type="dxa" w:w="2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Tool</w:t>
            </w:r>
          </w:p>
        </w:tc>
        <w:tc>
          <w:tcPr>
            <w:tcW w:type="dxa" w:w="37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Purpose</w:t>
            </w:r>
          </w:p>
        </w:tc>
        <w:tc>
          <w:tcPr>
            <w:tcW w:type="dxa" w:w="38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Notes</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Visual Studio Code</w:t>
            </w:r>
          </w:p>
        </w:tc>
        <w:tc>
          <w:tcPr>
            <w:tcW w:type="dxa" w:w="3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Primary IDE for all packages</w:t>
            </w:r>
          </w:p>
        </w:tc>
        <w:tc>
          <w:tcPr>
            <w:tcW w:type="dxa" w:w="3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With the workspace extensions below</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Node.js LTS + npm</w:t>
            </w:r>
          </w:p>
        </w:tc>
        <w:tc>
          <w:tcPr>
            <w:tcW w:type="dxa" w:w="3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Build &amp; run the Web UI</w:t>
            </w:r>
          </w:p>
        </w:tc>
        <w:tc>
          <w:tcPr>
            <w:tcW w:type="dxa" w:w="3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 pinned in .nvmrc / engines</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 SDK (LTS)</w:t>
            </w:r>
          </w:p>
        </w:tc>
        <w:tc>
          <w:tcPr>
            <w:tcW w:type="dxa" w:w="3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Build &amp; run the API and Functions</w:t>
            </w:r>
          </w:p>
        </w:tc>
        <w:tc>
          <w:tcPr>
            <w:tcW w:type="dxa" w:w="3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 pinned in global.json</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 Core Tools</w:t>
            </w:r>
          </w:p>
        </w:tc>
        <w:tc>
          <w:tcPr>
            <w:tcW w:type="dxa" w:w="3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Run/debug Functions locally</w:t>
            </w:r>
          </w:p>
        </w:tc>
        <w:tc>
          <w:tcPr>
            <w:tcW w:type="dxa" w:w="3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Durable Functions emulation</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Docker Desktop</w:t>
            </w:r>
          </w:p>
        </w:tc>
        <w:tc>
          <w:tcPr>
            <w:tcW w:type="dxa" w:w="3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Build &amp; run API container images</w:t>
            </w:r>
          </w:p>
        </w:tc>
        <w:tc>
          <w:tcPr>
            <w:tcW w:type="dxa" w:w="3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Local container parity with cloud</w:t>
            </w:r>
          </w:p>
        </w:tc>
      </w:tr>
      <w:tr>
        <w:tc>
          <w:tcPr>
            <w:tcW w:type="dxa" w:w="2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CLI + Bicep CLI</w:t>
            </w:r>
          </w:p>
        </w:tc>
        <w:tc>
          <w:tcPr>
            <w:tcW w:type="dxa" w:w="3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Provision and validate infrastructure</w:t>
            </w:r>
          </w:p>
        </w:tc>
        <w:tc>
          <w:tcPr>
            <w:tcW w:type="dxa" w:w="3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 bicep build / what-if</w:t>
            </w:r>
          </w:p>
        </w:tc>
      </w:tr>
      <w:tr>
        <w:tc>
          <w:tcPr>
            <w:tcW w:type="dxa" w:w="2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Git</w:t>
            </w:r>
          </w:p>
        </w:tc>
        <w:tc>
          <w:tcPr>
            <w:tcW w:type="dxa" w:w="3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Version control</w:t>
            </w:r>
          </w:p>
        </w:tc>
        <w:tc>
          <w:tcPr>
            <w:tcW w:type="dxa" w:w="3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Conventional Commits enforced by hook</w:t>
            </w:r>
          </w:p>
        </w:tc>
      </w:tr>
    </w:tbl>
    <w:p>
      <w:pPr>
        <w:pStyle w:val="Heading2"/>
        <w:spacing w:after="100" w:before="190"/>
      </w:pPr>
      <w:r>
        <w:rPr>
          <w:rFonts w:ascii="Arial" w:cs="Arial" w:eastAsia="Arial" w:hAnsi="Arial"/>
          <w:b/>
          <w:bCs/>
        </w:rPr>
        <w:t xml:space="preserve">18.4 VS Code Workspace &amp; Recommended Extensions</w:t>
      </w:r>
    </w:p>
    <w:p>
      <w:pPr>
        <w:spacing w:after="120" w:before="0" w:line="268"/>
      </w:pPr>
      <w:r>
        <w:rPr>
          <w:rFonts w:ascii="Arial" w:cs="Arial" w:eastAsia="Arial" w:hAnsi="Arial"/>
        </w:rPr>
        <w:t xml:space="preserve">The repository ships a multi-root VS Code workspace so a single window opens all packages with the right settings, tasks and debug profiles. Recommended extensions are declared in .vscode/extensions.json so VS Code prompts each developer to install the exact set.</w:t>
      </w:r>
    </w:p>
    <w:p>
      <w:pPr>
        <w:pStyle w:val="Heading3"/>
        <w:spacing w:after="80" w:before="150"/>
      </w:pPr>
      <w:r>
        <w:rPr>
          <w:rFonts w:ascii="Arial" w:cs="Arial" w:eastAsia="Arial" w:hAnsi="Arial"/>
          <w:b/>
          <w:bCs/>
        </w:rPr>
        <w:t xml:space="preserve">18.4.1 Multi-root workspace (docaya.code-workspace)</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D6E2F5"/>
                <w:sz w:val="14"/>
                <w:szCs w:val="14"/>
              </w:rPr>
              <w:t xml:space="preserve">{</w:t>
            </w:r>
          </w:p>
          <w:p>
            <w:pPr>
              <w:spacing w:after="0" w:line="236"/>
            </w:pPr>
            <w:r>
              <w:rPr>
                <w:rFonts w:ascii="Consolas" w:cs="Consolas" w:eastAsia="Consolas" w:hAnsi="Consolas"/>
                <w:color w:val="9FE1C8"/>
                <w:sz w:val="14"/>
                <w:szCs w:val="14"/>
              </w:rPr>
              <w:t xml:space="preserve">  "folders": [</w:t>
            </w:r>
          </w:p>
          <w:p>
            <w:pPr>
              <w:spacing w:after="0" w:line="236"/>
            </w:pPr>
            <w:r>
              <w:rPr>
                <w:rFonts w:ascii="Consolas" w:cs="Consolas" w:eastAsia="Consolas" w:hAnsi="Consolas"/>
                <w:color w:val="D6E2F5"/>
                <w:sz w:val="14"/>
                <w:szCs w:val="14"/>
              </w:rPr>
              <w:t xml:space="preserve">    { "name": "web",       "path": "src/web" },</w:t>
            </w:r>
          </w:p>
          <w:p>
            <w:pPr>
              <w:spacing w:after="0" w:line="236"/>
            </w:pPr>
            <w:r>
              <w:rPr>
                <w:rFonts w:ascii="Consolas" w:cs="Consolas" w:eastAsia="Consolas" w:hAnsi="Consolas"/>
                <w:color w:val="D6E2F5"/>
                <w:sz w:val="14"/>
                <w:szCs w:val="14"/>
              </w:rPr>
              <w:t xml:space="preserve">    { "name": "api",       "path": "src/api" },</w:t>
            </w:r>
          </w:p>
          <w:p>
            <w:pPr>
              <w:spacing w:after="0" w:line="236"/>
            </w:pPr>
            <w:r>
              <w:rPr>
                <w:rFonts w:ascii="Consolas" w:cs="Consolas" w:eastAsia="Consolas" w:hAnsi="Consolas"/>
                <w:color w:val="D6E2F5"/>
                <w:sz w:val="14"/>
                <w:szCs w:val="14"/>
              </w:rPr>
              <w:t xml:space="preserve">    { "name": "functions", "path": "src/functions" },</w:t>
            </w:r>
          </w:p>
          <w:p>
            <w:pPr>
              <w:spacing w:after="0" w:line="236"/>
            </w:pPr>
            <w:r>
              <w:rPr>
                <w:rFonts w:ascii="Consolas" w:cs="Consolas" w:eastAsia="Consolas" w:hAnsi="Consolas"/>
                <w:color w:val="D6E2F5"/>
                <w:sz w:val="14"/>
                <w:szCs w:val="14"/>
              </w:rPr>
              <w:t xml:space="preserve">    { "name": "contracts", "path": "src/contracts" },</w:t>
            </w:r>
          </w:p>
          <w:p>
            <w:pPr>
              <w:spacing w:after="0" w:line="236"/>
            </w:pPr>
            <w:r>
              <w:rPr>
                <w:rFonts w:ascii="Consolas" w:cs="Consolas" w:eastAsia="Consolas" w:hAnsi="Consolas"/>
                <w:color w:val="D6E2F5"/>
                <w:sz w:val="14"/>
                <w:szCs w:val="14"/>
              </w:rPr>
              <w:t xml:space="preserve">    { "name": "infra",     "path": "infra" }</w:t>
            </w:r>
          </w:p>
          <w:p>
            <w:pPr>
              <w:spacing w:after="0" w:line="236"/>
            </w:pPr>
            <w:r>
              <w:rPr>
                <w:rFonts w:ascii="Consolas" w:cs="Consolas" w:eastAsia="Consolas" w:hAnsi="Consolas"/>
                <w:color w:val="9FE1C8"/>
                <w:sz w:val="14"/>
                <w:szCs w:val="14"/>
              </w:rPr>
              <w:t xml:space="preserve">  ],</w:t>
            </w:r>
          </w:p>
          <w:p>
            <w:pPr>
              <w:spacing w:after="0" w:line="236"/>
            </w:pPr>
            <w:r>
              <w:rPr>
                <w:rFonts w:ascii="Consolas" w:cs="Consolas" w:eastAsia="Consolas" w:hAnsi="Consolas"/>
                <w:color w:val="9FE1C8"/>
                <w:sz w:val="14"/>
                <w:szCs w:val="14"/>
              </w:rPr>
              <w:t xml:space="preserve">  "settings": {</w:t>
            </w:r>
          </w:p>
          <w:p>
            <w:pPr>
              <w:spacing w:after="0" w:line="236"/>
            </w:pPr>
            <w:r>
              <w:rPr>
                <w:rFonts w:ascii="Consolas" w:cs="Consolas" w:eastAsia="Consolas" w:hAnsi="Consolas"/>
                <w:color w:val="D6E2F5"/>
                <w:sz w:val="14"/>
                <w:szCs w:val="14"/>
              </w:rPr>
              <w:t xml:space="preserve">    "editor.formatOnSave": true,</w:t>
            </w:r>
          </w:p>
          <w:p>
            <w:pPr>
              <w:spacing w:after="0" w:line="236"/>
            </w:pPr>
            <w:r>
              <w:rPr>
                <w:rFonts w:ascii="Consolas" w:cs="Consolas" w:eastAsia="Consolas" w:hAnsi="Consolas"/>
                <w:color w:val="D6E2F5"/>
                <w:sz w:val="14"/>
                <w:szCs w:val="14"/>
              </w:rPr>
              <w:t xml:space="preserve">    "editor.codeActionsOnSave": { "source.fixAll": "explicit" },</w:t>
            </w:r>
          </w:p>
          <w:p>
            <w:pPr>
              <w:spacing w:after="0" w:line="236"/>
            </w:pPr>
            <w:r>
              <w:rPr>
                <w:rFonts w:ascii="Consolas" w:cs="Consolas" w:eastAsia="Consolas" w:hAnsi="Consolas"/>
                <w:color w:val="D6E2F5"/>
                <w:sz w:val="14"/>
                <w:szCs w:val="14"/>
              </w:rPr>
              <w:t xml:space="preserve">    "dotnet.defaultSolution": "src/api/Docaya.Api.sln"</w:t>
            </w:r>
          </w:p>
          <w:p>
            <w:pPr>
              <w:spacing w:after="0" w:line="236"/>
            </w:pPr>
            <w:r>
              <w:rPr>
                <w:rFonts w:ascii="Consolas" w:cs="Consolas" w:eastAsia="Consolas" w:hAnsi="Consolas"/>
                <w:color w:val="9FE1C8"/>
                <w:sz w:val="14"/>
                <w:szCs w:val="14"/>
              </w:rPr>
              <w:t xml:space="preserve">  }</w:t>
            </w:r>
          </w:p>
          <w:p>
            <w:pPr>
              <w:spacing w:after="0" w:line="236"/>
            </w:pPr>
            <w:r>
              <w:rPr>
                <w:rFonts w:ascii="Consolas" w:cs="Consolas" w:eastAsia="Consolas" w:hAnsi="Consolas"/>
                <w:color w:val="D6E2F5"/>
                <w:sz w:val="14"/>
                <w:szCs w:val="14"/>
              </w:rPr>
              <w:t xml:space="preserve">}</w:t>
            </w:r>
          </w:p>
        </w:tc>
      </w:tr>
    </w:tbl>
    <w:p>
      <w:pPr>
        <w:pStyle w:val="Heading3"/>
        <w:spacing w:after="80" w:before="150"/>
      </w:pPr>
      <w:r>
        <w:rPr>
          <w:rFonts w:ascii="Arial" w:cs="Arial" w:eastAsia="Arial" w:hAnsi="Arial"/>
          <w:b/>
          <w:bCs/>
        </w:rPr>
        <w:t xml:space="preserve">18.4.2 Recommended extensions (.vscode/extensions.json)</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400"/>
        <w:gridCol w:w="6680"/>
      </w:tblGrid>
      <w:tr>
        <w:trPr>
          <w:tblHeader/>
        </w:trPr>
        <w:tc>
          <w:tcPr>
            <w:tcW w:type="dxa" w:w="3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Extension</w:t>
            </w:r>
          </w:p>
        </w:tc>
        <w:tc>
          <w:tcPr>
            <w:tcW w:type="dxa" w:w="6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Used for</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ESLint · Prettier</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Lint and format the Web UI (TypeScript/React)</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 Dev Kit</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Build, run and debug the ASP.NET Core API</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Functions</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Run, debug and publish the Functions app</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Azure Resources · Bicep</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Author, validate and deploy Infrastructure-as-Code</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REST Client / OpenAPI (Swagger)</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Explore and test the API contract</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Docker</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Build and inspect container images</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GitLens</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Review history and authorship during code review</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axe Accessibility Linter</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Catch accessibility issues while coding the UI</w:t>
            </w:r>
          </w:p>
        </w:tc>
      </w:tr>
    </w:tbl>
    <w:p>
      <w:pPr>
        <w:pStyle w:val="Heading2"/>
        <w:spacing w:after="100" w:before="190"/>
      </w:pPr>
      <w:r>
        <w:rPr>
          <w:rFonts w:ascii="Arial" w:cs="Arial" w:eastAsia="Arial" w:hAnsi="Arial"/>
          <w:b/>
          <w:bCs/>
        </w:rPr>
        <w:t xml:space="preserve">18.5 Getting Started — First Run in VS Code</w:t>
      </w:r>
    </w:p>
    <w:p>
      <w:pPr>
        <w:spacing w:after="120" w:before="0" w:line="268"/>
      </w:pPr>
      <w:r>
        <w:rPr>
          <w:rFonts w:ascii="Arial" w:cs="Arial" w:eastAsia="Arial" w:hAnsi="Arial"/>
        </w:rPr>
        <w:t xml:space="preserve">A new engineer clones the repository, opens the workspace, and restores each package. The commands below are also wired as VS Code tasks (Terminal → Run Task) so they can be launched from the command palette.</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7FB0E0"/>
                <w:sz w:val="14"/>
                <w:szCs w:val="14"/>
              </w:rPr>
              <w:t xml:space="preserve"># 1) clone and open the multi-root workspace</w:t>
            </w:r>
          </w:p>
          <w:p>
            <w:pPr>
              <w:spacing w:after="0" w:line="236"/>
            </w:pPr>
            <w:r>
              <w:rPr>
                <w:rFonts w:ascii="Consolas" w:cs="Consolas" w:eastAsia="Consolas" w:hAnsi="Consolas"/>
                <w:color w:val="D6E2F5"/>
                <w:sz w:val="14"/>
                <w:szCs w:val="14"/>
              </w:rPr>
              <w:t xml:space="preserve">git clone &lt;repo-url&gt; docaya &amp;&amp; cd docaya</w:t>
            </w:r>
          </w:p>
          <w:p>
            <w:pPr>
              <w:spacing w:after="0" w:line="236"/>
            </w:pPr>
            <w:r>
              <w:rPr>
                <w:rFonts w:ascii="Consolas" w:cs="Consolas" w:eastAsia="Consolas" w:hAnsi="Consolas"/>
                <w:color w:val="D6E2F5"/>
                <w:sz w:val="14"/>
                <w:szCs w:val="14"/>
              </w:rPr>
              <w:t xml:space="preserve">code docaya.code-workspace</w:t>
            </w:r>
          </w:p>
          <w:p>
            <w:pPr>
              <w:spacing w:after="0" w:line="236"/>
            </w:pPr>
            <w:r>
              <w:rPr>
                <w:rFonts w:ascii="Consolas" w:cs="Consolas" w:eastAsia="Consolas" w:hAnsi="Consolas"/>
                <w:color w:val="D6E2F5"/>
                <w:sz w:val="14"/>
                <w:szCs w:val="14"/>
              </w:rPr>
              <w:t xml:space="preserve"> </w:t>
            </w:r>
          </w:p>
          <w:p>
            <w:pPr>
              <w:spacing w:after="0" w:line="236"/>
            </w:pPr>
            <w:r>
              <w:rPr>
                <w:rFonts w:ascii="Consolas" w:cs="Consolas" w:eastAsia="Consolas" w:hAnsi="Consolas"/>
                <w:color w:val="7FB0E0"/>
                <w:sz w:val="14"/>
                <w:szCs w:val="14"/>
              </w:rPr>
              <w:t xml:space="preserve"># 2) Web UI  (folder: src/web)</w:t>
            </w:r>
          </w:p>
          <w:p>
            <w:pPr>
              <w:spacing w:after="0" w:line="236"/>
            </w:pPr>
            <w:r>
              <w:rPr>
                <w:rFonts w:ascii="Consolas" w:cs="Consolas" w:eastAsia="Consolas" w:hAnsi="Consolas"/>
                <w:color w:val="D6E2F5"/>
                <w:sz w:val="14"/>
                <w:szCs w:val="14"/>
              </w:rPr>
              <w:t xml:space="preserve">npm ci        # install exact dependencies from lockfile</w:t>
            </w:r>
          </w:p>
          <w:p>
            <w:pPr>
              <w:spacing w:after="0" w:line="236"/>
            </w:pPr>
            <w:r>
              <w:rPr>
                <w:rFonts w:ascii="Consolas" w:cs="Consolas" w:eastAsia="Consolas" w:hAnsi="Consolas"/>
                <w:color w:val="D6E2F5"/>
                <w:sz w:val="14"/>
                <w:szCs w:val="14"/>
              </w:rPr>
              <w:t xml:space="preserve">npm run dev   # start Vite dev server on http://localhost:5173</w:t>
            </w:r>
          </w:p>
          <w:p>
            <w:pPr>
              <w:spacing w:after="0" w:line="236"/>
            </w:pPr>
            <w:r>
              <w:rPr>
                <w:rFonts w:ascii="Consolas" w:cs="Consolas" w:eastAsia="Consolas" w:hAnsi="Consolas"/>
                <w:color w:val="D6E2F5"/>
                <w:sz w:val="14"/>
                <w:szCs w:val="14"/>
              </w:rPr>
              <w:t xml:space="preserve"> </w:t>
            </w:r>
          </w:p>
          <w:p>
            <w:pPr>
              <w:spacing w:after="0" w:line="236"/>
            </w:pPr>
            <w:r>
              <w:rPr>
                <w:rFonts w:ascii="Consolas" w:cs="Consolas" w:eastAsia="Consolas" w:hAnsi="Consolas"/>
                <w:color w:val="7FB0E0"/>
                <w:sz w:val="14"/>
                <w:szCs w:val="14"/>
              </w:rPr>
              <w:t xml:space="preserve"># 3) API  (folder: src/api)</w:t>
            </w:r>
          </w:p>
          <w:p>
            <w:pPr>
              <w:spacing w:after="0" w:line="236"/>
            </w:pPr>
            <w:r>
              <w:rPr>
                <w:rFonts w:ascii="Consolas" w:cs="Consolas" w:eastAsia="Consolas" w:hAnsi="Consolas"/>
                <w:color w:val="D6E2F5"/>
                <w:sz w:val="14"/>
                <w:szCs w:val="14"/>
              </w:rPr>
              <w:t xml:space="preserve">dotnet restore &amp;&amp; dotnet run   # https://localhost:5001 (Swagger UI at /swagger)</w:t>
            </w:r>
          </w:p>
          <w:p>
            <w:pPr>
              <w:spacing w:after="0" w:line="236"/>
            </w:pPr>
            <w:r>
              <w:rPr>
                <w:rFonts w:ascii="Consolas" w:cs="Consolas" w:eastAsia="Consolas" w:hAnsi="Consolas"/>
                <w:color w:val="D6E2F5"/>
                <w:sz w:val="14"/>
                <w:szCs w:val="14"/>
              </w:rPr>
              <w:t xml:space="preserve"> </w:t>
            </w:r>
          </w:p>
          <w:p>
            <w:pPr>
              <w:spacing w:after="0" w:line="236"/>
            </w:pPr>
            <w:r>
              <w:rPr>
                <w:rFonts w:ascii="Consolas" w:cs="Consolas" w:eastAsia="Consolas" w:hAnsi="Consolas"/>
                <w:color w:val="7FB0E0"/>
                <w:sz w:val="14"/>
                <w:szCs w:val="14"/>
              </w:rPr>
              <w:t xml:space="preserve"># 4) Functions / workers  (folder: src/functions)</w:t>
            </w:r>
          </w:p>
          <w:p>
            <w:pPr>
              <w:spacing w:after="0" w:line="236"/>
            </w:pPr>
            <w:r>
              <w:rPr>
                <w:rFonts w:ascii="Consolas" w:cs="Consolas" w:eastAsia="Consolas" w:hAnsi="Consolas"/>
                <w:color w:val="D6E2F5"/>
                <w:sz w:val="14"/>
                <w:szCs w:val="14"/>
              </w:rPr>
              <w:t xml:space="preserve">func start    # runs Durable + timer functions locally</w:t>
            </w:r>
          </w:p>
          <w:p>
            <w:pPr>
              <w:spacing w:after="0" w:line="236"/>
            </w:pPr>
            <w:r>
              <w:rPr>
                <w:rFonts w:ascii="Consolas" w:cs="Consolas" w:eastAsia="Consolas" w:hAnsi="Consolas"/>
                <w:color w:val="D6E2F5"/>
                <w:sz w:val="14"/>
                <w:szCs w:val="14"/>
              </w:rPr>
              <w:t xml:space="preserve"> </w:t>
            </w:r>
          </w:p>
          <w:p>
            <w:pPr>
              <w:spacing w:after="0" w:line="236"/>
            </w:pPr>
            <w:r>
              <w:rPr>
                <w:rFonts w:ascii="Consolas" w:cs="Consolas" w:eastAsia="Consolas" w:hAnsi="Consolas"/>
                <w:color w:val="7FB0E0"/>
                <w:sz w:val="14"/>
                <w:szCs w:val="14"/>
              </w:rPr>
              <w:t xml:space="preserve"># 5) Infrastructure  (folder: infra)</w:t>
            </w:r>
          </w:p>
          <w:p>
            <w:pPr>
              <w:spacing w:after="0" w:line="236"/>
            </w:pPr>
            <w:r>
              <w:rPr>
                <w:rFonts w:ascii="Consolas" w:cs="Consolas" w:eastAsia="Consolas" w:hAnsi="Consolas"/>
                <w:color w:val="D6E2F5"/>
                <w:sz w:val="14"/>
                <w:szCs w:val="14"/>
              </w:rPr>
              <w:t xml:space="preserve">az bicep build --file main.bicep   # compile &amp; validate templates</w:t>
            </w:r>
          </w:p>
        </w:tc>
      </w:tr>
    </w:tbl>
    <w:p>
      <w:pPr>
        <w:pStyle w:val="Heading2"/>
        <w:spacing w:after="100" w:before="190"/>
      </w:pPr>
      <w:r>
        <w:rPr>
          <w:rFonts w:ascii="Arial" w:cs="Arial" w:eastAsia="Arial" w:hAnsi="Arial"/>
          <w:b/>
          <w:bCs/>
        </w:rPr>
        <w:t xml:space="preserve">18.6 Local Debug Profiles (.vscode/launch.json)</w:t>
      </w:r>
    </w:p>
    <w:p>
      <w:pPr>
        <w:spacing w:after="120" w:before="0" w:line="268"/>
      </w:pPr>
      <w:r>
        <w:rPr>
          <w:rFonts w:ascii="Arial" w:cs="Arial" w:eastAsia="Arial" w:hAnsi="Arial"/>
        </w:rPr>
        <w:t xml:space="preserve">Each package has a first-class debug profile, and a compound profile launches the UI, API and Functions together so a full flow can be stepped through locally. Breakpoints, watch windows and hot-reload work in every package.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4400"/>
        <w:gridCol w:w="3080"/>
      </w:tblGrid>
      <w:tr>
        <w:trPr>
          <w:tblHeader/>
        </w:trPr>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Debug profile</w:t>
            </w:r>
          </w:p>
        </w:tc>
        <w:tc>
          <w:tcPr>
            <w:tcW w:type="dxa" w:w="4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Launches</w:t>
            </w:r>
          </w:p>
        </w:tc>
        <w:tc>
          <w:tcPr>
            <w:tcW w:type="dxa" w:w="30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Attach / reload</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Web: Vite + Chrome</w:t>
            </w:r>
          </w:p>
        </w:tc>
        <w:tc>
          <w:tcPr>
            <w:tcW w:type="dxa" w:w="4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SPA with source maps in Chrome</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Hot Module Reload</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 .NET</w:t>
            </w:r>
          </w:p>
        </w:tc>
        <w:tc>
          <w:tcPr>
            <w:tcW w:type="dxa" w:w="4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ASP.NET Core API with Swagger</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Hot reload on save</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Functions: Host</w:t>
            </w:r>
          </w:p>
        </w:tc>
        <w:tc>
          <w:tcPr>
            <w:tcW w:type="dxa" w:w="4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Durable + timer functions</w:t>
            </w:r>
          </w:p>
        </w:tc>
        <w:tc>
          <w:tcPr>
            <w:tcW w:type="dxa" w:w="30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Local storage emulator</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Compound: Full stack</w:t>
            </w:r>
          </w:p>
        </w:tc>
        <w:tc>
          <w:tcPr>
            <w:tcW w:type="dxa" w:w="4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UI + API + Functions together</w:t>
            </w:r>
          </w:p>
        </w:tc>
        <w:tc>
          <w:tcPr>
            <w:tcW w:type="dxa" w:w="30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Single F5 to run all</w:t>
            </w:r>
          </w:p>
        </w:tc>
      </w:tr>
    </w:tbl>
    <w:p>
      <w:pPr>
        <w:pStyle w:val="Heading2"/>
        <w:spacing w:after="100" w:before="190"/>
      </w:pPr>
      <w:r>
        <w:rPr>
          <w:rFonts w:ascii="Arial" w:cs="Arial" w:eastAsia="Arial" w:hAnsi="Arial"/>
          <w:b/>
          <w:bCs/>
        </w:rPr>
        <w:t xml:space="preserve">18.7 Coding Standards &amp; Quality Gates</w:t>
      </w:r>
    </w:p>
    <w:p>
      <w:pPr>
        <w:pStyle w:val="ListParagraph"/>
        <w:numPr>
          <w:ilvl w:val="0"/>
          <w:numId w:val="2"/>
        </w:numPr>
        <w:spacing w:after="64" w:line="264"/>
      </w:pPr>
      <w:r>
        <w:rPr>
          <w:rFonts w:ascii="Arial" w:cs="Arial" w:eastAsia="Arial" w:hAnsi="Arial"/>
          <w:b/>
          <w:bCs/>
        </w:rPr>
        <w:t xml:space="preserve">Formatting &amp; linting: </w:t>
      </w:r>
      <w:r>
        <w:rPr>
          <w:rFonts w:ascii="Arial" w:cs="Arial" w:eastAsia="Arial" w:hAnsi="Arial"/>
        </w:rPr>
        <w:t xml:space="preserve">Prettier + ESLint for the UI; dotnet format + analyzers for the API; enforced on save and in CI.</w:t>
      </w:r>
    </w:p>
    <w:p>
      <w:pPr>
        <w:pStyle w:val="ListParagraph"/>
        <w:numPr>
          <w:ilvl w:val="0"/>
          <w:numId w:val="2"/>
        </w:numPr>
        <w:spacing w:after="64" w:line="264"/>
      </w:pPr>
      <w:r>
        <w:rPr>
          <w:rFonts w:ascii="Arial" w:cs="Arial" w:eastAsia="Arial" w:hAnsi="Arial"/>
          <w:b/>
          <w:bCs/>
        </w:rPr>
        <w:t xml:space="preserve">Static analysis: </w:t>
      </w:r>
      <w:r>
        <w:rPr>
          <w:rFonts w:ascii="Arial" w:cs="Arial" w:eastAsia="Arial" w:hAnsi="Arial"/>
        </w:rPr>
        <w:t xml:space="preserve">SAST on every pull request; nullable reference types and treat-warnings-as-errors for .NET; strict TypeScript.</w:t>
      </w:r>
    </w:p>
    <w:p>
      <w:pPr>
        <w:pStyle w:val="ListParagraph"/>
        <w:numPr>
          <w:ilvl w:val="0"/>
          <w:numId w:val="2"/>
        </w:numPr>
        <w:spacing w:after="64" w:line="264"/>
      </w:pPr>
      <w:r>
        <w:rPr>
          <w:rFonts w:ascii="Arial" w:cs="Arial" w:eastAsia="Arial" w:hAnsi="Arial"/>
          <w:b/>
          <w:bCs/>
        </w:rPr>
        <w:t xml:space="preserve">Testing: </w:t>
      </w:r>
      <w:r>
        <w:rPr>
          <w:rFonts w:ascii="Arial" w:cs="Arial" w:eastAsia="Arial" w:hAnsi="Arial"/>
        </w:rPr>
        <w:t xml:space="preserve">unit tests (Vitest/xUnit), integration tests against an isolated database and mocked Graph, end-to-end tests (Playwright) and accessibility tests (axe).</w:t>
      </w:r>
    </w:p>
    <w:p>
      <w:pPr>
        <w:pStyle w:val="ListParagraph"/>
        <w:numPr>
          <w:ilvl w:val="0"/>
          <w:numId w:val="2"/>
        </w:numPr>
        <w:spacing w:after="64" w:line="264"/>
      </w:pPr>
      <w:r>
        <w:rPr>
          <w:rFonts w:ascii="Arial" w:cs="Arial" w:eastAsia="Arial" w:hAnsi="Arial"/>
          <w:b/>
          <w:bCs/>
        </w:rPr>
        <w:t xml:space="preserve">Coverage: </w:t>
      </w:r>
      <w:r>
        <w:rPr>
          <w:rFonts w:ascii="Arial" w:cs="Arial" w:eastAsia="Arial" w:hAnsi="Arial"/>
        </w:rPr>
        <w:t xml:space="preserve">minimum coverage threshold for core logic enforced in the pipeline.</w:t>
      </w:r>
    </w:p>
    <w:p>
      <w:pPr>
        <w:pStyle w:val="ListParagraph"/>
        <w:numPr>
          <w:ilvl w:val="0"/>
          <w:numId w:val="2"/>
        </w:numPr>
        <w:spacing w:after="64" w:line="264"/>
      </w:pPr>
      <w:r>
        <w:rPr>
          <w:rFonts w:ascii="Arial" w:cs="Arial" w:eastAsia="Arial" w:hAnsi="Arial"/>
          <w:b/>
          <w:bCs/>
        </w:rPr>
        <w:t xml:space="preserve">Secrets: </w:t>
      </w:r>
      <w:r>
        <w:rPr>
          <w:rFonts w:ascii="Arial" w:cs="Arial" w:eastAsia="Arial" w:hAnsi="Arial"/>
        </w:rPr>
        <w:t xml:space="preserve">no secrets in code or config; local development uses user-secrets / .env excluded by .gitignore; cloud uses Key Vault + Managed Identity.</w:t>
      </w:r>
    </w:p>
    <w:p>
      <w:pPr>
        <w:pStyle w:val="ListParagraph"/>
        <w:numPr>
          <w:ilvl w:val="0"/>
          <w:numId w:val="2"/>
        </w:numPr>
        <w:spacing w:after="64" w:line="264"/>
      </w:pPr>
      <w:r>
        <w:rPr>
          <w:rFonts w:ascii="Arial" w:cs="Arial" w:eastAsia="Arial" w:hAnsi="Arial"/>
          <w:b/>
          <w:bCs/>
        </w:rPr>
        <w:t xml:space="preserve">Pre-commit hooks: </w:t>
      </w:r>
      <w:r>
        <w:rPr>
          <w:rFonts w:ascii="Arial" w:cs="Arial" w:eastAsia="Arial" w:hAnsi="Arial"/>
        </w:rPr>
        <w:t xml:space="preserve">format, lint and commit-message checks run before a commit is accepted.</w:t>
      </w:r>
    </w:p>
    <w:p>
      <w:pPr>
        <w:pStyle w:val="Heading2"/>
        <w:spacing w:after="100" w:before="190"/>
      </w:pPr>
      <w:r>
        <w:rPr>
          <w:rFonts w:ascii="Arial" w:cs="Arial" w:eastAsia="Arial" w:hAnsi="Arial"/>
          <w:b/>
          <w:bCs/>
        </w:rPr>
        <w:t xml:space="preserve">18.8 Contract-First Development</w:t>
      </w:r>
    </w:p>
    <w:p>
      <w:pPr>
        <w:spacing w:after="120" w:before="0" w:line="268"/>
      </w:pPr>
      <w:r>
        <w:rPr>
          <w:rFonts w:ascii="Arial" w:cs="Arial" w:eastAsia="Arial" w:hAnsi="Arial"/>
        </w:rPr>
        <w:t xml:space="preserve">The API contract is authored as an OpenAPI 3.1 document in the shared contracts package. Typed clients are generated from it: a TypeScript client for the UI and a C# client for internal callers. This guarantees the UI and API never drift, and contract tests in CI fail the build if a breaking change is introduced without a version bump.</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7FB0E0"/>
                <w:sz w:val="14"/>
                <w:szCs w:val="14"/>
              </w:rPr>
              <w:t xml:space="preserve"># regenerate typed clients from the OpenAPI contract</w:t>
            </w:r>
          </w:p>
          <w:p>
            <w:pPr>
              <w:spacing w:after="0" w:line="236"/>
            </w:pPr>
            <w:r>
              <w:rPr>
                <w:rFonts w:ascii="Consolas" w:cs="Consolas" w:eastAsia="Consolas" w:hAnsi="Consolas"/>
                <w:color w:val="D6E2F5"/>
                <w:sz w:val="14"/>
                <w:szCs w:val="14"/>
              </w:rPr>
              <w:t xml:space="preserve">npm run gen:client       # -&gt; src/web/src/api (TypeScript)</w:t>
            </w:r>
          </w:p>
          <w:p>
            <w:pPr>
              <w:spacing w:after="0" w:line="236"/>
            </w:pPr>
            <w:r>
              <w:rPr>
                <w:rFonts w:ascii="Consolas" w:cs="Consolas" w:eastAsia="Consolas" w:hAnsi="Consolas"/>
                <w:color w:val="D6E2F5"/>
                <w:sz w:val="14"/>
                <w:szCs w:val="14"/>
              </w:rPr>
              <w:t xml:space="preserve">dotnet tool run nswag    # -&gt; src/api/Generated (C#)</w:t>
            </w:r>
          </w:p>
        </w:tc>
      </w:tr>
    </w:tbl>
    <w:p>
      <w:r>
        <w:br w:type="page"/>
      </w:r>
    </w:p>
    <w:p>
      <w:pPr>
        <w:pStyle w:val="Heading1"/>
        <w:spacing w:after="130" w:before="240"/>
      </w:pPr>
      <w:r>
        <w:rPr>
          <w:rFonts w:ascii="Arial" w:cs="Arial" w:eastAsia="Arial" w:hAnsi="Arial"/>
          <w:b/>
          <w:bCs/>
        </w:rPr>
        <w:t xml:space="preserve">19. Repository &amp; Package Structure</w:t>
      </w:r>
    </w:p>
    <w:p>
      <w:pPr>
        <w:spacing w:after="120" w:before="0" w:line="268"/>
      </w:pPr>
      <w:r>
        <w:rPr>
          <w:rFonts w:ascii="Arial" w:cs="Arial" w:eastAsia="Arial" w:hAnsi="Arial"/>
        </w:rPr>
        <w:t xml:space="preserve">The codebase is a single repository (mono-repo) with clearly separated, independently buildable packages. This gives one place for versioning, cross-cutting changes and pull requests, while preserving strong boundaries and independent artifacts for the UI, API, workers, contracts and infrastructure.</w:t>
      </w:r>
    </w:p>
    <w:p>
      <w:pPr>
        <w:pStyle w:val="Heading2"/>
        <w:spacing w:after="100" w:before="190"/>
      </w:pPr>
      <w:r>
        <w:rPr>
          <w:rFonts w:ascii="Arial" w:cs="Arial" w:eastAsia="Arial" w:hAnsi="Arial"/>
          <w:b/>
          <w:bCs/>
        </w:rPr>
        <w:t xml:space="preserve">19.1 Top-Level Layout</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9FE1C8"/>
                <w:sz w:val="14"/>
                <w:szCs w:val="14"/>
              </w:rPr>
              <w:t xml:space="preserve">docaya/</w:t>
            </w:r>
          </w:p>
          <w:p>
            <w:pPr>
              <w:spacing w:after="0" w:line="236"/>
            </w:pPr>
            <w:r>
              <w:rPr>
                <w:rFonts w:ascii="Consolas" w:cs="Consolas" w:eastAsia="Consolas" w:hAnsi="Consolas"/>
                <w:color w:val="D6E2F5"/>
                <w:sz w:val="14"/>
                <w:szCs w:val="14"/>
              </w:rPr>
              <w:t xml:space="preserve">├─ .github/workflows/        # CI, security, and release pipelines</w:t>
            </w:r>
          </w:p>
          <w:p>
            <w:pPr>
              <w:spacing w:after="0" w:line="236"/>
            </w:pPr>
            <w:r>
              <w:rPr>
                <w:rFonts w:ascii="Consolas" w:cs="Consolas" w:eastAsia="Consolas" w:hAnsi="Consolas"/>
                <w:color w:val="D6E2F5"/>
                <w:sz w:val="14"/>
                <w:szCs w:val="14"/>
              </w:rPr>
              <w:t xml:space="preserve">├─ .vscode/                  # workspace tasks, launch, extensions</w:t>
            </w:r>
          </w:p>
          <w:p>
            <w:pPr>
              <w:spacing w:after="0" w:line="236"/>
            </w:pPr>
            <w:r>
              <w:rPr>
                <w:rFonts w:ascii="Consolas" w:cs="Consolas" w:eastAsia="Consolas" w:hAnsi="Consolas"/>
                <w:color w:val="D6E2F5"/>
                <w:sz w:val="14"/>
                <w:szCs w:val="14"/>
              </w:rPr>
              <w:t xml:space="preserve">├─ docs/                     # ADRs, API reference, runbooks, threat model</w:t>
            </w:r>
          </w:p>
          <w:p>
            <w:pPr>
              <w:spacing w:after="0" w:line="236"/>
            </w:pPr>
            <w:r>
              <w:rPr>
                <w:rFonts w:ascii="Consolas" w:cs="Consolas" w:eastAsia="Consolas" w:hAnsi="Consolas"/>
                <w:color w:val="D6E2F5"/>
                <w:sz w:val="14"/>
                <w:szCs w:val="14"/>
              </w:rPr>
              <w:t xml:space="preserve">├─ infra/                    # Bicep IaC (see Section 20)</w:t>
            </w:r>
          </w:p>
          <w:p>
            <w:pPr>
              <w:spacing w:after="0" w:line="236"/>
            </w:pPr>
            <w:r>
              <w:rPr>
                <w:rFonts w:ascii="Consolas" w:cs="Consolas" w:eastAsia="Consolas" w:hAnsi="Consolas"/>
                <w:color w:val="D6E2F5"/>
                <w:sz w:val="14"/>
                <w:szCs w:val="14"/>
              </w:rPr>
              <w:t xml:space="preserve">│   ├─ main.bicep</w:t>
            </w:r>
          </w:p>
          <w:p>
            <w:pPr>
              <w:spacing w:after="0" w:line="236"/>
            </w:pPr>
            <w:r>
              <w:rPr>
                <w:rFonts w:ascii="Consolas" w:cs="Consolas" w:eastAsia="Consolas" w:hAnsi="Consolas"/>
                <w:color w:val="D6E2F5"/>
                <w:sz w:val="14"/>
                <w:szCs w:val="14"/>
              </w:rPr>
              <w:t xml:space="preserve">│   ├─ main.parameters.&lt;env&gt;.json</w:t>
            </w:r>
          </w:p>
          <w:p>
            <w:pPr>
              <w:spacing w:after="0" w:line="236"/>
            </w:pPr>
            <w:r>
              <w:rPr>
                <w:rFonts w:ascii="Consolas" w:cs="Consolas" w:eastAsia="Consolas" w:hAnsi="Consolas"/>
                <w:color w:val="D6E2F5"/>
                <w:sz w:val="14"/>
                <w:szCs w:val="14"/>
              </w:rPr>
              <w:t xml:space="preserve">│   └─ modules/              # one module per resource group of services</w:t>
            </w:r>
          </w:p>
          <w:p>
            <w:pPr>
              <w:spacing w:after="0" w:line="236"/>
            </w:pPr>
            <w:r>
              <w:rPr>
                <w:rFonts w:ascii="Consolas" w:cs="Consolas" w:eastAsia="Consolas" w:hAnsi="Consolas"/>
                <w:color w:val="9FE1C8"/>
                <w:sz w:val="14"/>
                <w:szCs w:val="14"/>
              </w:rPr>
              <w:t xml:space="preserve">├─ src/</w:t>
            </w:r>
          </w:p>
          <w:p>
            <w:pPr>
              <w:spacing w:after="0" w:line="236"/>
            </w:pPr>
            <w:r>
              <w:rPr>
                <w:rFonts w:ascii="Consolas" w:cs="Consolas" w:eastAsia="Consolas" w:hAnsi="Consolas"/>
                <w:color w:val="D6E2F5"/>
                <w:sz w:val="14"/>
                <w:szCs w:val="14"/>
              </w:rPr>
              <w:t xml:space="preserve">│   ├─ web/                  # React SPA package</w:t>
            </w:r>
          </w:p>
          <w:p>
            <w:pPr>
              <w:spacing w:after="0" w:line="236"/>
            </w:pPr>
            <w:r>
              <w:rPr>
                <w:rFonts w:ascii="Consolas" w:cs="Consolas" w:eastAsia="Consolas" w:hAnsi="Consolas"/>
                <w:color w:val="D6E2F5"/>
                <w:sz w:val="14"/>
                <w:szCs w:val="14"/>
              </w:rPr>
              <w:t xml:space="preserve">│   ├─ api/                  # ASP.NET Core API + BFF package</w:t>
            </w:r>
          </w:p>
          <w:p>
            <w:pPr>
              <w:spacing w:after="0" w:line="236"/>
            </w:pPr>
            <w:r>
              <w:rPr>
                <w:rFonts w:ascii="Consolas" w:cs="Consolas" w:eastAsia="Consolas" w:hAnsi="Consolas"/>
                <w:color w:val="D6E2F5"/>
                <w:sz w:val="14"/>
                <w:szCs w:val="14"/>
              </w:rPr>
              <w:t xml:space="preserve">│   ├─ functions/            # Azure Functions / Durable workers package</w:t>
            </w:r>
          </w:p>
          <w:p>
            <w:pPr>
              <w:spacing w:after="0" w:line="236"/>
            </w:pPr>
            <w:r>
              <w:rPr>
                <w:rFonts w:ascii="Consolas" w:cs="Consolas" w:eastAsia="Consolas" w:hAnsi="Consolas"/>
                <w:color w:val="D6E2F5"/>
                <w:sz w:val="14"/>
                <w:szCs w:val="14"/>
              </w:rPr>
              <w:t xml:space="preserve">│   └─ contracts/            # OpenAPI + generated clients + shared DTOs</w:t>
            </w:r>
          </w:p>
          <w:p>
            <w:pPr>
              <w:spacing w:after="0" w:line="236"/>
            </w:pPr>
            <w:r>
              <w:rPr>
                <w:rFonts w:ascii="Consolas" w:cs="Consolas" w:eastAsia="Consolas" w:hAnsi="Consolas"/>
                <w:color w:val="D6E2F5"/>
                <w:sz w:val="14"/>
                <w:szCs w:val="14"/>
              </w:rPr>
              <w:t xml:space="preserve">├─ tests/                    # unit, integration, e2e, a11y, load</w:t>
            </w:r>
          </w:p>
          <w:p>
            <w:pPr>
              <w:spacing w:after="0" w:line="236"/>
            </w:pPr>
            <w:r>
              <w:rPr>
                <w:rFonts w:ascii="Consolas" w:cs="Consolas" w:eastAsia="Consolas" w:hAnsi="Consolas"/>
                <w:color w:val="D6E2F5"/>
                <w:sz w:val="14"/>
                <w:szCs w:val="14"/>
              </w:rPr>
              <w:t xml:space="preserve">├─ deploy/                   # packaged-release scripts (Section 22)</w:t>
            </w:r>
          </w:p>
          <w:p>
            <w:pPr>
              <w:spacing w:after="0" w:line="236"/>
            </w:pPr>
            <w:r>
              <w:rPr>
                <w:rFonts w:ascii="Consolas" w:cs="Consolas" w:eastAsia="Consolas" w:hAnsi="Consolas"/>
                <w:color w:val="D6E2F5"/>
                <w:sz w:val="14"/>
                <w:szCs w:val="14"/>
              </w:rPr>
              <w:t xml:space="preserve">├─ docaya.code-workspace     # multi-root VS Code workspace</w:t>
            </w:r>
          </w:p>
          <w:p>
            <w:pPr>
              <w:spacing w:after="0" w:line="236"/>
            </w:pPr>
            <w:r>
              <w:rPr>
                <w:rFonts w:ascii="Consolas" w:cs="Consolas" w:eastAsia="Consolas" w:hAnsi="Consolas"/>
                <w:color w:val="D6E2F5"/>
                <w:sz w:val="14"/>
                <w:szCs w:val="14"/>
              </w:rPr>
              <w:t xml:space="preserve">└─ README.md</w:t>
            </w:r>
          </w:p>
        </w:tc>
      </w:tr>
    </w:tbl>
    <w:p>
      <w:pPr>
        <w:pStyle w:val="Heading2"/>
        <w:spacing w:after="100" w:before="190"/>
      </w:pPr>
      <w:r>
        <w:rPr>
          <w:rFonts w:ascii="Arial" w:cs="Arial" w:eastAsia="Arial" w:hAnsi="Arial"/>
          <w:b/>
          <w:bCs/>
        </w:rPr>
        <w:t xml:space="preserve">19.2 Web UI Package (src/web)</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9FE1C8"/>
                <w:sz w:val="14"/>
                <w:szCs w:val="14"/>
              </w:rPr>
              <w:t xml:space="preserve">src/web/</w:t>
            </w:r>
          </w:p>
          <w:p>
            <w:pPr>
              <w:spacing w:after="0" w:line="236"/>
            </w:pPr>
            <w:r>
              <w:rPr>
                <w:rFonts w:ascii="Consolas" w:cs="Consolas" w:eastAsia="Consolas" w:hAnsi="Consolas"/>
                <w:color w:val="D6E2F5"/>
                <w:sz w:val="14"/>
                <w:szCs w:val="14"/>
              </w:rPr>
              <w:t xml:space="preserve">├─ src/</w:t>
            </w:r>
          </w:p>
          <w:p>
            <w:pPr>
              <w:spacing w:after="0" w:line="236"/>
            </w:pPr>
            <w:r>
              <w:rPr>
                <w:rFonts w:ascii="Consolas" w:cs="Consolas" w:eastAsia="Consolas" w:hAnsi="Consolas"/>
                <w:color w:val="D6E2F5"/>
                <w:sz w:val="14"/>
                <w:szCs w:val="14"/>
              </w:rPr>
              <w:t xml:space="preserve">│  ├─ app/          # shell, routing, providers, startup</w:t>
            </w:r>
          </w:p>
          <w:p>
            <w:pPr>
              <w:spacing w:after="0" w:line="236"/>
            </w:pPr>
            <w:r>
              <w:rPr>
                <w:rFonts w:ascii="Consolas" w:cs="Consolas" w:eastAsia="Consolas" w:hAnsi="Consolas"/>
                <w:color w:val="D6E2F5"/>
                <w:sz w:val="14"/>
                <w:szCs w:val="14"/>
              </w:rPr>
              <w:t xml:space="preserve">│  ├─ features/     # dashboard, capture, approvals, search, admin ...</w:t>
            </w:r>
          </w:p>
          <w:p>
            <w:pPr>
              <w:spacing w:after="0" w:line="236"/>
            </w:pPr>
            <w:r>
              <w:rPr>
                <w:rFonts w:ascii="Consolas" w:cs="Consolas" w:eastAsia="Consolas" w:hAnsi="Consolas"/>
                <w:color w:val="D6E2F5"/>
                <w:sz w:val="14"/>
                <w:szCs w:val="14"/>
              </w:rPr>
              <w:t xml:space="preserve">│  ├─ components/   # accessible Fluent UI primitives</w:t>
            </w:r>
          </w:p>
          <w:p>
            <w:pPr>
              <w:spacing w:after="0" w:line="236"/>
            </w:pPr>
            <w:r>
              <w:rPr>
                <w:rFonts w:ascii="Consolas" w:cs="Consolas" w:eastAsia="Consolas" w:hAnsi="Consolas"/>
                <w:color w:val="D6E2F5"/>
                <w:sz w:val="14"/>
                <w:szCs w:val="14"/>
              </w:rPr>
              <w:t xml:space="preserve">│  ├─ services/     # typed API client (generated from contract)</w:t>
            </w:r>
          </w:p>
          <w:p>
            <w:pPr>
              <w:spacing w:after="0" w:line="236"/>
            </w:pPr>
            <w:r>
              <w:rPr>
                <w:rFonts w:ascii="Consolas" w:cs="Consolas" w:eastAsia="Consolas" w:hAnsi="Consolas"/>
                <w:color w:val="D6E2F5"/>
                <w:sz w:val="14"/>
                <w:szCs w:val="14"/>
              </w:rPr>
              <w:t xml:space="preserve">│  ├─ hooks/  i18n/  styles/  types/</w:t>
            </w:r>
          </w:p>
          <w:p>
            <w:pPr>
              <w:spacing w:after="0" w:line="236"/>
            </w:pPr>
            <w:r>
              <w:rPr>
                <w:rFonts w:ascii="Consolas" w:cs="Consolas" w:eastAsia="Consolas" w:hAnsi="Consolas"/>
                <w:color w:val="D6E2F5"/>
                <w:sz w:val="14"/>
                <w:szCs w:val="14"/>
              </w:rPr>
              <w:t xml:space="preserve">├─ public/          # static assets, localisation catalogs (ar, en)</w:t>
            </w:r>
          </w:p>
          <w:p>
            <w:pPr>
              <w:spacing w:after="0" w:line="236"/>
            </w:pPr>
            <w:r>
              <w:rPr>
                <w:rFonts w:ascii="Consolas" w:cs="Consolas" w:eastAsia="Consolas" w:hAnsi="Consolas"/>
                <w:color w:val="D6E2F5"/>
                <w:sz w:val="14"/>
                <w:szCs w:val="14"/>
              </w:rPr>
              <w:t xml:space="preserve">├─ index.html   vite.config.ts   tsconfig.json</w:t>
            </w:r>
          </w:p>
          <w:p>
            <w:pPr>
              <w:spacing w:after="0" w:line="236"/>
            </w:pPr>
            <w:r>
              <w:rPr>
                <w:rFonts w:ascii="Consolas" w:cs="Consolas" w:eastAsia="Consolas" w:hAnsi="Consolas"/>
                <w:color w:val="D6E2F5"/>
                <w:sz w:val="14"/>
                <w:szCs w:val="14"/>
              </w:rPr>
              <w:t xml:space="preserve">└─ package.json    # scripts: dev, build, test, lint, gen:client</w:t>
            </w:r>
          </w:p>
        </w:tc>
      </w:tr>
    </w:tbl>
    <w:p>
      <w:pPr>
        <w:pStyle w:val="Heading2"/>
        <w:spacing w:after="100" w:before="190"/>
      </w:pPr>
      <w:r>
        <w:rPr>
          <w:rFonts w:ascii="Arial" w:cs="Arial" w:eastAsia="Arial" w:hAnsi="Arial"/>
          <w:b/>
          <w:bCs/>
        </w:rPr>
        <w:t xml:space="preserve">19.3 API / BFF Package (src/api)</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9FE1C8"/>
                <w:sz w:val="14"/>
                <w:szCs w:val="14"/>
              </w:rPr>
              <w:t xml:space="preserve">src/api/</w:t>
            </w:r>
          </w:p>
          <w:p>
            <w:pPr>
              <w:spacing w:after="0" w:line="236"/>
            </w:pPr>
            <w:r>
              <w:rPr>
                <w:rFonts w:ascii="Consolas" w:cs="Consolas" w:eastAsia="Consolas" w:hAnsi="Consolas"/>
                <w:color w:val="D6E2F5"/>
                <w:sz w:val="14"/>
                <w:szCs w:val="14"/>
              </w:rPr>
              <w:t xml:space="preserve">├─ Docaya.Api/            # HTTP host, controllers, middleware pipeline</w:t>
            </w:r>
          </w:p>
          <w:p>
            <w:pPr>
              <w:spacing w:after="0" w:line="236"/>
            </w:pPr>
            <w:r>
              <w:rPr>
                <w:rFonts w:ascii="Consolas" w:cs="Consolas" w:eastAsia="Consolas" w:hAnsi="Consolas"/>
                <w:color w:val="D6E2F5"/>
                <w:sz w:val="14"/>
                <w:szCs w:val="14"/>
              </w:rPr>
              <w:t xml:space="preserve">├─ Docaya.Application/    # use-cases, DTOs, validators</w:t>
            </w:r>
          </w:p>
          <w:p>
            <w:pPr>
              <w:spacing w:after="0" w:line="236"/>
            </w:pPr>
            <w:r>
              <w:rPr>
                <w:rFonts w:ascii="Consolas" w:cs="Consolas" w:eastAsia="Consolas" w:hAnsi="Consolas"/>
                <w:color w:val="D6E2F5"/>
                <w:sz w:val="14"/>
                <w:szCs w:val="14"/>
              </w:rPr>
              <w:t xml:space="preserve">├─ Docaya.Domain/         # entities, workflow/rules/policy engines</w:t>
            </w:r>
          </w:p>
          <w:p>
            <w:pPr>
              <w:spacing w:after="0" w:line="236"/>
            </w:pPr>
            <w:r>
              <w:rPr>
                <w:rFonts w:ascii="Consolas" w:cs="Consolas" w:eastAsia="Consolas" w:hAnsi="Consolas"/>
                <w:color w:val="D6E2F5"/>
                <w:sz w:val="14"/>
                <w:szCs w:val="14"/>
              </w:rPr>
              <w:t xml:space="preserve">├─ Docaya.Infrastructure/ # EF Core, Graph/Search/AI/Storage adapters</w:t>
            </w:r>
          </w:p>
          <w:p>
            <w:pPr>
              <w:spacing w:after="0" w:line="236"/>
            </w:pPr>
            <w:r>
              <w:rPr>
                <w:rFonts w:ascii="Consolas" w:cs="Consolas" w:eastAsia="Consolas" w:hAnsi="Consolas"/>
                <w:color w:val="D6E2F5"/>
                <w:sz w:val="14"/>
                <w:szCs w:val="14"/>
              </w:rPr>
              <w:t xml:space="preserve">├─ Docaya.Api.sln</w:t>
            </w:r>
          </w:p>
          <w:p>
            <w:pPr>
              <w:spacing w:after="0" w:line="236"/>
            </w:pPr>
            <w:r>
              <w:rPr>
                <w:rFonts w:ascii="Consolas" w:cs="Consolas" w:eastAsia="Consolas" w:hAnsi="Consolas"/>
                <w:color w:val="D6E2F5"/>
                <w:sz w:val="14"/>
                <w:szCs w:val="14"/>
              </w:rPr>
              <w:t xml:space="preserve">└─ Dockerfile             # multi-stage build -&gt; immutable image</w:t>
            </w:r>
          </w:p>
        </w:tc>
      </w:tr>
    </w:tbl>
    <w:p>
      <w:pPr>
        <w:pStyle w:val="Heading2"/>
        <w:spacing w:after="100" w:before="190"/>
      </w:pPr>
      <w:r>
        <w:rPr>
          <w:rFonts w:ascii="Arial" w:cs="Arial" w:eastAsia="Arial" w:hAnsi="Arial"/>
          <w:b/>
          <w:bCs/>
        </w:rPr>
        <w:t xml:space="preserve">19.4 Workers / Workflow Package (src/functions)</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9FE1C8"/>
                <w:sz w:val="14"/>
                <w:szCs w:val="14"/>
              </w:rPr>
              <w:t xml:space="preserve">src/functions/</w:t>
            </w:r>
          </w:p>
          <w:p>
            <w:pPr>
              <w:spacing w:after="0" w:line="236"/>
            </w:pPr>
            <w:r>
              <w:rPr>
                <w:rFonts w:ascii="Consolas" w:cs="Consolas" w:eastAsia="Consolas" w:hAnsi="Consolas"/>
                <w:color w:val="D6E2F5"/>
                <w:sz w:val="14"/>
                <w:szCs w:val="14"/>
              </w:rPr>
              <w:t xml:space="preserve">├─ Orchestrations/   # Durable: approval + idempotent promotion</w:t>
            </w:r>
          </w:p>
          <w:p>
            <w:pPr>
              <w:spacing w:after="0" w:line="236"/>
            </w:pPr>
            <w:r>
              <w:rPr>
                <w:rFonts w:ascii="Consolas" w:cs="Consolas" w:eastAsia="Consolas" w:hAnsi="Consolas"/>
                <w:color w:val="D6E2F5"/>
                <w:sz w:val="14"/>
                <w:szCs w:val="14"/>
              </w:rPr>
              <w:t xml:space="preserve">├─ Triggers/         # timer: expiry scan, RAG batch, staging cleanup</w:t>
            </w:r>
          </w:p>
          <w:p>
            <w:pPr>
              <w:spacing w:after="0" w:line="236"/>
            </w:pPr>
            <w:r>
              <w:rPr>
                <w:rFonts w:ascii="Consolas" w:cs="Consolas" w:eastAsia="Consolas" w:hAnsi="Consolas"/>
                <w:color w:val="D6E2F5"/>
                <w:sz w:val="14"/>
                <w:szCs w:val="14"/>
              </w:rPr>
              <w:t xml:space="preserve">├─ Consumers/        # Service Bus event handlers (notifications)</w:t>
            </w:r>
          </w:p>
          <w:p>
            <w:pPr>
              <w:spacing w:after="0" w:line="236"/>
            </w:pPr>
            <w:r>
              <w:rPr>
                <w:rFonts w:ascii="Consolas" w:cs="Consolas" w:eastAsia="Consolas" w:hAnsi="Consolas"/>
                <w:color w:val="D6E2F5"/>
                <w:sz w:val="14"/>
                <w:szCs w:val="14"/>
              </w:rPr>
              <w:t xml:space="preserve">├─ host.json   local.settings.json (git-ignored)</w:t>
            </w:r>
          </w:p>
          <w:p>
            <w:pPr>
              <w:spacing w:after="0" w:line="236"/>
            </w:pPr>
            <w:r>
              <w:rPr>
                <w:rFonts w:ascii="Consolas" w:cs="Consolas" w:eastAsia="Consolas" w:hAnsi="Consolas"/>
                <w:color w:val="D6E2F5"/>
                <w:sz w:val="14"/>
                <w:szCs w:val="14"/>
              </w:rPr>
              <w:t xml:space="preserve">└─ Docaya.Functions.csproj</w:t>
            </w:r>
          </w:p>
        </w:tc>
      </w:tr>
    </w:tbl>
    <w:p>
      <w:pPr>
        <w:pStyle w:val="Heading2"/>
        <w:spacing w:after="100" w:before="190"/>
      </w:pPr>
      <w:r>
        <w:rPr>
          <w:rFonts w:ascii="Arial" w:cs="Arial" w:eastAsia="Arial" w:hAnsi="Arial"/>
          <w:b/>
          <w:bCs/>
        </w:rPr>
        <w:t xml:space="preserve">19.5 Package Boundaries &amp; Dependency Rules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400"/>
        <w:gridCol w:w="7680"/>
      </w:tblGrid>
      <w:tr>
        <w:trPr>
          <w:tblHeader/>
        </w:trPr>
        <w:tc>
          <w:tcPr>
            <w:tcW w:type="dxa" w:w="2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Rule</w:t>
            </w:r>
          </w:p>
        </w:tc>
        <w:tc>
          <w:tcPr>
            <w:tcW w:type="dxa" w:w="7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Statement</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Dependency direction</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Domain depends on nothing; Application depends on Domain; Infrastructure implements interfaces; API composes them.</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No provider leakage</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Graph/Search/AI/Storage SDKs appear only inside adapters, never in Domain or Application.</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UI ↔ API only via contract</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The UI calls the API exclusively through the generated, versioned client.</w:t>
            </w:r>
          </w:p>
        </w:tc>
      </w:tr>
      <w:tr>
        <w:tc>
          <w:tcPr>
            <w:tcW w:type="dxa" w:w="2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Shared types</w:t>
            </w:r>
          </w:p>
        </w:tc>
        <w:tc>
          <w:tcPr>
            <w:tcW w:type="dxa" w:w="7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Cross-package types live in the contracts package; no copy-paste DTOs.</w:t>
            </w:r>
          </w:p>
        </w:tc>
      </w:tr>
      <w:tr>
        <w:tc>
          <w:tcPr>
            <w:tcW w:type="dxa" w:w="2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Independent versioning</w:t>
            </w:r>
          </w:p>
        </w:tc>
        <w:tc>
          <w:tcPr>
            <w:tcW w:type="dxa" w:w="7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Each package carries its own version and changelog; released on its own cadence.</w:t>
            </w:r>
          </w:p>
        </w:tc>
      </w:tr>
    </w:tbl>
    <w:p>
      <w:r>
        <w:br w:type="page"/>
      </w:r>
    </w:p>
    <w:p>
      <w:pPr>
        <w:pStyle w:val="Heading1"/>
        <w:spacing w:after="130" w:before="240"/>
      </w:pPr>
      <w:r>
        <w:rPr>
          <w:rFonts w:ascii="Arial" w:cs="Arial" w:eastAsia="Arial" w:hAnsi="Arial"/>
          <w:b/>
          <w:bCs/>
        </w:rPr>
        <w:t xml:space="preserve">20. Infrastructure Layer — IaC &amp; Provisioning (Detailed)</w:t>
      </w:r>
    </w:p>
    <w:p>
      <w:pPr>
        <w:spacing w:after="120" w:before="0" w:line="268"/>
      </w:pPr>
      <w:r>
        <w:rPr>
          <w:rFonts w:ascii="Arial" w:cs="Arial" w:eastAsia="Arial" w:hAnsi="Arial"/>
        </w:rPr>
        <w:t xml:space="preserve">All cloud resources are defined as code with Bicep and provisioned identically across environments. Nothing is created by hand in a portal for shared or production environments; every resource, role assignment, private endpoint and configuration value is versioned, reviewed and reproducible.</w:t>
      </w:r>
    </w:p>
    <w:p>
      <w:pPr>
        <w:pStyle w:val="Heading2"/>
        <w:spacing w:after="100" w:before="190"/>
      </w:pPr>
      <w:r>
        <w:rPr>
          <w:rFonts w:ascii="Arial" w:cs="Arial" w:eastAsia="Arial" w:hAnsi="Arial"/>
          <w:b/>
          <w:bCs/>
        </w:rPr>
        <w:t xml:space="preserve">20.1 Bicep Module Structure (infra/)</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9FE1C8"/>
                <w:sz w:val="14"/>
                <w:szCs w:val="14"/>
              </w:rPr>
              <w:t xml:space="preserve">infra/</w:t>
            </w:r>
          </w:p>
          <w:p>
            <w:pPr>
              <w:spacing w:after="0" w:line="236"/>
            </w:pPr>
            <w:r>
              <w:rPr>
                <w:rFonts w:ascii="Consolas" w:cs="Consolas" w:eastAsia="Consolas" w:hAnsi="Consolas"/>
                <w:color w:val="D6E2F5"/>
                <w:sz w:val="14"/>
                <w:szCs w:val="14"/>
              </w:rPr>
              <w:t xml:space="preserve">├─ main.bicep                     # subscription/RG composition root</w:t>
            </w:r>
          </w:p>
          <w:p>
            <w:pPr>
              <w:spacing w:after="0" w:line="236"/>
            </w:pPr>
            <w:r>
              <w:rPr>
                <w:rFonts w:ascii="Consolas" w:cs="Consolas" w:eastAsia="Consolas" w:hAnsi="Consolas"/>
                <w:color w:val="D6E2F5"/>
                <w:sz w:val="14"/>
                <w:szCs w:val="14"/>
              </w:rPr>
              <w:t xml:space="preserve">├─ main.parameters.dev.json</w:t>
            </w:r>
          </w:p>
          <w:p>
            <w:pPr>
              <w:spacing w:after="0" w:line="236"/>
            </w:pPr>
            <w:r>
              <w:rPr>
                <w:rFonts w:ascii="Consolas" w:cs="Consolas" w:eastAsia="Consolas" w:hAnsi="Consolas"/>
                <w:color w:val="D6E2F5"/>
                <w:sz w:val="14"/>
                <w:szCs w:val="14"/>
              </w:rPr>
              <w:t xml:space="preserve">├─ main.parameters.staging.json</w:t>
            </w:r>
          </w:p>
          <w:p>
            <w:pPr>
              <w:spacing w:after="0" w:line="236"/>
            </w:pPr>
            <w:r>
              <w:rPr>
                <w:rFonts w:ascii="Consolas" w:cs="Consolas" w:eastAsia="Consolas" w:hAnsi="Consolas"/>
                <w:color w:val="D6E2F5"/>
                <w:sz w:val="14"/>
                <w:szCs w:val="14"/>
              </w:rPr>
              <w:t xml:space="preserve">├─ main.parameters.prod.json</w:t>
            </w:r>
          </w:p>
          <w:p>
            <w:pPr>
              <w:spacing w:after="0" w:line="236"/>
            </w:pPr>
            <w:r>
              <w:rPr>
                <w:rFonts w:ascii="Consolas" w:cs="Consolas" w:eastAsia="Consolas" w:hAnsi="Consolas"/>
                <w:color w:val="9FE1C8"/>
                <w:sz w:val="14"/>
                <w:szCs w:val="14"/>
              </w:rPr>
              <w:t xml:space="preserve">└─ modules/</w:t>
            </w:r>
          </w:p>
          <w:p>
            <w:pPr>
              <w:spacing w:after="0" w:line="236"/>
            </w:pPr>
            <w:r>
              <w:rPr>
                <w:rFonts w:ascii="Consolas" w:cs="Consolas" w:eastAsia="Consolas" w:hAnsi="Consolas"/>
                <w:color w:val="D6E2F5"/>
                <w:sz w:val="14"/>
                <w:szCs w:val="14"/>
              </w:rPr>
              <w:t xml:space="preserve">   ├─ network.bicep        # VNet, subnets, NSGs, private DNS</w:t>
            </w:r>
          </w:p>
          <w:p>
            <w:pPr>
              <w:spacing w:after="0" w:line="236"/>
            </w:pPr>
            <w:r>
              <w:rPr>
                <w:rFonts w:ascii="Consolas" w:cs="Consolas" w:eastAsia="Consolas" w:hAnsi="Consolas"/>
                <w:color w:val="D6E2F5"/>
                <w:sz w:val="14"/>
                <w:szCs w:val="14"/>
              </w:rPr>
              <w:t xml:space="preserve">   ├─ identity.bicep       # managed identities + role assignments</w:t>
            </w:r>
          </w:p>
          <w:p>
            <w:pPr>
              <w:spacing w:after="0" w:line="236"/>
            </w:pPr>
            <w:r>
              <w:rPr>
                <w:rFonts w:ascii="Consolas" w:cs="Consolas" w:eastAsia="Consolas" w:hAnsi="Consolas"/>
                <w:color w:val="D6E2F5"/>
                <w:sz w:val="14"/>
                <w:szCs w:val="14"/>
              </w:rPr>
              <w:t xml:space="preserve">   ├─ keyvault.bicep       # Key Vault + private endpoint</w:t>
            </w:r>
          </w:p>
          <w:p>
            <w:pPr>
              <w:spacing w:after="0" w:line="236"/>
            </w:pPr>
            <w:r>
              <w:rPr>
                <w:rFonts w:ascii="Consolas" w:cs="Consolas" w:eastAsia="Consolas" w:hAnsi="Consolas"/>
                <w:color w:val="D6E2F5"/>
                <w:sz w:val="14"/>
                <w:szCs w:val="14"/>
              </w:rPr>
              <w:t xml:space="preserve">   ├─ sql.bicep            # Azure SQL + private endpoint</w:t>
            </w:r>
          </w:p>
          <w:p>
            <w:pPr>
              <w:spacing w:after="0" w:line="236"/>
            </w:pPr>
            <w:r>
              <w:rPr>
                <w:rFonts w:ascii="Consolas" w:cs="Consolas" w:eastAsia="Consolas" w:hAnsi="Consolas"/>
                <w:color w:val="D6E2F5"/>
                <w:sz w:val="14"/>
                <w:szCs w:val="14"/>
              </w:rPr>
              <w:t xml:space="preserve">   ├─ storage.bicep        # Blob staging + lifecycle + PE</w:t>
            </w:r>
          </w:p>
          <w:p>
            <w:pPr>
              <w:spacing w:after="0" w:line="236"/>
            </w:pPr>
            <w:r>
              <w:rPr>
                <w:rFonts w:ascii="Consolas" w:cs="Consolas" w:eastAsia="Consolas" w:hAnsi="Consolas"/>
                <w:color w:val="D6E2F5"/>
                <w:sz w:val="14"/>
                <w:szCs w:val="14"/>
              </w:rPr>
              <w:t xml:space="preserve">   ├─ search.bicep         # Azure AI Search</w:t>
            </w:r>
          </w:p>
          <w:p>
            <w:pPr>
              <w:spacing w:after="0" w:line="236"/>
            </w:pPr>
            <w:r>
              <w:rPr>
                <w:rFonts w:ascii="Consolas" w:cs="Consolas" w:eastAsia="Consolas" w:hAnsi="Consolas"/>
                <w:color w:val="D6E2F5"/>
                <w:sz w:val="14"/>
                <w:szCs w:val="14"/>
              </w:rPr>
              <w:t xml:space="preserve">   ├─ openai.bicep         # Azure OpenAI + deployments</w:t>
            </w:r>
          </w:p>
          <w:p>
            <w:pPr>
              <w:spacing w:after="0" w:line="236"/>
            </w:pPr>
            <w:r>
              <w:rPr>
                <w:rFonts w:ascii="Consolas" w:cs="Consolas" w:eastAsia="Consolas" w:hAnsi="Consolas"/>
                <w:color w:val="D6E2F5"/>
                <w:sz w:val="14"/>
                <w:szCs w:val="14"/>
              </w:rPr>
              <w:t xml:space="preserve">   ├─ servicebus.bicep     # queues, topics, subscriptions</w:t>
            </w:r>
          </w:p>
          <w:p>
            <w:pPr>
              <w:spacing w:after="0" w:line="236"/>
            </w:pPr>
            <w:r>
              <w:rPr>
                <w:rFonts w:ascii="Consolas" w:cs="Consolas" w:eastAsia="Consolas" w:hAnsi="Consolas"/>
                <w:color w:val="D6E2F5"/>
                <w:sz w:val="14"/>
                <w:szCs w:val="14"/>
              </w:rPr>
              <w:t xml:space="preserve">   ├─ redis.bicep          # Azure Cache for Redis</w:t>
            </w:r>
          </w:p>
          <w:p>
            <w:pPr>
              <w:spacing w:after="0" w:line="236"/>
            </w:pPr>
            <w:r>
              <w:rPr>
                <w:rFonts w:ascii="Consolas" w:cs="Consolas" w:eastAsia="Consolas" w:hAnsi="Consolas"/>
                <w:color w:val="D6E2F5"/>
                <w:sz w:val="14"/>
                <w:szCs w:val="14"/>
              </w:rPr>
              <w:t xml:space="preserve">   ├─ containerapp.bicep   # API + workers environment</w:t>
            </w:r>
          </w:p>
          <w:p>
            <w:pPr>
              <w:spacing w:after="0" w:line="236"/>
            </w:pPr>
            <w:r>
              <w:rPr>
                <w:rFonts w:ascii="Consolas" w:cs="Consolas" w:eastAsia="Consolas" w:hAnsi="Consolas"/>
                <w:color w:val="D6E2F5"/>
                <w:sz w:val="14"/>
                <w:szCs w:val="14"/>
              </w:rPr>
              <w:t xml:space="preserve">   ├─ staticwebapp.bicep   # Web UI hosting</w:t>
            </w:r>
          </w:p>
          <w:p>
            <w:pPr>
              <w:spacing w:after="0" w:line="236"/>
            </w:pPr>
            <w:r>
              <w:rPr>
                <w:rFonts w:ascii="Consolas" w:cs="Consolas" w:eastAsia="Consolas" w:hAnsi="Consolas"/>
                <w:color w:val="D6E2F5"/>
                <w:sz w:val="14"/>
                <w:szCs w:val="14"/>
              </w:rPr>
              <w:t xml:space="preserve">   ├─ apim.bicep           # API Management + policies</w:t>
            </w:r>
          </w:p>
          <w:p>
            <w:pPr>
              <w:spacing w:after="0" w:line="236"/>
            </w:pPr>
            <w:r>
              <w:rPr>
                <w:rFonts w:ascii="Consolas" w:cs="Consolas" w:eastAsia="Consolas" w:hAnsi="Consolas"/>
                <w:color w:val="D6E2F5"/>
                <w:sz w:val="14"/>
                <w:szCs w:val="14"/>
              </w:rPr>
              <w:t xml:space="preserve">   ├─ frontdoor.bicep      # Front Door + WAF</w:t>
            </w:r>
          </w:p>
          <w:p>
            <w:pPr>
              <w:spacing w:after="0" w:line="236"/>
            </w:pPr>
            <w:r>
              <w:rPr>
                <w:rFonts w:ascii="Consolas" w:cs="Consolas" w:eastAsia="Consolas" w:hAnsi="Consolas"/>
                <w:color w:val="D6E2F5"/>
                <w:sz w:val="14"/>
                <w:szCs w:val="14"/>
              </w:rPr>
              <w:t xml:space="preserve">   └─ observability.bicep  # Log Analytics, App Insights, alerts</w:t>
            </w:r>
          </w:p>
        </w:tc>
      </w:tr>
    </w:tbl>
    <w:p>
      <w:pPr>
        <w:pStyle w:val="Heading2"/>
        <w:spacing w:after="100" w:before="190"/>
      </w:pPr>
      <w:r>
        <w:rPr>
          <w:rFonts w:ascii="Arial" w:cs="Arial" w:eastAsia="Arial" w:hAnsi="Arial"/>
          <w:b/>
          <w:bCs/>
        </w:rPr>
        <w:t xml:space="preserve">20.2 Resource Inventory (per environment)</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1900"/>
        <w:gridCol w:w="3300"/>
        <w:gridCol w:w="4880"/>
      </w:tblGrid>
      <w:tr>
        <w:trPr>
          <w:tblHeader/>
        </w:trPr>
        <w:tc>
          <w:tcPr>
            <w:tcW w:type="dxa" w:w="19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Layer</w:t>
            </w:r>
          </w:p>
        </w:tc>
        <w:tc>
          <w:tcPr>
            <w:tcW w:type="dxa" w:w="33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Azure resource</w:t>
            </w:r>
          </w:p>
        </w:tc>
        <w:tc>
          <w:tcPr>
            <w:tcW w:type="dxa" w:w="48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Key configuration</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Edge</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Front Door + WAF</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OWASP ruleset, custom domain, TLS, routing</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Gateway</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 Management</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Products, JWT validation, rate limits, versions</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Frontend</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Static Web Apps</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Global CDN, linked to Entra auth</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Compute</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Container Apps environment</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 + workers, scale rules, managed identity</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Async</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Functions (plan)</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Durable + timer triggers</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Messaging</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Service Bus</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Queues, topics, dead-letter</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Registry / Metadata</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Azure SQL Database</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endpoint, TDE, geo-backup</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Staging</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Blob Storage</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endpoint, lifecycle rules</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Search / AI</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AI Search + OpenAI</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access, model deployments</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Cache</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Redis</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endpoint, TLS-only</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Secrets</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Key Vault</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RBAC data-plane, private endpoint</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Identity</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Managed Identities</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Resource-scoped role assignments</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Security</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Defender for Cloud + Purview</w:t>
            </w:r>
          </w:p>
        </w:tc>
        <w:tc>
          <w:tcPr>
            <w:tcW w:type="dxa" w:w="48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Threat protection, DLP, labels</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Observability</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Log Analytics + App Insights</w:t>
            </w:r>
          </w:p>
        </w:tc>
        <w:tc>
          <w:tcPr>
            <w:tcW w:type="dxa" w:w="48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Diagnostic settings on every resource</w:t>
            </w:r>
          </w:p>
        </w:tc>
      </w:tr>
    </w:tbl>
    <w:p>
      <w:pPr>
        <w:pStyle w:val="Heading2"/>
        <w:spacing w:after="100" w:before="190"/>
      </w:pPr>
      <w:r>
        <w:rPr>
          <w:rFonts w:ascii="Arial" w:cs="Arial" w:eastAsia="Arial" w:hAnsi="Arial"/>
          <w:b/>
          <w:bCs/>
        </w:rPr>
        <w:t xml:space="preserve">20.3 Provisioning Order &amp; Dependencies</w:t>
      </w:r>
    </w:p>
    <w:p>
      <w:pPr>
        <w:spacing w:after="120" w:before="0" w:line="268"/>
      </w:pPr>
      <w:r>
        <w:rPr>
          <w:rFonts w:ascii="Arial" w:cs="Arial" w:eastAsia="Arial" w:hAnsi="Arial"/>
        </w:rPr>
        <w:t xml:space="preserve">Modules are composed so that foundational resources exist before dependants. The composition root enforces this ordering; a single deployment creates the whole environment.</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20"/>
        <w:gridCol w:w="5980"/>
        <w:gridCol w:w="3580"/>
      </w:tblGrid>
      <w:tr>
        <w:trPr>
          <w:tblHeader/>
        </w:trPr>
        <w:tc>
          <w:tcPr>
            <w:tcW w:type="dxa" w:w="52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t>
            </w:r>
          </w:p>
        </w:tc>
        <w:tc>
          <w:tcPr>
            <w:tcW w:type="dxa" w:w="59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Provision</w:t>
            </w:r>
          </w:p>
        </w:tc>
        <w:tc>
          <w:tcPr>
            <w:tcW w:type="dxa" w:w="35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Depends on</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Network (VNet, subnets, NSGs, private DNS)</w:t>
            </w:r>
          </w:p>
        </w:tc>
        <w:tc>
          <w:tcPr>
            <w:tcW w:type="dxa" w:w="3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2</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Identity (managed identities)</w:t>
            </w:r>
          </w:p>
        </w:tc>
        <w:tc>
          <w:tcPr>
            <w:tcW w:type="dxa" w:w="3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3</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Key Vault (+ private endpoint)</w:t>
            </w:r>
          </w:p>
        </w:tc>
        <w:tc>
          <w:tcPr>
            <w:tcW w:type="dxa" w:w="3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Network</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4</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Data stores: SQL, Blob, Search, OpenAI, Redis</w:t>
            </w:r>
          </w:p>
        </w:tc>
        <w:tc>
          <w:tcPr>
            <w:tcW w:type="dxa" w:w="3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Network, Key Vault</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5</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Messaging: Service Bus</w:t>
            </w:r>
          </w:p>
        </w:tc>
        <w:tc>
          <w:tcPr>
            <w:tcW w:type="dxa" w:w="3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Network</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6</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Observability: Log Analytics, App Insights</w:t>
            </w:r>
          </w:p>
        </w:tc>
        <w:tc>
          <w:tcPr>
            <w:tcW w:type="dxa" w:w="3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7</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Compute: Container Apps, Functions</w:t>
            </w:r>
          </w:p>
        </w:tc>
        <w:tc>
          <w:tcPr>
            <w:tcW w:type="dxa" w:w="3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1–6</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8</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Edge &amp; gateway: APIM, Front Door + WAF, Static Web Apps</w:t>
            </w:r>
          </w:p>
        </w:tc>
        <w:tc>
          <w:tcPr>
            <w:tcW w:type="dxa" w:w="35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7</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9</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Role assignments (data-plane RBAC)</w:t>
            </w:r>
          </w:p>
        </w:tc>
        <w:tc>
          <w:tcPr>
            <w:tcW w:type="dxa" w:w="35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2 + 3–8</w:t>
            </w:r>
          </w:p>
        </w:tc>
      </w:tr>
    </w:tbl>
    <w:p>
      <w:pPr>
        <w:pStyle w:val="Heading2"/>
        <w:spacing w:after="100" w:before="190"/>
      </w:pPr>
      <w:r>
        <w:rPr>
          <w:rFonts w:ascii="Arial" w:cs="Arial" w:eastAsia="Arial" w:hAnsi="Arial"/>
          <w:b/>
          <w:bCs/>
        </w:rPr>
        <w:t xml:space="preserve">20.4 Identity, Secrets &amp; Least-Privilege Roles</w:t>
      </w:r>
    </w:p>
    <w:p>
      <w:pPr>
        <w:pStyle w:val="ListParagraph"/>
        <w:numPr>
          <w:ilvl w:val="0"/>
          <w:numId w:val="2"/>
        </w:numPr>
        <w:spacing w:after="64" w:line="264"/>
      </w:pPr>
      <w:r>
        <w:rPr>
          <w:rFonts w:ascii="Arial" w:cs="Arial" w:eastAsia="Arial" w:hAnsi="Arial"/>
        </w:rPr>
        <w:t xml:space="preserve">Each workload runs under its own user-assigned Managed Identity; there are no stored passwords or connection secrets in application settings.</w:t>
      </w:r>
    </w:p>
    <w:p>
      <w:pPr>
        <w:pStyle w:val="ListParagraph"/>
        <w:numPr>
          <w:ilvl w:val="0"/>
          <w:numId w:val="2"/>
        </w:numPr>
        <w:spacing w:after="64" w:line="264"/>
      </w:pPr>
      <w:r>
        <w:rPr>
          <w:rFonts w:ascii="Arial" w:cs="Arial" w:eastAsia="Arial" w:hAnsi="Arial"/>
        </w:rPr>
        <w:t xml:space="preserve">Data-plane role assignments are resource-scoped and minimal — for example, the API identity receives only the specific Key Vault, Storage, Search and Service Bus roles it uses.</w:t>
      </w:r>
    </w:p>
    <w:p>
      <w:pPr>
        <w:pStyle w:val="ListParagraph"/>
        <w:numPr>
          <w:ilvl w:val="0"/>
          <w:numId w:val="2"/>
        </w:numPr>
        <w:spacing w:after="64" w:line="264"/>
      </w:pPr>
      <w:r>
        <w:rPr>
          <w:rFonts w:ascii="Arial" w:cs="Arial" w:eastAsia="Arial" w:hAnsi="Arial"/>
        </w:rPr>
        <w:t xml:space="preserve">The deployment identity holds the rights to create role assignments; it is separate from developer and runtime identities.</w:t>
      </w:r>
    </w:p>
    <w:p>
      <w:pPr>
        <w:pStyle w:val="ListParagraph"/>
        <w:numPr>
          <w:ilvl w:val="0"/>
          <w:numId w:val="2"/>
        </w:numPr>
        <w:spacing w:after="64" w:line="264"/>
      </w:pPr>
      <w:r>
        <w:rPr>
          <w:rFonts w:ascii="Arial" w:cs="Arial" w:eastAsia="Arial" w:hAnsi="Arial"/>
        </w:rPr>
        <w:t xml:space="preserve">Secrets that must exist (for example third-party keys) are stored in Key Vault and referenced by URI; they are never emitted to logs or ARM outputs.</w:t>
      </w:r>
    </w:p>
    <w:p>
      <w:pPr>
        <w:pStyle w:val="Heading2"/>
        <w:spacing w:after="100" w:before="190"/>
      </w:pPr>
      <w:r>
        <w:rPr>
          <w:rFonts w:ascii="Arial" w:cs="Arial" w:eastAsia="Arial" w:hAnsi="Arial"/>
          <w:b/>
          <w:bCs/>
        </w:rPr>
        <w:t xml:space="preserve">20.5 Validate &amp; Deploy Commands</w:t>
      </w:r>
    </w:p>
    <w:tbl>
      <w:tblPr>
        <w:tblW w:type="dxa" w:w="10080"/>
        <w:tblBorders>
          <w:top w:val="single" w:color="2A3550" w:sz="6"/>
          <w:left w:val="single" w:color="2A3550" w:sz="6"/>
          <w:bottom w:val="single" w:color="2A3550" w:sz="6"/>
          <w:right w:val="single" w:color="2A3550" w:sz="6"/>
          <w:insideH w:val="single" w:color="auto" w:sz="4"/>
          <w:insideV w:val="single" w:color="auto" w:sz="4"/>
        </w:tblBorders>
      </w:tblPr>
      <w:tblGrid>
        <w:gridCol w:w="10080"/>
      </w:tblGrid>
      <w:tr>
        <w:tc>
          <w:tcPr>
            <w:tcW w:type="dxa" w:w="10080"/>
            <w:shd w:fill="0E1726" w:val="clear"/>
            <w:tcMar>
              <w:top w:type="dxa" w:w="120"/>
              <w:left w:type="dxa" w:w="150"/>
              <w:bottom w:type="dxa" w:w="120"/>
              <w:right w:type="dxa" w:w="120"/>
            </w:tcMar>
          </w:tcPr>
          <w:p>
            <w:pPr>
              <w:spacing w:after="0" w:line="236"/>
            </w:pPr>
            <w:r>
              <w:rPr>
                <w:rFonts w:ascii="Consolas" w:cs="Consolas" w:eastAsia="Consolas" w:hAnsi="Consolas"/>
                <w:color w:val="7FB0E0"/>
                <w:sz w:val="14"/>
                <w:szCs w:val="14"/>
              </w:rPr>
              <w:t xml:space="preserve"># compile &amp; preview changes (no mutation)</w:t>
            </w:r>
          </w:p>
          <w:p>
            <w:pPr>
              <w:spacing w:after="0" w:line="236"/>
            </w:pPr>
            <w:r>
              <w:rPr>
                <w:rFonts w:ascii="Consolas" w:cs="Consolas" w:eastAsia="Consolas" w:hAnsi="Consolas"/>
                <w:color w:val="D6E2F5"/>
                <w:sz w:val="14"/>
                <w:szCs w:val="14"/>
              </w:rPr>
              <w:t xml:space="preserve">az bicep build --file infra/main.bicep</w:t>
            </w:r>
          </w:p>
          <w:p>
            <w:pPr>
              <w:spacing w:after="0" w:line="236"/>
            </w:pPr>
            <w:r>
              <w:rPr>
                <w:rFonts w:ascii="Consolas" w:cs="Consolas" w:eastAsia="Consolas" w:hAnsi="Consolas"/>
                <w:color w:val="D6E2F5"/>
                <w:sz w:val="14"/>
                <w:szCs w:val="14"/>
              </w:rPr>
              <w:t xml:space="preserve">az deployment sub what-if \</w:t>
            </w:r>
          </w:p>
          <w:p>
            <w:pPr>
              <w:spacing w:after="0" w:line="236"/>
            </w:pPr>
            <w:r>
              <w:rPr>
                <w:rFonts w:ascii="Consolas" w:cs="Consolas" w:eastAsia="Consolas" w:hAnsi="Consolas"/>
                <w:color w:val="D6E2F5"/>
                <w:sz w:val="14"/>
                <w:szCs w:val="14"/>
              </w:rPr>
              <w:t xml:space="preserve">   --location &lt;region&gt; \</w:t>
            </w:r>
          </w:p>
          <w:p>
            <w:pPr>
              <w:spacing w:after="0" w:line="236"/>
            </w:pPr>
            <w:r>
              <w:rPr>
                <w:rFonts w:ascii="Consolas" w:cs="Consolas" w:eastAsia="Consolas" w:hAnsi="Consolas"/>
                <w:color w:val="D6E2F5"/>
                <w:sz w:val="14"/>
                <w:szCs w:val="14"/>
              </w:rPr>
              <w:t xml:space="preserve">   --template-file infra/main.bicep \</w:t>
            </w:r>
          </w:p>
          <w:p>
            <w:pPr>
              <w:spacing w:after="0" w:line="236"/>
            </w:pPr>
            <w:r>
              <w:rPr>
                <w:rFonts w:ascii="Consolas" w:cs="Consolas" w:eastAsia="Consolas" w:hAnsi="Consolas"/>
                <w:color w:val="D6E2F5"/>
                <w:sz w:val="14"/>
                <w:szCs w:val="14"/>
              </w:rPr>
              <w:t xml:space="preserve">   --parameters infra/main.parameters.prod.json</w:t>
            </w:r>
          </w:p>
          <w:p>
            <w:pPr>
              <w:spacing w:after="0" w:line="236"/>
            </w:pPr>
            <w:r>
              <w:rPr>
                <w:rFonts w:ascii="Consolas" w:cs="Consolas" w:eastAsia="Consolas" w:hAnsi="Consolas"/>
                <w:color w:val="D6E2F5"/>
                <w:sz w:val="14"/>
                <w:szCs w:val="14"/>
              </w:rPr>
              <w:t xml:space="preserve"> </w:t>
            </w:r>
          </w:p>
          <w:p>
            <w:pPr>
              <w:spacing w:after="0" w:line="236"/>
            </w:pPr>
            <w:r>
              <w:rPr>
                <w:rFonts w:ascii="Consolas" w:cs="Consolas" w:eastAsia="Consolas" w:hAnsi="Consolas"/>
                <w:color w:val="7FB0E0"/>
                <w:sz w:val="14"/>
                <w:szCs w:val="14"/>
              </w:rPr>
              <w:t xml:space="preserve"># provision the environment (authorised deployment identity)</w:t>
            </w:r>
          </w:p>
          <w:p>
            <w:pPr>
              <w:spacing w:after="0" w:line="236"/>
            </w:pPr>
            <w:r>
              <w:rPr>
                <w:rFonts w:ascii="Consolas" w:cs="Consolas" w:eastAsia="Consolas" w:hAnsi="Consolas"/>
                <w:color w:val="D6E2F5"/>
                <w:sz w:val="14"/>
                <w:szCs w:val="14"/>
              </w:rPr>
              <w:t xml:space="preserve">az deployment sub create \</w:t>
            </w:r>
          </w:p>
          <w:p>
            <w:pPr>
              <w:spacing w:after="0" w:line="236"/>
            </w:pPr>
            <w:r>
              <w:rPr>
                <w:rFonts w:ascii="Consolas" w:cs="Consolas" w:eastAsia="Consolas" w:hAnsi="Consolas"/>
                <w:color w:val="D6E2F5"/>
                <w:sz w:val="14"/>
                <w:szCs w:val="14"/>
              </w:rPr>
              <w:t xml:space="preserve">   --location &lt;region&gt; \</w:t>
            </w:r>
          </w:p>
          <w:p>
            <w:pPr>
              <w:spacing w:after="0" w:line="236"/>
            </w:pPr>
            <w:r>
              <w:rPr>
                <w:rFonts w:ascii="Consolas" w:cs="Consolas" w:eastAsia="Consolas" w:hAnsi="Consolas"/>
                <w:color w:val="D6E2F5"/>
                <w:sz w:val="14"/>
                <w:szCs w:val="14"/>
              </w:rPr>
              <w:t xml:space="preserve">   --template-file infra/main.bicep \</w:t>
            </w:r>
          </w:p>
          <w:p>
            <w:pPr>
              <w:spacing w:after="0" w:line="236"/>
            </w:pPr>
            <w:r>
              <w:rPr>
                <w:rFonts w:ascii="Consolas" w:cs="Consolas" w:eastAsia="Consolas" w:hAnsi="Consolas"/>
                <w:color w:val="D6E2F5"/>
                <w:sz w:val="14"/>
                <w:szCs w:val="14"/>
              </w:rPr>
              <w:t xml:space="preserve">   --parameters infra/main.parameters.prod.json</w:t>
            </w:r>
          </w:p>
        </w:tc>
      </w:tr>
    </w:tbl>
    <w:p>
      <w:pPr>
        <w:pStyle w:val="Heading2"/>
        <w:spacing w:after="100" w:before="190"/>
      </w:pPr>
      <w:r>
        <w:rPr>
          <w:rFonts w:ascii="Arial" w:cs="Arial" w:eastAsia="Arial" w:hAnsi="Arial"/>
          <w:b/>
          <w:bCs/>
        </w:rPr>
        <w:t xml:space="preserve">20.6 Environment Matrix</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600"/>
        <w:gridCol w:w="2360"/>
        <w:gridCol w:w="2360"/>
        <w:gridCol w:w="2760"/>
      </w:tblGrid>
      <w:tr>
        <w:trPr>
          <w:tblHeader/>
        </w:trPr>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Setting</w:t>
            </w:r>
          </w:p>
        </w:tc>
        <w:tc>
          <w:tcPr>
            <w:tcW w:type="dxa" w:w="236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Dev</w:t>
            </w:r>
          </w:p>
        </w:tc>
        <w:tc>
          <w:tcPr>
            <w:tcW w:type="dxa" w:w="236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Staging</w:t>
            </w:r>
          </w:p>
        </w:tc>
        <w:tc>
          <w:tcPr>
            <w:tcW w:type="dxa" w:w="276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Production</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High availability</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Single zone</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Zone-redundant</w:t>
            </w:r>
          </w:p>
        </w:tc>
        <w:tc>
          <w:tcPr>
            <w:tcW w:type="dxa" w:w="27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Zone-redundant (+ geo-backup)</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endpoints</w:t>
            </w:r>
          </w:p>
        </w:tc>
        <w:tc>
          <w:tcPr>
            <w:tcW w:type="dxa" w:w="23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Optional</w:t>
            </w:r>
          </w:p>
        </w:tc>
        <w:tc>
          <w:tcPr>
            <w:tcW w:type="dxa" w:w="23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Enabled</w:t>
            </w:r>
          </w:p>
        </w:tc>
        <w:tc>
          <w:tcPr>
            <w:tcW w:type="dxa" w:w="27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Enforced</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Scale</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Minimal</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Production-like</w:t>
            </w:r>
          </w:p>
        </w:tc>
        <w:tc>
          <w:tcPr>
            <w:tcW w:type="dxa" w:w="27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Auto-scale to target load</w:t>
            </w:r>
          </w:p>
        </w:tc>
      </w:tr>
      <w:tr>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Data</w:t>
            </w:r>
          </w:p>
        </w:tc>
        <w:tc>
          <w:tcPr>
            <w:tcW w:type="dxa" w:w="23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Synthetic</w:t>
            </w:r>
          </w:p>
        </w:tc>
        <w:tc>
          <w:tcPr>
            <w:tcW w:type="dxa" w:w="23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Anonymised</w:t>
            </w:r>
          </w:p>
        </w:tc>
        <w:tc>
          <w:tcPr>
            <w:tcW w:type="dxa" w:w="27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Live (residency-pinned)</w:t>
            </w:r>
          </w:p>
        </w:tc>
      </w:tr>
      <w:tr>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Access</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Developers</w:t>
            </w:r>
          </w:p>
        </w:tc>
        <w:tc>
          <w:tcPr>
            <w:tcW w:type="dxa" w:w="23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Release + QA</w:t>
            </w:r>
          </w:p>
        </w:tc>
        <w:tc>
          <w:tcPr>
            <w:tcW w:type="dxa" w:w="27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Break-glass + operators only</w:t>
            </w:r>
          </w:p>
        </w:tc>
      </w:tr>
    </w:tbl>
    <w:p>
      <w:r>
        <w:br w:type="page"/>
      </w:r>
    </w:p>
    <w:p>
      <w:pPr>
        <w:pStyle w:val="Heading1"/>
        <w:spacing w:after="130" w:before="240"/>
      </w:pPr>
      <w:r>
        <w:rPr>
          <w:rFonts w:ascii="Arial" w:cs="Arial" w:eastAsia="Arial" w:hAnsi="Arial"/>
          <w:b/>
          <w:bCs/>
        </w:rPr>
        <w:t xml:space="preserve">21. Network Architecture (Detailed)</w:t>
      </w:r>
    </w:p>
    <w:p>
      <w:pPr>
        <w:spacing w:after="120" w:before="0" w:line="268"/>
      </w:pPr>
      <w:r>
        <w:rPr>
          <w:rFonts w:ascii="Arial" w:cs="Arial" w:eastAsia="Arial" w:hAnsi="Arial"/>
        </w:rPr>
        <w:t xml:space="preserve">The network is designed on zero-trust principles: a single, controlled public ingress; private-only connectivity to every data service; segmented subnets with least-privilege paths; and private DNS so that all internal name resolution stays inside the virtual network. No client ever reaches a data store directly.</w:t>
      </w:r>
    </w:p>
    <w:p>
      <w:pPr>
        <w:pStyle w:val="Heading2"/>
        <w:spacing w:after="100" w:before="190"/>
      </w:pPr>
      <w:r>
        <w:rPr>
          <w:rFonts w:ascii="Arial" w:cs="Arial" w:eastAsia="Arial" w:hAnsi="Arial"/>
          <w:b/>
          <w:bCs/>
        </w:rPr>
        <w:t xml:space="preserve">21.1 Topology</w:t>
      </w:r>
    </w:p>
    <w:p>
      <w:pPr>
        <w:spacing w:after="120" w:before="0" w:line="268"/>
      </w:pPr>
      <w:r>
        <w:rPr>
          <w:rFonts w:ascii="Arial" w:cs="Arial" w:eastAsia="Arial" w:hAnsi="Arial"/>
        </w:rPr>
        <w:t xml:space="preserve">A hub-and-spoke virtual network hosts the platform. Public traffic enters only through Front Door and the Web Application Firewall, is inspected and routed to API Management, and only then reaches the application subnet. Data services are reachable exclusively over private endpoints on a dedicated subnet.</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1900"/>
        <w:gridCol w:w="3300"/>
        <w:gridCol w:w="2200"/>
        <w:gridCol w:w="2680"/>
      </w:tblGrid>
      <w:tr>
        <w:trPr>
          <w:tblHeader/>
        </w:trPr>
        <w:tc>
          <w:tcPr>
            <w:tcW w:type="dxa" w:w="19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Subnet</w:t>
            </w:r>
          </w:p>
        </w:tc>
        <w:tc>
          <w:tcPr>
            <w:tcW w:type="dxa" w:w="33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Hosts</w:t>
            </w:r>
          </w:p>
        </w:tc>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Inbound from</w:t>
            </w:r>
          </w:p>
        </w:tc>
        <w:tc>
          <w:tcPr>
            <w:tcW w:type="dxa" w:w="2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Outbound to</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snet-edge</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APIM (internal mode)</w:t>
            </w:r>
          </w:p>
        </w:tc>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Front Door / WAF</w:t>
            </w:r>
          </w:p>
        </w:tc>
        <w:tc>
          <w:tcPr>
            <w:tcW w:type="dxa" w:w="2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 subnet</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snet-app</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Container Apps (API + workers)</w:t>
            </w:r>
          </w:p>
        </w:tc>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APIM only</w:t>
            </w:r>
          </w:p>
        </w:tc>
        <w:tc>
          <w:tcPr>
            <w:tcW w:type="dxa" w:w="2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Private-endpoint subnet, Service Bus</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snet-func</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Functions (workers)</w:t>
            </w:r>
          </w:p>
        </w:tc>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Service Bus, timers</w:t>
            </w:r>
          </w:p>
        </w:tc>
        <w:tc>
          <w:tcPr>
            <w:tcW w:type="dxa" w:w="2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Private-endpoint subnet, Graph (egress)</w:t>
            </w:r>
          </w:p>
        </w:tc>
      </w:tr>
      <w:tr>
        <w:tc>
          <w:tcPr>
            <w:tcW w:type="dxa" w:w="19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snet-pe</w:t>
            </w:r>
          </w:p>
        </w:tc>
        <w:tc>
          <w:tcPr>
            <w:tcW w:type="dxa" w:w="33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endpoints: SQL, Blob, KV, Search, Redis, OpenAI</w:t>
            </w:r>
          </w:p>
        </w:tc>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App/Func subnets</w:t>
            </w:r>
          </w:p>
        </w:tc>
        <w:tc>
          <w:tcPr>
            <w:tcW w:type="dxa" w:w="2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w:t>
            </w:r>
          </w:p>
        </w:tc>
      </w:tr>
      <w:tr>
        <w:tc>
          <w:tcPr>
            <w:tcW w:type="dxa" w:w="19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snet-mgmt</w:t>
            </w:r>
          </w:p>
        </w:tc>
        <w:tc>
          <w:tcPr>
            <w:tcW w:type="dxa" w:w="33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Deployment / jump connectivity</w:t>
            </w:r>
          </w:p>
        </w:tc>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Authorised operators</w:t>
            </w:r>
          </w:p>
        </w:tc>
        <w:tc>
          <w:tcPr>
            <w:tcW w:type="dxa" w:w="2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Control plane</w:t>
            </w:r>
          </w:p>
        </w:tc>
      </w:tr>
    </w:tbl>
    <w:p>
      <w:pPr>
        <w:pStyle w:val="Heading2"/>
        <w:spacing w:after="100" w:before="190"/>
      </w:pPr>
      <w:r>
        <w:rPr>
          <w:rFonts w:ascii="Arial" w:cs="Arial" w:eastAsia="Arial" w:hAnsi="Arial"/>
          <w:b/>
          <w:bCs/>
        </w:rPr>
        <w:t xml:space="preserve">21.2 Private Connectivity &amp; DNS</w:t>
      </w:r>
    </w:p>
    <w:p>
      <w:pPr>
        <w:pStyle w:val="ListParagraph"/>
        <w:numPr>
          <w:ilvl w:val="0"/>
          <w:numId w:val="2"/>
        </w:numPr>
        <w:spacing w:after="64" w:line="264"/>
      </w:pPr>
      <w:r>
        <w:rPr>
          <w:rFonts w:ascii="Arial" w:cs="Arial" w:eastAsia="Arial" w:hAnsi="Arial"/>
        </w:rPr>
        <w:t xml:space="preserve">Every data service (SQL, Blob, Key Vault, AI Search, Redis, OpenAI, Service Bus) is exposed only through a Private Endpoint in snet-pe; public network access is disabled.</w:t>
      </w:r>
    </w:p>
    <w:p>
      <w:pPr>
        <w:pStyle w:val="ListParagraph"/>
        <w:numPr>
          <w:ilvl w:val="0"/>
          <w:numId w:val="2"/>
        </w:numPr>
        <w:spacing w:after="64" w:line="264"/>
      </w:pPr>
      <w:r>
        <w:rPr>
          <w:rFonts w:ascii="Arial" w:cs="Arial" w:eastAsia="Arial" w:hAnsi="Arial"/>
        </w:rPr>
        <w:t xml:space="preserve">Private DNS zones (for example privatelink.database.windows.net, privatelink.blob.core.windows.net, privatelink.vaultcore.azure.net) resolve service names to private IPs inside the VNet.</w:t>
      </w:r>
    </w:p>
    <w:p>
      <w:pPr>
        <w:pStyle w:val="ListParagraph"/>
        <w:numPr>
          <w:ilvl w:val="0"/>
          <w:numId w:val="2"/>
        </w:numPr>
        <w:spacing w:after="64" w:line="264"/>
      </w:pPr>
      <w:r>
        <w:rPr>
          <w:rFonts w:ascii="Arial" w:cs="Arial" w:eastAsia="Arial" w:hAnsi="Arial"/>
        </w:rPr>
        <w:t xml:space="preserve">The application resolves and connects to data services entirely over the Microsoft backbone; no data-plane traffic traverses the public internet.</w:t>
      </w:r>
    </w:p>
    <w:p>
      <w:pPr>
        <w:pStyle w:val="Heading2"/>
        <w:spacing w:after="100" w:before="190"/>
      </w:pPr>
      <w:r>
        <w:rPr>
          <w:rFonts w:ascii="Arial" w:cs="Arial" w:eastAsia="Arial" w:hAnsi="Arial"/>
          <w:b/>
          <w:bCs/>
        </w:rPr>
        <w:t xml:space="preserve">21.3 Ingress &amp; Egress Controls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1500"/>
        <w:gridCol w:w="2600"/>
        <w:gridCol w:w="5980"/>
      </w:tblGrid>
      <w:tr>
        <w:trPr>
          <w:tblHeader/>
        </w:trPr>
        <w:tc>
          <w:tcPr>
            <w:tcW w:type="dxa" w:w="1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Direction</w:t>
            </w:r>
          </w:p>
        </w:tc>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Control</w:t>
            </w:r>
          </w:p>
        </w:tc>
        <w:tc>
          <w:tcPr>
            <w:tcW w:type="dxa" w:w="59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Design</w:t>
            </w:r>
          </w:p>
        </w:tc>
      </w:tr>
      <w:tr>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Ingress</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Front Door + WAF</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Single global entry; OWASP rules; bot and rate protection; TLS termination.</w:t>
            </w:r>
          </w:p>
        </w:tc>
      </w:tr>
      <w:tr>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Ingress</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 Management</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JWT validation, product keys, throttling before any service is reached.</w:t>
            </w:r>
          </w:p>
        </w:tc>
      </w:tr>
      <w:tr>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East-West</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NSGs + subnet rules</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Least-privilege paths; app cannot be reached except via APIM.</w:t>
            </w:r>
          </w:p>
        </w:tc>
      </w:tr>
      <w:tr>
        <w:tc>
          <w:tcPr>
            <w:tcW w:type="dxa" w:w="1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Egress</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Controlled outbound</w:t>
            </w:r>
          </w:p>
        </w:tc>
        <w:tc>
          <w:tcPr>
            <w:tcW w:type="dxa" w:w="59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Restricted egress; only required endpoints (e.g., Microsoft Graph) are allowed.</w:t>
            </w:r>
          </w:p>
        </w:tc>
      </w:tr>
      <w:tr>
        <w:tc>
          <w:tcPr>
            <w:tcW w:type="dxa" w:w="1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DNS</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Private DNS zones</w:t>
            </w:r>
          </w:p>
        </w:tc>
        <w:tc>
          <w:tcPr>
            <w:tcW w:type="dxa" w:w="59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Internal resolution stays within the VNet.</w:t>
            </w:r>
          </w:p>
        </w:tc>
      </w:tr>
    </w:tbl>
    <w:p>
      <w:pPr>
        <w:pStyle w:val="Heading2"/>
        <w:spacing w:after="100" w:before="190"/>
      </w:pPr>
      <w:r>
        <w:rPr>
          <w:rFonts w:ascii="Arial" w:cs="Arial" w:eastAsia="Arial" w:hAnsi="Arial"/>
          <w:b/>
          <w:bCs/>
        </w:rPr>
        <w:t xml:space="preserve">21.4 Traffic Flow (request to data)</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00"/>
        <w:gridCol w:w="4200"/>
        <w:gridCol w:w="5380"/>
      </w:tblGrid>
      <w:tr>
        <w:trPr>
          <w:tblHeader/>
        </w:trPr>
        <w:tc>
          <w:tcPr>
            <w:tcW w:type="dxa" w:w="5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Hop</w:t>
            </w:r>
          </w:p>
        </w:tc>
        <w:tc>
          <w:tcPr>
            <w:tcW w:type="dxa" w:w="4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From → To</w:t>
            </w:r>
          </w:p>
        </w:tc>
        <w:tc>
          <w:tcPr>
            <w:tcW w:type="dxa" w:w="53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Protocol / control</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1</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User → Front Door/WAF</w:t>
            </w:r>
          </w:p>
        </w:tc>
        <w:tc>
          <w:tcPr>
            <w:tcW w:type="dxa" w:w="5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HTTPS; WAF inspection</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2</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Front Door → API Management</w:t>
            </w:r>
          </w:p>
        </w:tc>
        <w:tc>
          <w:tcPr>
            <w:tcW w:type="dxa" w:w="5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HTTPS; routing + JWT validation</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3</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APIM → API (snet-app)</w:t>
            </w:r>
          </w:p>
        </w:tc>
        <w:tc>
          <w:tcPr>
            <w:tcW w:type="dxa" w:w="5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mTLS-capable; RBAC+ABAC in app</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4</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 → data services (snet-pe)</w:t>
            </w:r>
          </w:p>
        </w:tc>
        <w:tc>
          <w:tcPr>
            <w:tcW w:type="dxa" w:w="5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endpoint; Managed Identity</w:t>
            </w:r>
          </w:p>
        </w:tc>
      </w:tr>
      <w:tr>
        <w:tc>
          <w:tcPr>
            <w:tcW w:type="dxa" w:w="5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5</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API → SharePoint via Graph</w:t>
            </w:r>
          </w:p>
        </w:tc>
        <w:tc>
          <w:tcPr>
            <w:tcW w:type="dxa" w:w="5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HTTPS egress; governed service identity</w:t>
            </w:r>
          </w:p>
        </w:tc>
      </w:tr>
      <w:tr>
        <w:tc>
          <w:tcPr>
            <w:tcW w:type="dxa" w:w="5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6</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Workers ↔ Service Bus</w:t>
            </w:r>
          </w:p>
        </w:tc>
        <w:tc>
          <w:tcPr>
            <w:tcW w:type="dxa" w:w="5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Private; managed identity</w:t>
            </w:r>
          </w:p>
        </w:tc>
      </w:tr>
    </w:tbl>
    <w:p>
      <w:pPr>
        <w:pStyle w:val="Heading2"/>
        <w:spacing w:after="100" w:before="190"/>
      </w:pPr>
      <w:r>
        <w:rPr>
          <w:rFonts w:ascii="Arial" w:cs="Arial" w:eastAsia="Arial" w:hAnsi="Arial"/>
          <w:b/>
          <w:bCs/>
        </w:rPr>
        <w:t xml:space="preserve">21.5 Network Security Controls</w:t>
      </w:r>
    </w:p>
    <w:p>
      <w:pPr>
        <w:pStyle w:val="ListParagraph"/>
        <w:numPr>
          <w:ilvl w:val="0"/>
          <w:numId w:val="2"/>
        </w:numPr>
        <w:spacing w:after="64" w:line="264"/>
      </w:pPr>
      <w:r>
        <w:rPr>
          <w:rFonts w:ascii="Arial" w:cs="Arial" w:eastAsia="Arial" w:hAnsi="Arial"/>
        </w:rPr>
        <w:t xml:space="preserve">Network Security Groups on every subnet enforce least-privilege inbound/outbound rules; default-deny with explicit allows.</w:t>
      </w:r>
    </w:p>
    <w:p>
      <w:pPr>
        <w:pStyle w:val="ListParagraph"/>
        <w:numPr>
          <w:ilvl w:val="0"/>
          <w:numId w:val="2"/>
        </w:numPr>
        <w:spacing w:after="64" w:line="264"/>
      </w:pPr>
      <w:r>
        <w:rPr>
          <w:rFonts w:ascii="Arial" w:cs="Arial" w:eastAsia="Arial" w:hAnsi="Arial"/>
        </w:rPr>
        <w:t xml:space="preserve">No public IPs on compute or data resources; the only public surface is Front Door.</w:t>
      </w:r>
    </w:p>
    <w:p>
      <w:pPr>
        <w:pStyle w:val="ListParagraph"/>
        <w:numPr>
          <w:ilvl w:val="0"/>
          <w:numId w:val="2"/>
        </w:numPr>
        <w:spacing w:after="64" w:line="264"/>
      </w:pPr>
      <w:r>
        <w:rPr>
          <w:rFonts w:ascii="Arial" w:cs="Arial" w:eastAsia="Arial" w:hAnsi="Arial"/>
        </w:rPr>
        <w:t xml:space="preserve">Optional Azure DDoS protection and IP allow-lists at the edge for administrative endpoints.</w:t>
      </w:r>
    </w:p>
    <w:p>
      <w:pPr>
        <w:pStyle w:val="ListParagraph"/>
        <w:numPr>
          <w:ilvl w:val="0"/>
          <w:numId w:val="2"/>
        </w:numPr>
        <w:spacing w:after="64" w:line="264"/>
      </w:pPr>
      <w:r>
        <w:rPr>
          <w:rFonts w:ascii="Arial" w:cs="Arial" w:eastAsia="Arial" w:hAnsi="Arial"/>
        </w:rPr>
        <w:t xml:space="preserve">All connectivity is verified from the running workload during release (private-endpoint and DNS checks are a release gate).</w:t>
      </w:r>
    </w:p>
    <w:p>
      <w:r>
        <w:br w:type="page"/>
      </w:r>
    </w:p>
    <w:p>
      <w:pPr>
        <w:pStyle w:val="Heading1"/>
        <w:spacing w:after="130" w:before="240"/>
      </w:pPr>
      <w:r>
        <w:rPr>
          <w:rFonts w:ascii="Arial" w:cs="Arial" w:eastAsia="Arial" w:hAnsi="Arial"/>
          <w:b/>
          <w:bCs/>
        </w:rPr>
        <w:t xml:space="preserve">22. Package Deployment at the Client Site</w:t>
      </w:r>
    </w:p>
    <w:p>
      <w:pPr>
        <w:spacing w:after="120" w:before="0" w:line="268"/>
      </w:pPr>
      <w:r>
        <w:rPr>
          <w:rFonts w:ascii="Arial" w:cs="Arial" w:eastAsia="Arial" w:hAnsi="Arial"/>
        </w:rPr>
        <w:t xml:space="preserve">Once developed, the platform is delivered to the client environment as a single, versioned release package. Because the UI, API, workers and infrastructure are built as independent artifacts against a shared contract, the packaged release is deployed into the client's own Azure subscription and Microsoft 365 tenant in a controlled, repeatable and reversible way.</w:t>
      </w:r>
    </w:p>
    <w:p>
      <w:pPr>
        <w:pStyle w:val="Heading2"/>
        <w:spacing w:after="100" w:before="190"/>
      </w:pPr>
      <w:r>
        <w:rPr>
          <w:rFonts w:ascii="Arial" w:cs="Arial" w:eastAsia="Arial" w:hAnsi="Arial"/>
          <w:b/>
          <w:bCs/>
        </w:rPr>
        <w:t xml:space="preserve">22.1 What the Release Package Contains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2200"/>
        <w:gridCol w:w="4200"/>
        <w:gridCol w:w="3680"/>
      </w:tblGrid>
      <w:tr>
        <w:trPr>
          <w:tblHeader/>
        </w:trPr>
        <w:tc>
          <w:tcPr>
            <w:tcW w:type="dxa" w:w="2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Artifact</w:t>
            </w:r>
          </w:p>
        </w:tc>
        <w:tc>
          <w:tcPr>
            <w:tcW w:type="dxa" w:w="42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Description</w:t>
            </w:r>
          </w:p>
        </w:tc>
        <w:tc>
          <w:tcPr>
            <w:tcW w:type="dxa" w:w="3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Format</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Infrastructure templates</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Compiled Bicep + environment parameter files</w:t>
            </w:r>
          </w:p>
        </w:tc>
        <w:tc>
          <w:tcPr>
            <w:tcW w:type="dxa" w:w="3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ARM/Bicep + JSON</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Web UI bundle</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Production build of the SPA</w:t>
            </w:r>
          </w:p>
        </w:tc>
        <w:tc>
          <w:tcPr>
            <w:tcW w:type="dxa" w:w="3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Static assets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API image</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Immutable API/BFF container</w:t>
            </w:r>
          </w:p>
        </w:tc>
        <w:tc>
          <w:tcPr>
            <w:tcW w:type="dxa" w:w="3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Container image (by digest)</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Functions package</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Workers and Durable orchestrations</w:t>
            </w:r>
          </w:p>
        </w:tc>
        <w:tc>
          <w:tcPr>
            <w:tcW w:type="dxa" w:w="3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Function app zip</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Database migrations</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Versioned schema and seed scripts</w:t>
            </w:r>
          </w:p>
        </w:tc>
        <w:tc>
          <w:tcPr>
            <w:tcW w:type="dxa" w:w="3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Migration bundle</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Deployment scripts</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Ordered install / upgrade / rollback</w:t>
            </w:r>
          </w:p>
        </w:tc>
        <w:tc>
          <w:tcPr>
            <w:tcW w:type="dxa" w:w="3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 scripts</w:t>
            </w:r>
          </w:p>
        </w:tc>
      </w:tr>
      <w:tr>
        <w:tc>
          <w:tcPr>
            <w:tcW w:type="dxa" w:w="2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Release manifest</w:t>
            </w:r>
          </w:p>
        </w:tc>
        <w:tc>
          <w:tcPr>
            <w:tcW w:type="dxa" w:w="42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Versions, digests, checksums, config map</w:t>
            </w:r>
          </w:p>
        </w:tc>
        <w:tc>
          <w:tcPr>
            <w:tcW w:type="dxa" w:w="3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Signed manifest</w:t>
            </w:r>
          </w:p>
        </w:tc>
      </w:tr>
      <w:tr>
        <w:tc>
          <w:tcPr>
            <w:tcW w:type="dxa" w:w="2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Runbooks &amp; evidence</w:t>
            </w:r>
          </w:p>
        </w:tc>
        <w:tc>
          <w:tcPr>
            <w:tcW w:type="dxa" w:w="42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Install guide, validation, security evidence</w:t>
            </w:r>
          </w:p>
        </w:tc>
        <w:tc>
          <w:tcPr>
            <w:tcW w:type="dxa" w:w="3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docs/</w:t>
            </w:r>
          </w:p>
        </w:tc>
      </w:tr>
    </w:tbl>
    <w:p>
      <w:pPr>
        <w:pStyle w:val="Heading2"/>
        <w:spacing w:after="100" w:before="190"/>
      </w:pPr>
      <w:r>
        <w:rPr>
          <w:rFonts w:ascii="Arial" w:cs="Arial" w:eastAsia="Arial" w:hAnsi="Arial"/>
          <w:b/>
          <w:bCs/>
        </w:rPr>
        <w:t xml:space="preserve">22.2 Client-Side Prerequisites</w:t>
      </w:r>
    </w:p>
    <w:p>
      <w:pPr>
        <w:pStyle w:val="ListParagraph"/>
        <w:numPr>
          <w:ilvl w:val="0"/>
          <w:numId w:val="2"/>
        </w:numPr>
        <w:spacing w:after="64" w:line="264"/>
      </w:pPr>
      <w:r>
        <w:rPr>
          <w:rFonts w:ascii="Arial" w:cs="Arial" w:eastAsia="Arial" w:hAnsi="Arial"/>
        </w:rPr>
        <w:t xml:space="preserve">An Azure subscription in the approved sovereign region(s) with the required resource providers enabled.</w:t>
      </w:r>
    </w:p>
    <w:p>
      <w:pPr>
        <w:pStyle w:val="ListParagraph"/>
        <w:numPr>
          <w:ilvl w:val="0"/>
          <w:numId w:val="2"/>
        </w:numPr>
        <w:spacing w:after="64" w:line="264"/>
      </w:pPr>
      <w:r>
        <w:rPr>
          <w:rFonts w:ascii="Arial" w:cs="Arial" w:eastAsia="Arial" w:hAnsi="Arial"/>
        </w:rPr>
        <w:t xml:space="preserve">A licensed SharePoint Online tenant and the national SSO federation configured to Microsoft Entra ID.</w:t>
      </w:r>
    </w:p>
    <w:p>
      <w:pPr>
        <w:pStyle w:val="ListParagraph"/>
        <w:numPr>
          <w:ilvl w:val="0"/>
          <w:numId w:val="2"/>
        </w:numPr>
        <w:spacing w:after="64" w:line="264"/>
      </w:pPr>
      <w:r>
        <w:rPr>
          <w:rFonts w:ascii="Arial" w:cs="Arial" w:eastAsia="Arial" w:hAnsi="Arial"/>
        </w:rPr>
        <w:t xml:space="preserve">An authorised deployment identity with rights to create resources and role assignments in the target subscription.</w:t>
      </w:r>
    </w:p>
    <w:p>
      <w:pPr>
        <w:pStyle w:val="ListParagraph"/>
        <w:numPr>
          <w:ilvl w:val="0"/>
          <w:numId w:val="2"/>
        </w:numPr>
        <w:spacing w:after="64" w:line="264"/>
      </w:pPr>
      <w:r>
        <w:rPr>
          <w:rFonts w:ascii="Arial" w:cs="Arial" w:eastAsia="Arial" w:hAnsi="Arial"/>
        </w:rPr>
        <w:t xml:space="preserve">A private container registry (or access to the delivered registry) to hold the immutable API image.</w:t>
      </w:r>
    </w:p>
    <w:p>
      <w:pPr>
        <w:pStyle w:val="ListParagraph"/>
        <w:numPr>
          <w:ilvl w:val="0"/>
          <w:numId w:val="2"/>
        </w:numPr>
        <w:spacing w:after="64" w:line="264"/>
      </w:pPr>
      <w:r>
        <w:rPr>
          <w:rFonts w:ascii="Arial" w:cs="Arial" w:eastAsia="Arial" w:hAnsi="Arial"/>
        </w:rPr>
        <w:t xml:space="preserve">Network and firewall approvals for the single public ingress and the required Microsoft 365 / Graph egress endpoints.</w:t>
      </w:r>
    </w:p>
    <w:p>
      <w:pPr>
        <w:pStyle w:val="Heading2"/>
        <w:spacing w:after="100" w:before="190"/>
      </w:pPr>
      <w:r>
        <w:rPr>
          <w:rFonts w:ascii="Arial" w:cs="Arial" w:eastAsia="Arial" w:hAnsi="Arial"/>
          <w:b/>
          <w:bCs/>
        </w:rPr>
        <w:t xml:space="preserve">22.3 Deployment Sequence</w:t>
      </w:r>
    </w:p>
    <w:p>
      <w:pPr>
        <w:spacing w:after="120" w:before="0" w:line="268"/>
      </w:pPr>
      <w:r>
        <w:rPr>
          <w:rFonts w:ascii="Arial" w:cs="Arial" w:eastAsia="Arial" w:hAnsi="Arial"/>
        </w:rPr>
        <w:t xml:space="preserve">Deployment is a single orchestrated pipeline (or one scripted command) that runs the stages below in order. Each stage is idempotent and gated; a failure stops the release with a clear, recoverable state.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520"/>
        <w:gridCol w:w="2600"/>
        <w:gridCol w:w="6960"/>
      </w:tblGrid>
      <w:tr>
        <w:trPr>
          <w:tblHeader/>
        </w:trPr>
        <w:tc>
          <w:tcPr>
            <w:tcW w:type="dxa" w:w="52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t>
            </w:r>
          </w:p>
        </w:tc>
        <w:tc>
          <w:tcPr>
            <w:tcW w:type="dxa" w:w="26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Stage</w:t>
            </w:r>
          </w:p>
        </w:tc>
        <w:tc>
          <w:tcPr>
            <w:tcW w:type="dxa" w:w="696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Action</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1</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Pre-flight</w:t>
            </w:r>
          </w:p>
        </w:tc>
        <w:tc>
          <w:tcPr>
            <w:tcW w:type="dxa" w:w="69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Validate prerequisites, quotas, identities and parameters; run Bicep what-if.</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2</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Provision infrastructure</w:t>
            </w:r>
          </w:p>
        </w:tc>
        <w:tc>
          <w:tcPr>
            <w:tcW w:type="dxa" w:w="69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 Bicep to create/patch all resources, private endpoints and role assignments.</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3</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Configure identity &amp; secrets</w:t>
            </w:r>
          </w:p>
        </w:tc>
        <w:tc>
          <w:tcPr>
            <w:tcW w:type="dxa" w:w="69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Bind Managed Identities; register the app; grant the SharePoint service-identity scope.</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4</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Database migration</w:t>
            </w:r>
          </w:p>
        </w:tc>
        <w:tc>
          <w:tcPr>
            <w:tcW w:type="dxa" w:w="69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Apply versioned schema migrations; verify with a rollback rehearsal.</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5</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 API image</w:t>
            </w:r>
          </w:p>
        </w:tc>
        <w:tc>
          <w:tcPr>
            <w:tcW w:type="dxa" w:w="69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Roll out the API/BFF container by immutable digest to Container Apps.</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6</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 workers</w:t>
            </w:r>
          </w:p>
        </w:tc>
        <w:tc>
          <w:tcPr>
            <w:tcW w:type="dxa" w:w="69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Publish the Functions package (Durable + timers + consumers).</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7</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Publish Web UI</w:t>
            </w:r>
          </w:p>
        </w:tc>
        <w:tc>
          <w:tcPr>
            <w:tcW w:type="dxa" w:w="69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Deploy the SPA bundle to Static Web Apps; bind the API base URL.</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8</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Apply gateway config</w:t>
            </w:r>
          </w:p>
        </w:tc>
        <w:tc>
          <w:tcPr>
            <w:tcW w:type="dxa" w:w="69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Import API definition and policies into API Management; configure Front Door/WAF.</w:t>
            </w:r>
          </w:p>
        </w:tc>
      </w:tr>
      <w:tr>
        <w:tc>
          <w:tcPr>
            <w:tcW w:type="dxa" w:w="52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9</w:t>
            </w:r>
          </w:p>
        </w:tc>
        <w:tc>
          <w:tcPr>
            <w:tcW w:type="dxa" w:w="26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Post-deploy validation</w:t>
            </w:r>
          </w:p>
        </w:tc>
        <w:tc>
          <w:tcPr>
            <w:tcW w:type="dxa" w:w="696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Synthetic checks: sign-in, capture, approval, promotion, search, audit.</w:t>
            </w:r>
          </w:p>
        </w:tc>
      </w:tr>
      <w:tr>
        <w:tc>
          <w:tcPr>
            <w:tcW w:type="dxa" w:w="52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10</w:t>
            </w:r>
          </w:p>
        </w:tc>
        <w:tc>
          <w:tcPr>
            <w:tcW w:type="dxa" w:w="26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Handover</w:t>
            </w:r>
          </w:p>
        </w:tc>
        <w:tc>
          <w:tcPr>
            <w:tcW w:type="dxa" w:w="696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4"/>
                <w:szCs w:val="14"/>
              </w:rPr>
              <w:t xml:space="preserve">Publish release manifest, dashboards, runbooks and support model.</w:t>
            </w:r>
          </w:p>
        </w:tc>
      </w:tr>
    </w:tbl>
    <w:p>
      <w:pPr>
        <w:pStyle w:val="Heading2"/>
        <w:spacing w:after="100" w:before="190"/>
      </w:pPr>
      <w:r>
        <w:rPr>
          <w:rFonts w:ascii="Arial" w:cs="Arial" w:eastAsia="Arial" w:hAnsi="Arial"/>
          <w:b/>
          <w:bCs/>
        </w:rPr>
        <w:t xml:space="preserve">22.4 Configuration Binding (no secrets in artifacts)</w:t>
      </w:r>
    </w:p>
    <w:p>
      <w:pPr>
        <w:spacing w:after="120" w:before="0" w:line="268"/>
      </w:pPr>
      <w:r>
        <w:rPr>
          <w:rFonts w:ascii="Arial" w:cs="Arial" w:eastAsia="Arial" w:hAnsi="Arial"/>
        </w:rPr>
        <w:t xml:space="preserve">Artifacts are environment-agnostic. Environment-specific values — resource names, endpoints, the SharePoint site/library map, model deployment names — are supplied at deploy time through the parameter files and Key Vault references. No secret or environment value is baked into an image or bundle.</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3400"/>
        <w:gridCol w:w="6680"/>
      </w:tblGrid>
      <w:tr>
        <w:trPr>
          <w:tblHeader/>
        </w:trPr>
        <w:tc>
          <w:tcPr>
            <w:tcW w:type="dxa" w:w="34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Configuration</w:t>
            </w:r>
          </w:p>
        </w:tc>
        <w:tc>
          <w:tcPr>
            <w:tcW w:type="dxa" w:w="66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Source at deploy time</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Resource endpoints &amp; names</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Bicep parameter file per environment</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Secrets / keys</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Key Vault references resolved by Managed Identity</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SharePoint site &amp; library map</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Admin configuration bound post-deploy</w:t>
            </w:r>
          </w:p>
        </w:tc>
      </w:tr>
      <w:tr>
        <w:tc>
          <w:tcPr>
            <w:tcW w:type="dxa" w:w="34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Feature flags &amp; cadences</w:t>
            </w:r>
          </w:p>
        </w:tc>
        <w:tc>
          <w:tcPr>
            <w:tcW w:type="dxa" w:w="66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Environment configuration store</w:t>
            </w:r>
          </w:p>
        </w:tc>
      </w:tr>
      <w:tr>
        <w:tc>
          <w:tcPr>
            <w:tcW w:type="dxa" w:w="34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Image version</w:t>
            </w:r>
          </w:p>
        </w:tc>
        <w:tc>
          <w:tcPr>
            <w:tcW w:type="dxa" w:w="66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Immutable digest pinned in the release manifest</w:t>
            </w:r>
          </w:p>
        </w:tc>
      </w:tr>
    </w:tbl>
    <w:p>
      <w:pPr>
        <w:pStyle w:val="Heading2"/>
        <w:spacing w:after="100" w:before="190"/>
      </w:pPr>
      <w:r>
        <w:rPr>
          <w:rFonts w:ascii="Arial" w:cs="Arial" w:eastAsia="Arial" w:hAnsi="Arial"/>
          <w:b/>
          <w:bCs/>
        </w:rPr>
        <w:t xml:space="preserve">22.5 Release Strategy, Validation &amp; Rollback</w:t>
      </w:r>
    </w:p>
    <w:p>
      <w:pPr>
        <w:pStyle w:val="ListParagraph"/>
        <w:numPr>
          <w:ilvl w:val="0"/>
          <w:numId w:val="2"/>
        </w:numPr>
        <w:spacing w:after="64" w:line="264"/>
      </w:pPr>
      <w:r>
        <w:rPr>
          <w:rFonts w:ascii="Arial" w:cs="Arial" w:eastAsia="Arial" w:hAnsi="Arial"/>
          <w:b/>
          <w:bCs/>
        </w:rPr>
        <w:t xml:space="preserve">Progressive release: </w:t>
      </w:r>
      <w:r>
        <w:rPr>
          <w:rFonts w:ascii="Arial" w:cs="Arial" w:eastAsia="Arial" w:hAnsi="Arial"/>
        </w:rPr>
        <w:t xml:space="preserve">blue-green or canary rollout of the API and UI, shifting traffic only after health checks pass.</w:t>
      </w:r>
    </w:p>
    <w:p>
      <w:pPr>
        <w:pStyle w:val="ListParagraph"/>
        <w:numPr>
          <w:ilvl w:val="0"/>
          <w:numId w:val="2"/>
        </w:numPr>
        <w:spacing w:after="64" w:line="264"/>
      </w:pPr>
      <w:r>
        <w:rPr>
          <w:rFonts w:ascii="Arial" w:cs="Arial" w:eastAsia="Arial" w:hAnsi="Arial"/>
          <w:b/>
          <w:bCs/>
        </w:rPr>
        <w:t xml:space="preserve">Automated validation: </w:t>
      </w:r>
      <w:r>
        <w:rPr>
          <w:rFonts w:ascii="Arial" w:cs="Arial" w:eastAsia="Arial" w:hAnsi="Arial"/>
        </w:rPr>
        <w:t xml:space="preserve">synthetic transactions exercise the full capture → publish → search journey before traffic is fully shifted.</w:t>
      </w:r>
    </w:p>
    <w:p>
      <w:pPr>
        <w:pStyle w:val="ListParagraph"/>
        <w:numPr>
          <w:ilvl w:val="0"/>
          <w:numId w:val="2"/>
        </w:numPr>
        <w:spacing w:after="64" w:line="264"/>
      </w:pPr>
      <w:r>
        <w:rPr>
          <w:rFonts w:ascii="Arial" w:cs="Arial" w:eastAsia="Arial" w:hAnsi="Arial"/>
          <w:b/>
          <w:bCs/>
        </w:rPr>
        <w:t xml:space="preserve">Rollback: </w:t>
      </w:r>
      <w:r>
        <w:rPr>
          <w:rFonts w:ascii="Arial" w:cs="Arial" w:eastAsia="Arial" w:hAnsi="Arial"/>
        </w:rPr>
        <w:t xml:space="preserve">because artifacts are immutable and versioned, rollback re-points to the previous image digest / bundle and, if needed, runs the down-migration — no rebuild required.</w:t>
      </w:r>
    </w:p>
    <w:p>
      <w:pPr>
        <w:pStyle w:val="ListParagraph"/>
        <w:numPr>
          <w:ilvl w:val="0"/>
          <w:numId w:val="2"/>
        </w:numPr>
        <w:spacing w:after="64" w:line="264"/>
      </w:pPr>
      <w:r>
        <w:rPr>
          <w:rFonts w:ascii="Arial" w:cs="Arial" w:eastAsia="Arial" w:hAnsi="Arial"/>
          <w:b/>
          <w:bCs/>
        </w:rPr>
        <w:t xml:space="preserve">Idempotent re-runs: </w:t>
      </w:r>
      <w:r>
        <w:rPr>
          <w:rFonts w:ascii="Arial" w:cs="Arial" w:eastAsia="Arial" w:hAnsi="Arial"/>
        </w:rPr>
        <w:t xml:space="preserve">re-running the pipeline converges to the desired state; partial failures are safely retried.</w:t>
      </w:r>
    </w:p>
    <w:p>
      <w:pPr>
        <w:pStyle w:val="ListParagraph"/>
        <w:numPr>
          <w:ilvl w:val="0"/>
          <w:numId w:val="2"/>
        </w:numPr>
        <w:spacing w:after="64" w:line="264"/>
      </w:pPr>
      <w:r>
        <w:rPr>
          <w:rFonts w:ascii="Arial" w:cs="Arial" w:eastAsia="Arial" w:hAnsi="Arial"/>
          <w:b/>
          <w:bCs/>
        </w:rPr>
        <w:t xml:space="preserve">Zero-downtime upgrades: </w:t>
      </w:r>
      <w:r>
        <w:rPr>
          <w:rFonts w:ascii="Arial" w:cs="Arial" w:eastAsia="Arial" w:hAnsi="Arial"/>
        </w:rPr>
        <w:t xml:space="preserve">subsequent releases replace one package at a time behind the gateway, preserving availability.</w:t>
      </w:r>
    </w:p>
    <w:p>
      <w:pPr>
        <w:pStyle w:val="Heading2"/>
        <w:spacing w:after="100" w:before="190"/>
      </w:pPr>
      <w:r>
        <w:rPr>
          <w:rFonts w:ascii="Arial" w:cs="Arial" w:eastAsia="Arial" w:hAnsi="Arial"/>
          <w:b/>
          <w:bCs/>
        </w:rPr>
        <w:t xml:space="preserve">22.6 Upgrades &amp; Patching</w:t>
      </w:r>
    </w:p>
    <w:p>
      <w:pPr>
        <w:pStyle w:val="ListParagraph"/>
        <w:numPr>
          <w:ilvl w:val="0"/>
          <w:numId w:val="2"/>
        </w:numPr>
        <w:spacing w:after="64" w:line="264"/>
      </w:pPr>
      <w:r>
        <w:rPr>
          <w:rFonts w:ascii="Arial" w:cs="Arial" w:eastAsia="Arial" w:hAnsi="Arial"/>
        </w:rPr>
        <w:t xml:space="preserve">A new release is a new versioned manifest; the same pipeline promotes it through dev → staging → production.</w:t>
      </w:r>
    </w:p>
    <w:p>
      <w:pPr>
        <w:pStyle w:val="ListParagraph"/>
        <w:numPr>
          <w:ilvl w:val="0"/>
          <w:numId w:val="2"/>
        </w:numPr>
        <w:spacing w:after="64" w:line="264"/>
      </w:pPr>
      <w:r>
        <w:rPr>
          <w:rFonts w:ascii="Arial" w:cs="Arial" w:eastAsia="Arial" w:hAnsi="Arial"/>
        </w:rPr>
        <w:t xml:space="preserve">Independent packages allow a UI-only or API-only patch without redeploying the whole platform.</w:t>
      </w:r>
    </w:p>
    <w:p>
      <w:pPr>
        <w:pStyle w:val="ListParagraph"/>
        <w:numPr>
          <w:ilvl w:val="0"/>
          <w:numId w:val="2"/>
        </w:numPr>
        <w:spacing w:after="64" w:line="264"/>
      </w:pPr>
      <w:r>
        <w:rPr>
          <w:rFonts w:ascii="Arial" w:cs="Arial" w:eastAsia="Arial" w:hAnsi="Arial"/>
        </w:rPr>
        <w:t xml:space="preserve">Infrastructure drift is detected by re-running what-if; only reviewed changes are applied.</w:t>
      </w:r>
    </w:p>
    <w:tbl>
      <w:tblPr>
        <w:tblW w:type="dxa" w:w="10080"/>
        <w:tblBorders>
          <w:top w:val="single" w:color="FFF3E8" w:sz="1"/>
          <w:left w:val="single" w:color="D9660F" w:sz="18"/>
          <w:bottom w:val="single" w:color="FFF3E8" w:sz="1"/>
          <w:right w:val="single" w:color="FFF3E8" w:sz="1"/>
          <w:insideH w:val="single" w:color="auto" w:sz="4"/>
          <w:insideV w:val="single" w:color="auto" w:sz="4"/>
        </w:tblBorders>
      </w:tblPr>
      <w:tblGrid>
        <w:gridCol w:w="10080"/>
      </w:tblGrid>
      <w:tr>
        <w:tc>
          <w:tcPr>
            <w:tcW w:type="dxa" w:w="10080"/>
            <w:shd w:fill="FFF3E8" w:val="clear"/>
            <w:tcMar>
              <w:top w:type="dxa" w:w="104"/>
              <w:left w:type="dxa" w:w="150"/>
              <w:bottom w:type="dxa" w:w="104"/>
              <w:right w:type="dxa" w:w="140"/>
            </w:tcMar>
          </w:tcPr>
          <w:p>
            <w:pPr>
              <w:spacing w:after="0" w:line="262"/>
            </w:pPr>
            <w:r>
              <w:rPr>
                <w:rFonts w:ascii="Arial" w:cs="Arial" w:eastAsia="Arial" w:hAnsi="Arial"/>
                <w:b/>
                <w:bCs/>
                <w:color w:val="D9660F"/>
                <w:sz w:val="18"/>
                <w:szCs w:val="18"/>
              </w:rPr>
              <w:t xml:space="preserve">Packaged, repeatable delivery  </w:t>
            </w:r>
            <w:r>
              <w:rPr>
                <w:rFonts w:ascii="Arial" w:cs="Arial" w:eastAsia="Arial" w:hAnsi="Arial"/>
                <w:color w:val="0F1B33"/>
                <w:sz w:val="17"/>
                <w:szCs w:val="17"/>
              </w:rPr>
              <w:t xml:space="preserve">The client receives one signed, versioned release: infrastructure, UI, API, workers, migrations and runbooks. A single gated pipeline provisions the environment and deploys every package in order, validates the end-to-end journey, and can roll back to the previous version at any time.</w:t>
            </w:r>
          </w:p>
        </w:tc>
      </w:tr>
    </w:tbl>
    <w:p>
      <w:r>
        <w:br w:type="page"/>
      </w:r>
    </w:p>
    <w:p>
      <w:pPr>
        <w:pStyle w:val="Heading1"/>
        <w:spacing w:after="130" w:before="240"/>
      </w:pPr>
      <w:r>
        <w:rPr>
          <w:rFonts w:ascii="Arial" w:cs="Arial" w:eastAsia="Arial" w:hAnsi="Arial"/>
          <w:b/>
          <w:bCs/>
        </w:rPr>
        <w:t xml:space="preserve">23. Assumptions, Open Items &amp; Next Steps</w:t>
      </w:r>
    </w:p>
    <w:p>
      <w:pPr>
        <w:pStyle w:val="Heading2"/>
        <w:spacing w:after="100" w:before="190"/>
      </w:pPr>
      <w:r>
        <w:rPr>
          <w:rFonts w:ascii="Arial" w:cs="Arial" w:eastAsia="Arial" w:hAnsi="Arial"/>
          <w:b/>
          <w:bCs/>
        </w:rPr>
        <w:t xml:space="preserve">23.1 Open Items</w:t>
      </w:r>
    </w:p>
    <w:tbl>
      <w:tblPr>
        <w:tblW w:type="dxa" w:w="10080"/>
        <w:tblBorders>
          <w:top w:val="single" w:color="C9D4E6" w:sz="1"/>
          <w:left w:val="single" w:color="C9D4E6" w:sz="1"/>
          <w:bottom w:val="single" w:color="C9D4E6" w:sz="1"/>
          <w:right w:val="single" w:color="C9D4E6" w:sz="1"/>
          <w:insideH w:val="single" w:color="C9D4E6" w:sz="1"/>
          <w:insideV w:val="single" w:color="C9D4E6" w:sz="1"/>
        </w:tblBorders>
      </w:tblPr>
      <w:tblGrid>
        <w:gridCol w:w="700"/>
        <w:gridCol w:w="7380"/>
        <w:gridCol w:w="2000"/>
      </w:tblGrid>
      <w:tr>
        <w:trPr>
          <w:tblHeader/>
        </w:trPr>
        <w:tc>
          <w:tcPr>
            <w:tcW w:type="dxa" w:w="7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w:t>
            </w:r>
          </w:p>
        </w:tc>
        <w:tc>
          <w:tcPr>
            <w:tcW w:type="dxa" w:w="738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Item</w:t>
            </w:r>
          </w:p>
        </w:tc>
        <w:tc>
          <w:tcPr>
            <w:tcW w:type="dxa" w:w="2000"/>
            <w:shd w:fill="13294B" w:val="clear"/>
            <w:tcMar>
              <w:top w:type="dxa" w:w="64"/>
              <w:left w:type="dxa" w:w="104"/>
              <w:bottom w:type="dxa" w:w="64"/>
              <w:right w:type="dxa" w:w="104"/>
            </w:tcMar>
            <w:vAlign w:val="center"/>
          </w:tcPr>
          <w:p>
            <w:pPr>
              <w:spacing w:after="0" w:line="248"/>
            </w:pPr>
            <w:r>
              <w:rPr>
                <w:rFonts w:ascii="Arial" w:cs="Arial" w:eastAsia="Arial" w:hAnsi="Arial"/>
                <w:b/>
                <w:bCs/>
                <w:color w:val="FFFFFF"/>
                <w:sz w:val="16"/>
                <w:szCs w:val="16"/>
              </w:rPr>
              <w:t xml:space="preserve">Owner</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Q1</w:t>
            </w:r>
          </w:p>
        </w:tc>
        <w:tc>
          <w:tcPr>
            <w:tcW w:type="dxa" w:w="7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Batch cadence for the indexing pipeline (micro-batch vs. scheduled).</w:t>
            </w:r>
          </w:p>
        </w:tc>
        <w:tc>
          <w:tcPr>
            <w:tcW w:type="dxa" w:w="2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Architecture</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Q2</w:t>
            </w:r>
          </w:p>
        </w:tc>
        <w:tc>
          <w:tcPr>
            <w:tcW w:type="dxa" w:w="7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Native versus integrated e-signature for signed approvals.</w:t>
            </w:r>
          </w:p>
        </w:tc>
        <w:tc>
          <w:tcPr>
            <w:tcW w:type="dxa" w:w="2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Product / Security</w:t>
            </w:r>
          </w:p>
        </w:tc>
      </w:tr>
      <w:tr>
        <w:tc>
          <w:tcPr>
            <w:tcW w:type="dxa" w:w="7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Q3</w:t>
            </w:r>
          </w:p>
        </w:tc>
        <w:tc>
          <w:tcPr>
            <w:tcW w:type="dxa" w:w="738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Customer-managed keys policy for encryption.</w:t>
            </w:r>
          </w:p>
        </w:tc>
        <w:tc>
          <w:tcPr>
            <w:tcW w:type="dxa" w:w="2000"/>
            <w:shd w:fill="FFFFFF"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Security</w:t>
            </w:r>
          </w:p>
        </w:tc>
      </w:tr>
      <w:tr>
        <w:tc>
          <w:tcPr>
            <w:tcW w:type="dxa" w:w="7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Q4</w:t>
            </w:r>
          </w:p>
        </w:tc>
        <w:tc>
          <w:tcPr>
            <w:tcW w:type="dxa" w:w="738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Target container registry and image-signing approach at the client site.</w:t>
            </w:r>
          </w:p>
        </w:tc>
        <w:tc>
          <w:tcPr>
            <w:tcW w:type="dxa" w:w="2000"/>
            <w:shd w:fill="F4F7FC" w:val="clear"/>
            <w:tcMar>
              <w:top w:type="dxa" w:w="64"/>
              <w:left w:type="dxa" w:w="104"/>
              <w:bottom w:type="dxa" w:w="64"/>
              <w:right w:type="dxa" w:w="104"/>
            </w:tcMar>
            <w:vAlign w:val="center"/>
          </w:tcPr>
          <w:p>
            <w:pPr>
              <w:spacing w:after="0" w:line="248"/>
            </w:pPr>
            <w:r>
              <w:rPr>
                <w:rFonts w:ascii="Arial" w:cs="Arial" w:eastAsia="Arial" w:hAnsi="Arial"/>
                <w:color w:val="0F1B33"/>
                <w:sz w:val="15"/>
                <w:szCs w:val="15"/>
              </w:rPr>
              <w:t xml:space="preserve">Platform</w:t>
            </w:r>
          </w:p>
        </w:tc>
      </w:tr>
    </w:tbl>
    <w:p>
      <w:pPr>
        <w:pStyle w:val="Heading2"/>
        <w:spacing w:after="100" w:before="190"/>
      </w:pPr>
      <w:r>
        <w:rPr>
          <w:rFonts w:ascii="Arial" w:cs="Arial" w:eastAsia="Arial" w:hAnsi="Arial"/>
          <w:b/>
          <w:bCs/>
        </w:rPr>
        <w:t xml:space="preserve">23.2 Next Steps</w:t>
      </w:r>
    </w:p>
    <w:p>
      <w:pPr>
        <w:pStyle w:val="ListParagraph"/>
        <w:numPr>
          <w:ilvl w:val="0"/>
          <w:numId w:val="3"/>
        </w:numPr>
        <w:spacing w:after="74" w:line="264"/>
      </w:pPr>
      <w:r>
        <w:rPr>
          <w:rFonts w:ascii="Arial" w:cs="Arial" w:eastAsia="Arial" w:hAnsi="Arial"/>
        </w:rPr>
        <w:t xml:space="preserve">Confirm document classes, sensitivity markings and the library map.</w:t>
      </w:r>
    </w:p>
    <w:p>
      <w:pPr>
        <w:pStyle w:val="ListParagraph"/>
        <w:numPr>
          <w:ilvl w:val="0"/>
          <w:numId w:val="3"/>
        </w:numPr>
        <w:spacing w:after="74" w:line="264"/>
      </w:pPr>
      <w:r>
        <w:rPr>
          <w:rFonts w:ascii="Arial" w:cs="Arial" w:eastAsia="Arial" w:hAnsi="Arial"/>
        </w:rPr>
        <w:t xml:space="preserve">Finalise SSO federation and the SharePoint service-identity scope.</w:t>
      </w:r>
    </w:p>
    <w:p>
      <w:pPr>
        <w:pStyle w:val="ListParagraph"/>
        <w:numPr>
          <w:ilvl w:val="0"/>
          <w:numId w:val="3"/>
        </w:numPr>
        <w:spacing w:after="74" w:line="264"/>
      </w:pPr>
      <w:r>
        <w:rPr>
          <w:rFonts w:ascii="Arial" w:cs="Arial" w:eastAsia="Arial" w:hAnsi="Arial"/>
        </w:rPr>
        <w:t xml:space="preserve">Stand up the VS Code workspace and package skeletons (web, api, functions, contracts, infra).</w:t>
      </w:r>
    </w:p>
    <w:p>
      <w:pPr>
        <w:pStyle w:val="ListParagraph"/>
        <w:numPr>
          <w:ilvl w:val="0"/>
          <w:numId w:val="3"/>
        </w:numPr>
        <w:spacing w:after="74" w:line="264"/>
      </w:pPr>
      <w:r>
        <w:rPr>
          <w:rFonts w:ascii="Arial" w:cs="Arial" w:eastAsia="Arial" w:hAnsi="Arial"/>
        </w:rPr>
        <w:t xml:space="preserve">Provision the target environments via Infrastructure-as-Code and validate private connectivity.</w:t>
      </w:r>
    </w:p>
    <w:p>
      <w:pPr>
        <w:pStyle w:val="ListParagraph"/>
        <w:numPr>
          <w:ilvl w:val="0"/>
          <w:numId w:val="3"/>
        </w:numPr>
        <w:spacing w:after="74" w:line="264"/>
      </w:pPr>
      <w:r>
        <w:rPr>
          <w:rFonts w:ascii="Arial" w:cs="Arial" w:eastAsia="Arial" w:hAnsi="Arial"/>
        </w:rPr>
        <w:t xml:space="preserve">Wire the CI/CD pipeline and produce the first signed release package.</w:t>
      </w:r>
    </w:p>
    <w:p>
      <w:pPr>
        <w:pStyle w:val="ListParagraph"/>
        <w:numPr>
          <w:ilvl w:val="0"/>
          <w:numId w:val="3"/>
        </w:numPr>
        <w:spacing w:after="74" w:line="264"/>
      </w:pPr>
      <w:r>
        <w:rPr>
          <w:rFonts w:ascii="Arial" w:cs="Arial" w:eastAsia="Arial" w:hAnsi="Arial"/>
        </w:rPr>
        <w:t xml:space="preserve">Run an end-to-end pilot (capture → publish → search) before wider rollout.</w:t>
      </w:r>
    </w:p>
    <w:tbl>
      <w:tblPr>
        <w:tblW w:type="dxa" w:w="10080"/>
        <w:tblBorders>
          <w:top w:val="single" w:color="EAF6F5" w:sz="1"/>
          <w:left w:val="single" w:color="14705C" w:sz="18"/>
          <w:bottom w:val="single" w:color="EAF6F5" w:sz="1"/>
          <w:right w:val="single" w:color="EAF6F5" w:sz="1"/>
          <w:insideH w:val="single" w:color="auto" w:sz="4"/>
          <w:insideV w:val="single" w:color="auto" w:sz="4"/>
        </w:tblBorders>
      </w:tblPr>
      <w:tblGrid>
        <w:gridCol w:w="10080"/>
      </w:tblGrid>
      <w:tr>
        <w:tc>
          <w:tcPr>
            <w:tcW w:type="dxa" w:w="10080"/>
            <w:shd w:fill="EAF6F5" w:val="clear"/>
            <w:tcMar>
              <w:top w:type="dxa" w:w="104"/>
              <w:left w:type="dxa" w:w="150"/>
              <w:bottom w:type="dxa" w:w="104"/>
              <w:right w:type="dxa" w:w="140"/>
            </w:tcMar>
          </w:tcPr>
          <w:p>
            <w:pPr>
              <w:spacing w:after="0" w:line="262"/>
            </w:pPr>
            <w:r>
              <w:rPr>
                <w:rFonts w:ascii="Arial" w:cs="Arial" w:eastAsia="Arial" w:hAnsi="Arial"/>
                <w:b/>
                <w:bCs/>
                <w:color w:val="14705C"/>
                <w:sz w:val="18"/>
                <w:szCs w:val="18"/>
              </w:rPr>
              <w:t xml:space="preserve">Approval to build  </w:t>
            </w:r>
            <w:r>
              <w:rPr>
                <w:rFonts w:ascii="Arial" w:cs="Arial" w:eastAsia="Arial" w:hAnsi="Arial"/>
                <w:color w:val="0F1B33"/>
                <w:sz w:val="17"/>
                <w:szCs w:val="17"/>
              </w:rPr>
              <w:t xml:space="preserve">Endorsement of this Technical Architecture Document authorises detailed design and build against the solution and application architectures, the security, data and network models, the development and packaging methodology, and the packaged deployment approach defined herein.</w:t>
            </w:r>
          </w:p>
        </w:tc>
      </w:tr>
    </w:tbl>
    <w:p>
      <w:pPr>
        <w:spacing w:before="180"/>
        <w:jc w:val="center"/>
      </w:pPr>
      <w:r>
        <w:rPr>
          <w:rFonts w:ascii="Arial" w:cs="Arial" w:eastAsia="Arial" w:hAnsi="Arial"/>
          <w:i/>
          <w:iCs/>
          <w:color w:val="5A6B85"/>
          <w:sz w:val="16"/>
          <w:szCs w:val="16"/>
        </w:rPr>
        <w:t xml:space="preserve">— End of Document —</w:t>
      </w:r>
    </w:p>
    <w:sectPr>
      <w:headerReference w:type="default" r:id="rId15"/>
      <w:footerReference w:type="default" r:id="rId16"/>
      <w:pgSz w:w="12240" w:h="15840" w:orient="portrait"/>
      <w:pgMar w:top="1160" w:right="1080" w:bottom="10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F" w:sz="6" w:space="2"/>
      </w:pBdr>
      <w:spacing w:before="0"/>
      <w:jc w:val="center"/>
    </w:pPr>
    <w:r>
      <w:rPr>
        <w:rFonts w:ascii="Arial" w:cs="Arial" w:eastAsia="Arial" w:hAnsi="Arial"/>
        <w:color w:val="5A6B85"/>
        <w:sz w:val="13"/>
        <w:szCs w:val="13"/>
      </w:rPr>
      <w:t xml:space="preserve">OFFICIAL – Internal  ·  Version 1.1  ·  Page </w:t>
    </w:r>
    <w:r>
      <w:rPr>
        <w:rFonts w:ascii="Arial" w:cs="Arial" w:eastAsia="Arial" w:hAnsi="Arial"/>
        <w:color w:val="5A6B85"/>
        <w:sz w:val="13"/>
        <w:szCs w:val="13"/>
      </w:rPr>
      <w:fldChar w:fldCharType="begin"/>
      <w:instrText xml:space="preserve">PAGE</w:instrText>
      <w:fldChar w:fldCharType="separate"/>
      <w:fldChar w:fldCharType="end"/>
    </w:r>
    <w:r>
      <w:rPr>
        <w:rFonts w:ascii="Arial" w:cs="Arial" w:eastAsia="Arial" w:hAnsi="Arial"/>
        <w:color w:val="5A6B85"/>
        <w:sz w:val="13"/>
        <w:szCs w:val="13"/>
      </w:rPr>
      <w:t xml:space="preserve"> of </w:t>
    </w:r>
    <w:r>
      <w:rPr>
        <w:rFonts w:ascii="Arial" w:cs="Arial" w:eastAsia="Arial" w:hAnsi="Arial"/>
        <w:color w:val="5A6B85"/>
        <w:sz w:val="13"/>
        <w:szCs w:val="13"/>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F" w:sz="6" w:space="2"/>
      </w:pBdr>
      <w:spacing w:before="0"/>
      <w:jc w:val="center"/>
    </w:pPr>
    <w:r>
      <w:rPr>
        <w:rFonts w:ascii="Arial" w:cs="Arial" w:eastAsia="Arial" w:hAnsi="Arial"/>
        <w:color w:val="5A6B85"/>
        <w:sz w:val="13"/>
        <w:szCs w:val="13"/>
      </w:rPr>
      <w:t xml:space="preserve">OFFICIAL – Internal  ·  Version 1.1  ·  Page </w:t>
    </w:r>
    <w:r>
      <w:rPr>
        <w:rFonts w:ascii="Arial" w:cs="Arial" w:eastAsia="Arial" w:hAnsi="Arial"/>
        <w:color w:val="5A6B85"/>
        <w:sz w:val="13"/>
        <w:szCs w:val="13"/>
      </w:rPr>
      <w:fldChar w:fldCharType="begin"/>
      <w:instrText xml:space="preserve">PAGE</w:instrText>
      <w:fldChar w:fldCharType="separate"/>
      <w:fldChar w:fldCharType="end"/>
    </w:r>
    <w:r>
      <w:rPr>
        <w:rFonts w:ascii="Arial" w:cs="Arial" w:eastAsia="Arial" w:hAnsi="Arial"/>
        <w:color w:val="5A6B85"/>
        <w:sz w:val="13"/>
        <w:szCs w:val="13"/>
      </w:rPr>
      <w:t xml:space="preserve"> of </w:t>
    </w:r>
    <w:r>
      <w:rPr>
        <w:rFonts w:ascii="Arial" w:cs="Arial" w:eastAsia="Arial" w:hAnsi="Arial"/>
        <w:color w:val="5A6B85"/>
        <w:sz w:val="13"/>
        <w:szCs w:val="13"/>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F" w:sz="6" w:space="2"/>
      </w:pBdr>
      <w:spacing w:before="0"/>
      <w:jc w:val="center"/>
    </w:pPr>
    <w:r>
      <w:rPr>
        <w:rFonts w:ascii="Arial" w:cs="Arial" w:eastAsia="Arial" w:hAnsi="Arial"/>
        <w:color w:val="5A6B85"/>
        <w:sz w:val="13"/>
        <w:szCs w:val="13"/>
      </w:rPr>
      <w:t xml:space="preserve">OFFICIAL – Internal  ·  Version 1.1  ·  Page </w:t>
    </w:r>
    <w:r>
      <w:rPr>
        <w:rFonts w:ascii="Arial" w:cs="Arial" w:eastAsia="Arial" w:hAnsi="Arial"/>
        <w:color w:val="5A6B85"/>
        <w:sz w:val="13"/>
        <w:szCs w:val="13"/>
      </w:rPr>
      <w:fldChar w:fldCharType="begin"/>
      <w:instrText xml:space="preserve">PAGE</w:instrText>
      <w:fldChar w:fldCharType="separate"/>
      <w:fldChar w:fldCharType="end"/>
    </w:r>
    <w:r>
      <w:rPr>
        <w:rFonts w:ascii="Arial" w:cs="Arial" w:eastAsia="Arial" w:hAnsi="Arial"/>
        <w:color w:val="5A6B85"/>
        <w:sz w:val="13"/>
        <w:szCs w:val="13"/>
      </w:rPr>
      <w:t xml:space="preserve"> of </w:t>
    </w:r>
    <w:r>
      <w:rPr>
        <w:rFonts w:ascii="Arial" w:cs="Arial" w:eastAsia="Arial" w:hAnsi="Arial"/>
        <w:color w:val="5A6B85"/>
        <w:sz w:val="13"/>
        <w:szCs w:val="13"/>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F" w:sz="6" w:space="2"/>
      </w:pBdr>
      <w:spacing w:before="0"/>
      <w:jc w:val="center"/>
    </w:pPr>
    <w:r>
      <w:rPr>
        <w:rFonts w:ascii="Arial" w:cs="Arial" w:eastAsia="Arial" w:hAnsi="Arial"/>
        <w:color w:val="5A6B85"/>
        <w:sz w:val="13"/>
        <w:szCs w:val="13"/>
      </w:rPr>
      <w:t xml:space="preserve">OFFICIAL – Internal  ·  Version 1.1  ·  Page </w:t>
    </w:r>
    <w:r>
      <w:rPr>
        <w:rFonts w:ascii="Arial" w:cs="Arial" w:eastAsia="Arial" w:hAnsi="Arial"/>
        <w:color w:val="5A6B85"/>
        <w:sz w:val="13"/>
        <w:szCs w:val="13"/>
      </w:rPr>
      <w:fldChar w:fldCharType="begin"/>
      <w:instrText xml:space="preserve">PAGE</w:instrText>
      <w:fldChar w:fldCharType="separate"/>
      <w:fldChar w:fldCharType="end"/>
    </w:r>
    <w:r>
      <w:rPr>
        <w:rFonts w:ascii="Arial" w:cs="Arial" w:eastAsia="Arial" w:hAnsi="Arial"/>
        <w:color w:val="5A6B85"/>
        <w:sz w:val="13"/>
        <w:szCs w:val="13"/>
      </w:rPr>
      <w:t xml:space="preserve"> of </w:t>
    </w:r>
    <w:r>
      <w:rPr>
        <w:rFonts w:ascii="Arial" w:cs="Arial" w:eastAsia="Arial" w:hAnsi="Arial"/>
        <w:color w:val="5A6B85"/>
        <w:sz w:val="13"/>
        <w:szCs w:val="13"/>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EEF" w:sz="6" w:space="2"/>
      </w:pBdr>
      <w:spacing w:before="0"/>
      <w:jc w:val="center"/>
    </w:pPr>
    <w:r>
      <w:rPr>
        <w:rFonts w:ascii="Arial" w:cs="Arial" w:eastAsia="Arial" w:hAnsi="Arial"/>
        <w:color w:val="5A6B85"/>
        <w:sz w:val="13"/>
        <w:szCs w:val="13"/>
      </w:rPr>
      <w:t xml:space="preserve">OFFICIAL – Internal  ·  Version 1.1  ·  Page </w:t>
    </w:r>
    <w:r>
      <w:rPr>
        <w:rFonts w:ascii="Arial" w:cs="Arial" w:eastAsia="Arial" w:hAnsi="Arial"/>
        <w:color w:val="5A6B85"/>
        <w:sz w:val="13"/>
        <w:szCs w:val="13"/>
      </w:rPr>
      <w:fldChar w:fldCharType="begin"/>
      <w:instrText xml:space="preserve">PAGE</w:instrText>
      <w:fldChar w:fldCharType="separate"/>
      <w:fldChar w:fldCharType="end"/>
    </w:r>
    <w:r>
      <w:rPr>
        <w:rFonts w:ascii="Arial" w:cs="Arial" w:eastAsia="Arial" w:hAnsi="Arial"/>
        <w:color w:val="5A6B85"/>
        <w:sz w:val="13"/>
        <w:szCs w:val="13"/>
      </w:rPr>
      <w:t xml:space="preserve"> of </w:t>
    </w:r>
    <w:r>
      <w:rPr>
        <w:rFonts w:ascii="Arial" w:cs="Arial" w:eastAsia="Arial" w:hAnsi="Arial"/>
        <w:color w:val="5A6B85"/>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6" w:space="2"/>
      </w:pBdr>
      <w:spacing w:after="0"/>
      <w:jc w:val="right"/>
    </w:pPr>
    <w:r>
      <w:rPr>
        <w:rFonts w:ascii="Arial" w:cs="Arial" w:eastAsia="Arial" w:hAnsi="Arial"/>
        <w:b/>
        <w:bCs/>
        <w:color w:val="5A6B85"/>
        <w:sz w:val="13"/>
        <w:szCs w:val="13"/>
      </w:rPr>
      <w:t xml:space="preserve">DOCAYA EDMS  ·  TECHNICAL ARCHITECTURE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6" w:space="2"/>
      </w:pBdr>
      <w:spacing w:after="0"/>
      <w:jc w:val="right"/>
    </w:pPr>
    <w:r>
      <w:rPr>
        <w:rFonts w:ascii="Arial" w:cs="Arial" w:eastAsia="Arial" w:hAnsi="Arial"/>
        <w:b/>
        <w:bCs/>
        <w:color w:val="5A6B85"/>
        <w:sz w:val="13"/>
        <w:szCs w:val="13"/>
      </w:rPr>
      <w:t xml:space="preserve">DOCAYA EDMS  ·  TECHNICAL ARCHITECTURE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6" w:space="2"/>
      </w:pBdr>
      <w:spacing w:after="0"/>
      <w:jc w:val="right"/>
    </w:pPr>
    <w:r>
      <w:rPr>
        <w:rFonts w:ascii="Arial" w:cs="Arial" w:eastAsia="Arial" w:hAnsi="Arial"/>
        <w:b/>
        <w:bCs/>
        <w:color w:val="5A6B85"/>
        <w:sz w:val="13"/>
        <w:szCs w:val="13"/>
      </w:rPr>
      <w:t xml:space="preserve">DOCAYA EDMS  ·  TECHNICAL ARCHITECTURE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6" w:space="2"/>
      </w:pBdr>
      <w:spacing w:after="0"/>
      <w:jc w:val="right"/>
    </w:pPr>
    <w:r>
      <w:rPr>
        <w:rFonts w:ascii="Arial" w:cs="Arial" w:eastAsia="Arial" w:hAnsi="Arial"/>
        <w:b/>
        <w:bCs/>
        <w:color w:val="5A6B85"/>
        <w:sz w:val="13"/>
        <w:szCs w:val="13"/>
      </w:rPr>
      <w:t xml:space="preserve">DOCAYA EDMS  ·  TECHNICAL ARCHITECTURE DOCUMENT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6" w:space="2"/>
      </w:pBdr>
      <w:spacing w:after="0"/>
      <w:jc w:val="right"/>
    </w:pPr>
    <w:r>
      <w:rPr>
        <w:rFonts w:ascii="Arial" w:cs="Arial" w:eastAsia="Arial" w:hAnsi="Arial"/>
        <w:b/>
        <w:bCs/>
        <w:color w:val="5A6B85"/>
        <w:sz w:val="13"/>
        <w:szCs w:val="13"/>
      </w:rPr>
      <w:t xml:space="preserve">DOCAYA EDMS  ·  TECHNICAL ARCHITECTURE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B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3DEEF" w:sz="8" w:space="4"/>
      </w:pBdr>
      <w:spacing w:after="130" w:before="240"/>
      <w:outlineLvl w:val="0"/>
    </w:pPr>
    <w:rPr>
      <w:rFonts w:ascii="Arial" w:cs="Arial" w:eastAsia="Arial" w:hAnsi="Arial"/>
      <w:b/>
      <w:bCs/>
      <w:color w:val="1E4FD8"/>
      <w:sz w:val="29"/>
      <w:szCs w:val="29"/>
    </w:rPr>
  </w:style>
  <w:style w:type="paragraph" w:styleId="Heading2">
    <w:name w:val="Heading 2"/>
    <w:basedOn w:val="Normal"/>
    <w:next w:val="Normal"/>
    <w:qFormat/>
    <w:pPr>
      <w:spacing w:after="100" w:before="190"/>
      <w:outlineLvl w:val="1"/>
    </w:pPr>
    <w:rPr>
      <w:rFonts w:ascii="Arial" w:cs="Arial" w:eastAsia="Arial" w:hAnsi="Arial"/>
      <w:b/>
      <w:bCs/>
      <w:color w:val="14705C"/>
      <w:sz w:val="22"/>
      <w:szCs w:val="22"/>
    </w:rPr>
  </w:style>
  <w:style w:type="paragraph" w:styleId="Heading3">
    <w:name w:val="Heading 3"/>
    <w:basedOn w:val="Normal"/>
    <w:next w:val="Normal"/>
    <w:qFormat/>
    <w:pPr>
      <w:spacing w:after="80" w:before="150"/>
      <w:outlineLvl w:val="2"/>
    </w:pPr>
    <w:rPr>
      <w:rFonts w:ascii="Arial" w:cs="Arial" w:eastAsia="Arial" w:hAnsi="Arial"/>
      <w:b/>
      <w:bCs/>
      <w:color w:val="0F1B33"/>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2cd50825640c73d3392c092cfe70c5e232202e18.png"/><Relationship Id="rId18" Type="http://schemas.openxmlformats.org/officeDocument/2006/relationships/image" Target="media/abd27a571047a594e3f30a7e1afe7db4fe09300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Docaya EDMS — Technical Architecture Document</dc:title>
  <dc:creator>Ojashwa Chauhan</dc:creator>
  <dc:description>Technical Architecture Document for an enterprise EDMS on Azure and Microsoft 365 — architecture, development, infrastructure, network and packaged deployment</dc:description>
  <lastModifiedBy>Ojashwa Chauhan</lastModifiedBy>
  <revision>1</revision>
  <dcterms:created xsi:type="dcterms:W3CDTF">2026-09-05T08:46:31.5954172Z</dcterms:created>
  <dcterms:modified xsi:type="dcterms:W3CDTF">2026-09-05T08:46:31.5954172Z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9ea7407-5844-49ec-aa4f-9b4135bf0609_Enabled">
    <vt:lpwstr>true</vt:lpwstr>
  </property>
  <property fmtid="{D5CDD505-2E9C-101B-9397-08002B2CF9AE}" pid="3" name="MSIP_Label_09ea7407-5844-49ec-aa4f-9b4135bf0609_SetDate">
    <vt:lpwstr>2026-09-05T08:46:32Z</vt:lpwstr>
  </property>
  <property fmtid="{D5CDD505-2E9C-101B-9397-08002B2CF9AE}" pid="4" name="MSIP_Label_09ea7407-5844-49ec-aa4f-9b4135bf0609_Method">
    <vt:lpwstr>Standard</vt:lpwstr>
  </property>
  <property fmtid="{D5CDD505-2E9C-101B-9397-08002B2CF9AE}" pid="5" name="MSIP_Label_09ea7407-5844-49ec-aa4f-9b4135bf0609_Name">
    <vt:lpwstr>Restricted-Core42</vt:lpwstr>
  </property>
  <property fmtid="{D5CDD505-2E9C-101B-9397-08002B2CF9AE}" pid="6" name="MSIP_Label_09ea7407-5844-49ec-aa4f-9b4135bf0609_SiteId">
    <vt:lpwstr>62974d97-13b6-40c9-8576-f1ab2905b6cf</vt:lpwstr>
  </property>
  <property fmtid="{D5CDD505-2E9C-101B-9397-08002B2CF9AE}" pid="7" name="MSIP_Label_09ea7407-5844-49ec-aa4f-9b4135bf0609_ActionId">
    <vt:lpwstr>d20522ff-836f-4f10-9310-02947bdf744a</vt:lpwstr>
  </property>
  <property fmtid="{D5CDD505-2E9C-101B-9397-08002B2CF9AE}" pid="8" name="MSIP_Label_09ea7407-5844-49ec-aa4f-9b4135bf0609_ContentBits">
    <vt:lpwstr>0</vt:lpwstr>
  </property>
</Properties>
</file>