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OF FIGURES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Figure No.</w:t>
            </w:r>
          </w:p>
        </w:tc>
        <w:tc>
          <w:tcPr>
            <w:tcW w:type="dxa" w:w="2880"/>
          </w:tcPr>
          <w:p>
            <w:r>
              <w:t>Figure Name</w:t>
            </w:r>
          </w:p>
        </w:tc>
        <w:tc>
          <w:tcPr>
            <w:tcW w:type="dxa" w:w="2880"/>
          </w:tcPr>
          <w:p>
            <w:r>
              <w:t>Page No.</w:t>
            </w:r>
          </w:p>
        </w:tc>
      </w:tr>
      <w:tr>
        <w:tc>
          <w:tcPr>
            <w:tcW w:type="dxa" w:w="2880"/>
          </w:tcPr>
          <w:p>
            <w:r>
              <w:t>Figure 3.1.1</w:t>
            </w:r>
          </w:p>
        </w:tc>
        <w:tc>
          <w:tcPr>
            <w:tcW w:type="dxa" w:w="2880"/>
          </w:tcPr>
          <w:p>
            <w:r>
              <w:t>ArchIntel High-Level System Architecture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Figure 3.4</w:t>
            </w:r>
          </w:p>
        </w:tc>
        <w:tc>
          <w:tcPr>
            <w:tcW w:type="dxa" w:w="2880"/>
          </w:tcPr>
          <w:p>
            <w:r>
              <w:t>End-to-End Data Flow Diagram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Figure 3.3.6.1</w:t>
            </w:r>
          </w:p>
        </w:tc>
        <w:tc>
          <w:tcPr>
            <w:tcW w:type="dxa" w:w="2880"/>
          </w:tcPr>
          <w:p>
            <w:r>
              <w:t>The Seven-Step Processing Pipeline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Figure 3.2</w:t>
            </w:r>
          </w:p>
        </w:tc>
        <w:tc>
          <w:tcPr>
            <w:tcW w:type="dxa" w:w="2880"/>
          </w:tcPr>
          <w:p>
            <w:r>
              <w:t>Sample CubiCasa5K SVG Structure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Figure 3.5.1</w:t>
            </w:r>
          </w:p>
        </w:tc>
        <w:tc>
          <w:tcPr>
            <w:tcW w:type="dxa" w:w="2880"/>
          </w:tcPr>
          <w:p>
            <w:r>
              <w:t>LLM Q&amp;A Data Flow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Figure 3.5.2</w:t>
            </w:r>
          </w:p>
        </w:tc>
        <w:tc>
          <w:tcPr>
            <w:tcW w:type="dxa" w:w="2880"/>
          </w:tcPr>
          <w:p>
            <w:r>
              <w:t>Screenshot of the Upload Screen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Figure 3.5.3</w:t>
            </w:r>
          </w:p>
        </w:tc>
        <w:tc>
          <w:tcPr>
            <w:tcW w:type="dxa" w:w="2880"/>
          </w:tcPr>
          <w:p>
            <w:r>
              <w:t>Screenshot of Loading/Progress Indicator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Figure 3.5.4</w:t>
            </w:r>
          </w:p>
        </w:tc>
        <w:tc>
          <w:tcPr>
            <w:tcW w:type="dxa" w:w="2880"/>
          </w:tcPr>
          <w:p>
            <w:r>
              <w:t>Full Analysis Results Dashboard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Figure 5.5</w:t>
            </w:r>
          </w:p>
        </w:tc>
        <w:tc>
          <w:tcPr>
            <w:tcW w:type="dxa" w:w="2880"/>
          </w:tcPr>
          <w:p>
            <w:r>
              <w:t>Screenshot of the Chat Panel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Figure 5.6</w:t>
            </w:r>
          </w:p>
        </w:tc>
        <w:tc>
          <w:tcPr>
            <w:tcW w:type="dxa" w:w="2880"/>
          </w:tcPr>
          <w:p>
            <w:r>
              <w:t>Backend Uvicorn Startup Output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Figure 5.7</w:t>
            </w:r>
          </w:p>
        </w:tc>
        <w:tc>
          <w:tcPr>
            <w:tcW w:type="dxa" w:w="2880"/>
          </w:tcPr>
          <w:p>
            <w:r>
              <w:t>/health Endpoint Response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Figure 5.8</w:t>
            </w:r>
          </w:p>
        </w:tc>
        <w:tc>
          <w:tcPr>
            <w:tcW w:type="dxa" w:w="2880"/>
          </w:tcPr>
          <w:p>
            <w:r>
              <w:t>FastAPI Swagger Documentation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