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i w:val="0"/>
          <w:color w:val="1F4E79"/>
          <w:sz w:val="18"/>
        </w:rPr>
        <w:t>AVIRAL CONSULTING  ·  LOGISTICS STRATEGY NOTE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B1F33"/>
          <w:sz w:val="44"/>
        </w:rPr>
        <w:t>Railway Parcel: A Transformative Operating Model</w:t>
      </w:r>
    </w:p>
    <w:p>
      <w:pPr>
        <w:spacing w:after="280" w:before="0"/>
      </w:pPr>
      <w:r>
        <w:rPr>
          <w:rFonts w:ascii="Calibri" w:hAnsi="Calibri" w:eastAsia="Calibri"/>
          <w:b w:val="0"/>
          <w:i/>
          <w:color w:val="516579"/>
          <w:sz w:val="24"/>
        </w:rPr>
        <w:t>Indian Railways is moving beyond incremental parcel improvements toward a transformative model—one that can multiply parcel revenue and act as a logistics enabler for Viksit Bharat 2047.</w:t>
      </w:r>
    </w:p>
    <w:p>
      <w:pPr>
        <w:pStyle w:val="Heading1"/>
      </w:pPr>
      <w:r>
        <w:t>1. The Strategic Shift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The parcel segment has historically grown through piecemeal upgrades. The next leap requires a different posture: treat parcel as a productized, ecosystem-led logistics offering rather than a residual capacity business attached to passenger trains.</w:t>
      </w:r>
    </w:p>
    <w:p>
      <w:pPr>
        <w:spacing w:after="240"/>
        <w:shd w:fill="FFF8E8" w:val="clear"/>
      </w:pPr>
      <w:r>
        <w:rPr>
          <w:rFonts w:ascii="Calibri" w:hAnsi="Calibri" w:eastAsia="Calibri"/>
          <w:b/>
          <w:color w:val="0B1F33"/>
          <w:sz w:val="22"/>
        </w:rPr>
        <w:t xml:space="preserve">Core principle: </w:t>
      </w:r>
      <w:r>
        <w:rPr>
          <w:rFonts w:ascii="Calibri" w:hAnsi="Calibri" w:eastAsia="Calibri"/>
          <w:color w:val="0B1F33"/>
          <w:sz w:val="22"/>
        </w:rPr>
        <w:t>sharpen where Railways already creates unmatched value—network control and middle-mile connectivity—while partnering for non-core capabilities such as first-mile booking, last-mile delivery, and specialized technology.</w:t>
      </w:r>
    </w:p>
    <w:p>
      <w:pPr>
        <w:pStyle w:val="Heading1"/>
      </w:pPr>
      <w:r>
        <w:t>2. Core Competency Focus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The transformative model asks Railways to excel in functional competencies of the network and middle mile, and to orchestrate the broader parcel ecosystem around that spine.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Ecosystem Orchestration — </w:t>
      </w:r>
      <w:r>
        <w:rPr>
          <w:rFonts w:ascii="Calibri" w:hAnsi="Calibri" w:eastAsia="Calibri"/>
          <w:color w:val="516579"/>
          <w:sz w:val="22"/>
        </w:rPr>
        <w:t>Coordinate multiple stakeholders so the network behaves as one reliable logistics system.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End-to-End Digital Integration — </w:t>
      </w:r>
      <w:r>
        <w:rPr>
          <w:rFonts w:ascii="Calibri" w:hAnsi="Calibri" w:eastAsia="Calibri"/>
          <w:color w:val="516579"/>
          <w:sz w:val="22"/>
        </w:rPr>
        <w:t>Shared visibility, booking, and handoff data across rail, terminal, and LSP systems.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Innovation &amp; Product Development — </w:t>
      </w:r>
      <w:r>
        <w:rPr>
          <w:rFonts w:ascii="Calibri" w:hAnsi="Calibri" w:eastAsia="Calibri"/>
          <w:color w:val="516579"/>
          <w:sz w:val="22"/>
        </w:rPr>
        <w:t>Parcel trains, VPU/SLR configurations, roll-cage products, and saleable service designs.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Partner for Non-Core Work — </w:t>
      </w:r>
      <w:r>
        <w:rPr>
          <w:rFonts w:ascii="Calibri" w:hAnsi="Calibri" w:eastAsia="Calibri"/>
          <w:color w:val="516579"/>
          <w:sz w:val="22"/>
        </w:rPr>
        <w:t>Work with LSPs, tech providers, and specialists for customer-facing and edge operations.</w:t>
      </w:r>
    </w:p>
    <w:p>
      <w:pPr>
        <w:pStyle w:val="Heading1"/>
      </w:pPr>
      <w:r>
        <w:t>3. Infographic — Model at a Glance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way_parcel_hub_spoke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</w:pPr>
      <w:r>
        <w:rPr>
          <w:rFonts w:ascii="Calibri" w:hAnsi="Calibri" w:eastAsia="Calibri"/>
          <w:b w:val="0"/>
          <w:i/>
          <w:color w:val="516579"/>
          <w:sz w:val="18"/>
        </w:rPr>
        <w:t>Figure 1. Railways own the middle-mile network and ecosystem control; logistics partners own customer-facing first and last mile.</w:t>
      </w:r>
    </w:p>
    <w:p>
      <w:pPr>
        <w:pStyle w:val="Heading1"/>
      </w:pPr>
      <w:r>
        <w:t>4. The Integration Imperative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Today’s parcel value chain is fragmented. Rail operators optimize track capacity and schedules; logistics providers chase door-to-door timelines; shippers demand cost and reliability; terminal operators manage transfer efficiency; technology vendors build tracking and automation. Each actor is competent—but incentives and systems are not aligned.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That fragmentation is the single greatest barrier to seamless door-to-door parcel solutions that can compete with integrated private networks. Breaking silos requires shared technology platforms and aligned commercial incentives, with Railways positioned to manage the network (line-haul) and control the ecosystem.</w:t>
      </w:r>
    </w:p>
    <w:p>
      <w:pPr>
        <w:pStyle w:val="Heading2"/>
      </w:pPr>
      <w:r>
        <w:t>Key stakeholders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Rail Operators — </w:t>
      </w:r>
      <w:r>
        <w:rPr>
          <w:rFonts w:ascii="Calibri" w:hAnsi="Calibri" w:eastAsia="Calibri"/>
          <w:color w:val="516579"/>
          <w:sz w:val="22"/>
        </w:rPr>
        <w:t>Focus on track capacity and train scheduling.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Logistics Providers — </w:t>
      </w:r>
      <w:r>
        <w:rPr>
          <w:rFonts w:ascii="Calibri" w:hAnsi="Calibri" w:eastAsia="Calibri"/>
          <w:color w:val="516579"/>
          <w:sz w:val="22"/>
        </w:rPr>
        <w:t>Prioritize door-to-door delivery timelines.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Shippers — </w:t>
      </w:r>
      <w:r>
        <w:rPr>
          <w:rFonts w:ascii="Calibri" w:hAnsi="Calibri" w:eastAsia="Calibri"/>
          <w:color w:val="516579"/>
          <w:sz w:val="22"/>
        </w:rPr>
        <w:t>Demand cost efficiency and reliability.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Terminal Operators — </w:t>
      </w:r>
      <w:r>
        <w:rPr>
          <w:rFonts w:ascii="Calibri" w:hAnsi="Calibri" w:eastAsia="Calibri"/>
          <w:color w:val="516579"/>
          <w:sz w:val="22"/>
        </w:rPr>
        <w:t>Manage transfer efficiency and storage.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Tech Vendors — </w:t>
      </w:r>
      <w:r>
        <w:rPr>
          <w:rFonts w:ascii="Calibri" w:hAnsi="Calibri" w:eastAsia="Calibri"/>
          <w:color w:val="516579"/>
          <w:sz w:val="22"/>
        </w:rPr>
        <w:t>Develop tracking and automation tools.</w:t>
      </w:r>
    </w:p>
    <w:p>
      <w:pPr>
        <w:pStyle w:val="Heading1"/>
      </w:pPr>
      <w:r>
        <w:t>5. Operating Schematic: First Mile → Rail → Last Mile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The commercial model separates customer-facing logistics work from the rail spine, while keeping handoffs crisp at dedicated parcel interfaces.</w:t>
      </w:r>
    </w:p>
    <w:p>
      <w:pPr>
        <w:pStyle w:val="Heading2"/>
      </w:pPr>
      <w:r>
        <w:t>Role summary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Logistics Service Operator / Provider — </w:t>
      </w:r>
      <w:r>
        <w:rPr>
          <w:rFonts w:ascii="Calibri" w:hAnsi="Calibri" w:eastAsia="Calibri"/>
          <w:color w:val="516579"/>
          <w:sz w:val="22"/>
        </w:rPr>
        <w:t>owns customer interface, booking, consolidation and deconsolidation centers, and final delivery.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Terminal Operator — </w:t>
      </w:r>
      <w:r>
        <w:rPr>
          <w:rFonts w:ascii="Calibri" w:hAnsi="Calibri" w:eastAsia="Calibri"/>
          <w:color w:val="516579"/>
          <w:sz w:val="22"/>
        </w:rPr>
        <w:t>connected rail-head operations—segregation, loading/unloading, receiving, and transshipment—on an activity-based revenue model.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B1F33"/>
          <w:sz w:val="22"/>
        </w:rPr>
        <w:t xml:space="preserve">Rail Network — </w:t>
      </w:r>
      <w:r>
        <w:rPr>
          <w:rFonts w:ascii="Calibri" w:hAnsi="Calibri" w:eastAsia="Calibri"/>
          <w:color w:val="516579"/>
          <w:sz w:val="22"/>
        </w:rPr>
        <w:t>solely middle-mile connectivity using parcel trains / VPU / SLR / customized consists, including roll-cage operations for SLR.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Dedicated parcel terminals are required at key hub locations; spoke locations can use dedicated parcel space within existing railway station premises.</w:t>
      </w:r>
    </w:p>
    <w:p>
      <w:pPr>
        <w:pStyle w:val="Heading2"/>
      </w:pPr>
      <w:r>
        <w:t>End-to-end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920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First Mile</w:t>
            </w:r>
          </w:p>
        </w:tc>
        <w:tc>
          <w:tcPr>
            <w:tcW w:type="dxa" w:w="199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Terminal</w:t>
            </w:r>
          </w:p>
        </w:tc>
        <w:tc>
          <w:tcPr>
            <w:tcW w:type="dxa" w:w="199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Rail Network</w:t>
            </w:r>
          </w:p>
        </w:tc>
        <w:tc>
          <w:tcPr>
            <w:tcW w:type="dxa" w:w="199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Terminal</w:t>
            </w:r>
          </w:p>
        </w:tc>
        <w:tc>
          <w:tcPr>
            <w:tcW w:type="dxa" w:w="1994"/>
            <w:shd w:fill="D9920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Last Mile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color w:val="0B1F33"/>
                <w:sz w:val="18"/>
              </w:rPr>
              <w:t>LSP / LSO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Customer facing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Booking &amp; revenue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Consolidation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color w:val="0B1F33"/>
                <w:sz w:val="18"/>
              </w:rPr>
              <w:t>Segregation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Load / unload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Push to rail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Activity-based revenue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color w:val="0B1F33"/>
                <w:sz w:val="18"/>
              </w:rPr>
              <w:t>Middle mile only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Parcel trains / VPU / SLR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Dedicated or shared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Rolling inventory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color w:val="0B1F33"/>
                <w:sz w:val="18"/>
              </w:rPr>
              <w:t>Receive from rail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Segregation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Transshipment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Activity-based revenue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color w:val="0B1F33"/>
                <w:sz w:val="18"/>
              </w:rPr>
              <w:t>Same LSP typically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Deconsolidation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Customer delivery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0B1F33"/>
                <w:sz w:val="18"/>
              </w:rPr>
              <w:t>Own infrastructure</w:t>
            </w:r>
          </w:p>
        </w:tc>
      </w:tr>
    </w:tbl>
    <w:p>
      <w:pPr>
        <w:spacing w:after="240" w:before="160"/>
      </w:pPr>
      <w:r>
        <w:rPr>
          <w:rFonts w:ascii="Calibri" w:hAnsi="Calibri" w:eastAsia="Calibri"/>
          <w:b w:val="0"/>
          <w:i/>
          <w:color w:val="516579"/>
          <w:sz w:val="18"/>
        </w:rPr>
        <w:t>Figure 2. Clear role split across the parcel chain, with Railways as the middle-mile backbone. Terminals earn activity-based revenue from LSPs.</w:t>
      </w:r>
    </w:p>
    <w:p>
      <w:pPr>
        <w:pStyle w:val="Heading1"/>
      </w:pPr>
      <w:r>
        <w:t>6. Hub &amp; Spoke Network Design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The network should mirror express-cargo practice: concentrate volume at hubs, move hub-to-hub with zero intermediate touchpoints, and use short-haul parcel trains for regional spoke distribution.</w:t>
      </w:r>
    </w:p>
    <w:p>
      <w:pPr>
        <w:pStyle w:val="Heading2"/>
      </w:pPr>
      <w:r>
        <w:t>Design rules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Establish dedicated parcel terminals (hubs) at key load-generation and consumption centers.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Run hub-to-hub moves with zero intermediate touchpoints for speed, reliability, and minimal handling.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Enable hub-to-spoke connectivity with short-haul parcel trains for faster regional distribution.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Spokes do not need full terminals—allocate dedicated parcel zones in existing stations from which LSPs move cargo to their own centers.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Design unidirectional volume logic: upward toward hubs for aggregation; downward toward spokes for delivery.</w:t>
      </w:r>
    </w:p>
    <w:p>
      <w:pPr>
        <w:pStyle w:val="ListBullet"/>
        <w:spacing w:after="80"/>
      </w:pPr>
      <w:r>
        <w:rPr>
          <w:rFonts w:ascii="Calibri" w:hAnsi="Calibri" w:eastAsia="Calibri"/>
          <w:color w:val="0B1F33"/>
          <w:sz w:val="22"/>
        </w:rPr>
        <w:t>Terminal operators manage luggage/parcel booking and train connections under a revenue-share with Railways, using predefined size/weight limits for faster processing.</w:t>
      </w:r>
    </w:p>
    <w:p>
      <w:pPr>
        <w:pStyle w:val="Heading1"/>
      </w:pPr>
      <w:r>
        <w:t>7. Why This Model Matters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0B1F33"/>
          <w:sz w:val="22"/>
        </w:rPr>
        <w:t>By concentrating Railways on network excellence and ecosystem control—and letting specialist partners own customer-facing edges—the parcel business can become both more reliable and more saleable. Shared digital rails, clean commercial interfaces, and hub-and-spoke physical design together convert fragmentation into a competitive door-to-door product.</w:t>
      </w:r>
    </w:p>
    <w:p>
      <w:pPr>
        <w:spacing w:after="320"/>
        <w:shd w:fill="FFF8E8" w:val="clear"/>
      </w:pPr>
      <w:r>
        <w:rPr>
          <w:rFonts w:ascii="Calibri" w:hAnsi="Calibri" w:eastAsia="Calibri"/>
          <w:b/>
          <w:color w:val="0B1F33"/>
          <w:sz w:val="22"/>
        </w:rPr>
        <w:t xml:space="preserve">Outcome ambition: </w:t>
      </w:r>
      <w:r>
        <w:rPr>
          <w:rFonts w:ascii="Calibri" w:hAnsi="Calibri" w:eastAsia="Calibri"/>
          <w:color w:val="0B1F33"/>
          <w:sz w:val="22"/>
        </w:rPr>
        <w:t>a scalable parcel platform that multiplies railway revenue while strengthening India’s multi-modal logistics backbone on the path to Viksit Bharat 2047.</w:t>
      </w:r>
    </w:p>
    <w:p>
      <w:pPr>
        <w:spacing w:after="160" w:before="400"/>
      </w:pPr>
      <w:r>
        <w:rPr>
          <w:rFonts w:ascii="Calibri" w:hAnsi="Calibri" w:eastAsia="Calibri"/>
          <w:b w:val="0"/>
          <w:i w:val="0"/>
          <w:color w:val="516579"/>
          <w:sz w:val="18"/>
        </w:rPr>
        <w:t>Based on: Presentation for chatgpt.pptx  ·  Aviral Consulting  ·  Private &amp; Confidential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B1F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