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eastAsia="Times New Roman"/>
          <w:b/>
          <w:i w:val="0"/>
          <w:sz w:val="32"/>
        </w:rPr>
        <w:t>ABSTRACT</w:t>
      </w:r>
    </w:p>
    <w:p>
      <w:pPr>
        <w:spacing w:after="280"/>
        <w:jc w:val="center"/>
      </w:pPr>
      <w:r>
        <w:rPr>
          <w:rFonts w:ascii="Times New Roman" w:hAnsi="Times New Roman" w:eastAsia="Times New Roman"/>
          <w:b/>
          <w:i/>
          <w:sz w:val="24"/>
        </w:rPr>
        <w:t>Rail Parcel in India: Market Opportunity, Global Benchmarks and a Transformative Operating Model</w:t>
      </w:r>
    </w:p>
    <w:p>
      <w:pPr>
        <w:spacing w:before="0" w:after="160" w:line="276" w:lineRule="auto"/>
        <w:ind w:firstLine="432"/>
        <w:jc w:val="both"/>
      </w:pPr>
      <w:r>
        <w:rPr>
          <w:rFonts w:ascii="Times New Roman" w:hAnsi="Times New Roman" w:eastAsia="Times New Roman"/>
          <w:b w:val="0"/>
          <w:i w:val="0"/>
          <w:sz w:val="24"/>
        </w:rPr>
        <w:t>Indian Railways has long anchored the nation’s logistics backbone through an extensive network, cost efficiency and a lower carbon footprint per tonne-kilometre. In 2025, rail held roughly 28% of India’s transport modal share and moved nearly 1.6 billion tonnes of bulk freight. That strength in bulk cargo now forms the platform for a next growth frontier: parcel and express logistics, where e-commerce, MSMEs and inter-city commerce are expanding demand for time-sensitive, smaller-lot shipments.</w:t>
      </w:r>
    </w:p>
    <w:p>
      <w:pPr>
        <w:spacing w:before="0" w:after="160" w:line="276" w:lineRule="auto"/>
        <w:ind w:firstLine="432"/>
        <w:jc w:val="both"/>
      </w:pPr>
      <w:r>
        <w:rPr>
          <w:rFonts w:ascii="Times New Roman" w:hAnsi="Times New Roman" w:eastAsia="Times New Roman"/>
          <w:b w:val="0"/>
          <w:i w:val="0"/>
          <w:sz w:val="24"/>
        </w:rPr>
        <w:t>The existing rail parcel business already has national reach—87 parcel terminals, about 5.9 million tonnes of volume in FY2025-26, roughly 6% CAGR over three years, and approximately ₹2,100 crore in revenue. Yet parcels remain under 0.08% of overall rail freight, signalling shallow penetration relative to network potential. Against this base, the long-distance parcel and part-load opportunity is far larger. India’s road freight market is projected near USD 180 billion in 2026, of which PTL and Express together account for about USD 23 billion. Domestic air cargo is near USD 1 billion and rail parcel about USD 0.25 billion. The total addressable market for long-distance parcel and part-load is estimated at approximately USD 8.75 billion, with a serviceable addressable market for rail of about USD 5.5 billion after accounting for first-/last-mile and ultra-time-critical constraints.</w:t>
      </w:r>
    </w:p>
    <w:p>
      <w:pPr>
        <w:spacing w:before="0" w:after="160" w:line="276" w:lineRule="auto"/>
        <w:ind w:firstLine="432"/>
        <w:jc w:val="both"/>
      </w:pPr>
      <w:r>
        <w:rPr>
          <w:rFonts w:ascii="Times New Roman" w:hAnsi="Times New Roman" w:eastAsia="Times New Roman"/>
          <w:b w:val="0"/>
          <w:i w:val="0"/>
          <w:sz w:val="24"/>
        </w:rPr>
        <w:t>Global practice shows that mature railway parcel systems treat rail as the middle-mile spine of a multimodal ecosystem. Europe operates a shared-ownership, hub-and-spoke model in which CEP players own the customer interface while railways provide scheduled long-haul capacity, supported by intermodal equipment and digital coordination. China’s centralised state-railway model integrates high-speed corridors, hubs and digital platforms with major logistics and e-commerce partners. Both benchmarks emphasise dedicated parcel trains, clear role separation and end-to-end visibility.</w:t>
      </w:r>
    </w:p>
    <w:p>
      <w:pPr>
        <w:spacing w:before="0" w:after="160" w:line="276" w:lineRule="auto"/>
        <w:ind w:firstLine="432"/>
        <w:jc w:val="both"/>
      </w:pPr>
      <w:r>
        <w:rPr>
          <w:rFonts w:ascii="Times New Roman" w:hAnsi="Times New Roman" w:eastAsia="Times New Roman"/>
          <w:b w:val="0"/>
          <w:i w:val="0"/>
          <w:sz w:val="24"/>
        </w:rPr>
        <w:t>India’s current ecosystem still faces structural gaps: passenger-station–centric terminals in congested city cores, limited mechanisation, lane-based rather than network-based operations, multiple intermediate touchpoints, weak standardisation of unit load devices, incomplete barcoding and POD/DWS deployment, and historically limited organisational focus on parcel as a commercial product. Recent reforms—parcel and PCET leasing, Gati Shakti Cargo Terminals, Jan Sadharan Parcel (JPP) services, exploration of Vande Bharat Cargo concepts, and a dedicated tracking application—point in the right direction but remain insufficient without a full operating-model shift.</w:t>
      </w:r>
    </w:p>
    <w:p>
      <w:pPr>
        <w:spacing w:before="0" w:after="120" w:line="276" w:lineRule="auto"/>
        <w:ind w:firstLine="432"/>
        <w:jc w:val="both"/>
      </w:pPr>
      <w:r>
        <w:rPr>
          <w:rFonts w:ascii="Times New Roman" w:hAnsi="Times New Roman" w:eastAsia="Times New Roman"/>
          <w:b w:val="0"/>
          <w:i w:val="0"/>
          <w:sz w:val="24"/>
        </w:rPr>
        <w:t>This report argues for a transformative posture: productise parcel as an ecosystem-led offering; concentrate volume at dedicated hubs aligned to industrial and consumption clusters; move hub-to-hub with minimal intermediate handling; and assign first-/last-mile work to logistics service providers. Clear accountability among logistics operators, terminal operators and the rail network—backed by shared digital rails—can convert today’s fragmented capacity into a competitive, reliable door-to-door middle-mile product and allow Indian Railways to capture a meaningful share of the growing long-haul PTL and express market.</w:t>
      </w:r>
    </w:p>
    <w:p>
      <w:pPr>
        <w:spacing w:before="200" w:after="0"/>
      </w:pPr>
      <w:r>
        <w:rPr>
          <w:rFonts w:ascii="Times New Roman" w:hAnsi="Times New Roman" w:eastAsia="Times New Roman"/>
          <w:b/>
          <w:i/>
          <w:sz w:val="22"/>
        </w:rPr>
        <w:t xml:space="preserve">Keywords: </w:t>
      </w:r>
      <w:r>
        <w:rPr>
          <w:rFonts w:ascii="Times New Roman" w:hAnsi="Times New Roman" w:eastAsia="Times New Roman"/>
          <w:b w:val="0"/>
          <w:i/>
          <w:sz w:val="22"/>
        </w:rPr>
        <w:t>Indian Railways; rail parcel; express logistics; PTL; middle mile; hub-and-spoke; multimodal logistics; Gati Shakti; PCET; JPP.</w:t>
      </w:r>
    </w:p>
    <w:p>
      <w:r>
        <w:br w:type="page"/>
      </w:r>
    </w:p>
    <w:p>
      <w:pPr>
        <w:spacing w:before="0" w:after="240"/>
        <w:jc w:val="center"/>
      </w:pPr>
      <w:r>
        <w:rPr>
          <w:rFonts w:ascii="Times New Roman" w:hAnsi="Times New Roman" w:eastAsia="Times New Roman"/>
          <w:b/>
          <w:i w:val="0"/>
          <w:sz w:val="32"/>
        </w:rPr>
        <w:t>FOREWORD</w:t>
      </w:r>
    </w:p>
    <w:p>
      <w:pPr>
        <w:spacing w:before="0" w:after="160" w:line="276" w:lineRule="auto"/>
        <w:ind w:firstLine="432"/>
        <w:jc w:val="both"/>
      </w:pPr>
      <w:r>
        <w:rPr>
          <w:rFonts w:ascii="Times New Roman" w:hAnsi="Times New Roman" w:eastAsia="Times New Roman"/>
          <w:b w:val="0"/>
          <w:i w:val="0"/>
          <w:sz w:val="24"/>
        </w:rPr>
        <w:t>Logistics is the quiet architecture of a growing economy. Every product that moves from a factory floor, a farm gate or a fulfilment centre to a distant market depends on a chain of decisions about cost, time, reliability and environmental impact. For more than a century, Indian Railways has carried that responsibility at national scale—binding regions together and moving bulk commodities with an efficiency few other modes can match. The question this report places before policymakers, railway leadership, logistics operators and industry partners is whether that same national asset can now become the backbone of India’s next logistics chapter: modern parcel and express cargo.</w:t>
      </w:r>
    </w:p>
    <w:p>
      <w:pPr>
        <w:spacing w:before="0" w:after="160" w:line="276" w:lineRule="auto"/>
        <w:ind w:firstLine="432"/>
        <w:jc w:val="both"/>
      </w:pPr>
      <w:r>
        <w:rPr>
          <w:rFonts w:ascii="Times New Roman" w:hAnsi="Times New Roman" w:eastAsia="Times New Roman"/>
          <w:b w:val="0"/>
          <w:i w:val="0"/>
          <w:sz w:val="24"/>
        </w:rPr>
        <w:t>The timing could not be more consequential. E-commerce, organised retail, manufacturing supply chains and MSME trade are generating steady growth in smaller, time-sensitive consignments. Road transport still dominates this space because of flexibility and door-to-door reach. Yet the middle mile—the long haul between cities and clusters—is precisely where rail’s network depth, energy efficiency and capacity advantage are strongest. Capturing that opportunity is not merely a commercial ambition for the Railways; it is a national logistics and sustainability priority.</w:t>
      </w:r>
    </w:p>
    <w:p>
      <w:pPr>
        <w:spacing w:before="0" w:after="160" w:line="276" w:lineRule="auto"/>
        <w:ind w:firstLine="432"/>
        <w:jc w:val="both"/>
      </w:pPr>
      <w:r>
        <w:rPr>
          <w:rFonts w:ascii="Times New Roman" w:hAnsi="Times New Roman" w:eastAsia="Times New Roman"/>
          <w:b w:val="0"/>
          <w:i w:val="0"/>
          <w:sz w:val="24"/>
        </w:rPr>
        <w:t>This report has been prepared to bring clarity to that opportunity. It assesses the present scale of rail parcel services, sizes the addressable and serviceable markets, and draws practical lessons from European and Chinese railway parcel ecosystems. It is equally candid about the gaps that hold India back: infrastructure designed around passenger stations, limited mechanisation and digitisation, fragmented handling, and an operating culture that has often treated parcel as residual capacity rather than a productised logistics offering.</w:t>
      </w:r>
    </w:p>
    <w:p>
      <w:pPr>
        <w:spacing w:before="0" w:after="160" w:line="276" w:lineRule="auto"/>
        <w:ind w:firstLine="432"/>
        <w:jc w:val="both"/>
      </w:pPr>
      <w:r>
        <w:rPr>
          <w:rFonts w:ascii="Times New Roman" w:hAnsi="Times New Roman" w:eastAsia="Times New Roman"/>
          <w:b w:val="0"/>
          <w:i w:val="0"/>
          <w:sz w:val="24"/>
        </w:rPr>
        <w:t>Importantly, the report does not stop at diagnosis. It reviews the initiatives already underway—leasing reforms, Parcel Cargo Express Trains, Jan Sadharan Parcel services, Gati Shakti terminals, and digital visibility efforts—and then outlines a way forward grounded in a collaborative operating model. The central idea is simple and powerful: let the Railways concentrate on what they do best—network control and reliable middle-mile movement—while partners deliver customer interface, consolidation and last-mile reach. With dedicated hubs, clean commercial interfaces and shared digital systems, fragmentation can give way to a coherent door-to-door proposition.</w:t>
      </w:r>
    </w:p>
    <w:p>
      <w:pPr>
        <w:spacing w:before="0" w:after="160" w:line="276" w:lineRule="auto"/>
        <w:ind w:firstLine="432"/>
        <w:jc w:val="both"/>
      </w:pPr>
      <w:r>
        <w:rPr>
          <w:rFonts w:ascii="Times New Roman" w:hAnsi="Times New Roman" w:eastAsia="Times New Roman"/>
          <w:b w:val="0"/>
          <w:i w:val="0"/>
          <w:sz w:val="24"/>
        </w:rPr>
        <w:t>I hope this document serves as both a mirror and a map: a mirror that reflects where the rail parcel ecosystem stands today, and a map that guides the transformative steps required to unlock its full potential. The opportunity is large; the foundations exist; what remains is purposeful execution. May this report contribute usefully to that journey.</w:t>
      </w:r>
    </w:p>
    <w:p>
      <w:pPr>
        <w:spacing w:before="480" w:after="0"/>
        <w:jc w:val="right"/>
      </w:pPr>
      <w:r>
        <w:rPr>
          <w:rFonts w:ascii="Times New Roman" w:hAnsi="Times New Roman" w:eastAsia="Times New Roman"/>
          <w:b w:val="0"/>
          <w:i w:val="0"/>
          <w:sz w:val="24"/>
        </w:rPr>
        <w:t>________________________</w:t>
      </w:r>
    </w:p>
    <w:p>
      <w:pPr>
        <w:spacing w:before="80" w:after="0"/>
        <w:jc w:val="right"/>
      </w:pPr>
      <w:r>
        <w:rPr>
          <w:rFonts w:ascii="Times New Roman" w:hAnsi="Times New Roman" w:eastAsia="Times New Roman"/>
          <w:b/>
          <w:i w:val="0"/>
          <w:sz w:val="24"/>
        </w:rPr>
        <w:t>[Name]</w:t>
      </w:r>
    </w:p>
    <w:p>
      <w:pPr>
        <w:spacing w:before="0" w:after="0"/>
        <w:jc w:val="right"/>
      </w:pPr>
      <w:r>
        <w:rPr>
          <w:rFonts w:ascii="Times New Roman" w:hAnsi="Times New Roman" w:eastAsia="Times New Roman"/>
          <w:b w:val="0"/>
          <w:i/>
          <w:sz w:val="22"/>
        </w:rPr>
        <w:t>[Designation / Organisation]</w:t>
      </w:r>
    </w:p>
    <w:p>
      <w:pPr>
        <w:spacing w:before="0"/>
        <w:jc w:val="right"/>
      </w:pPr>
      <w:r>
        <w:rPr>
          <w:rFonts w:ascii="Times New Roman" w:hAnsi="Times New Roman" w:eastAsia="Times New Roman"/>
          <w:b w:val="0"/>
          <w:i w:val="0"/>
          <w:sz w:val="22"/>
        </w:rPr>
        <w:t>August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