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1B365D"/>
          <w:sz w:val="36"/>
        </w:rPr>
        <w:t>Discussion Note</w:t>
      </w:r>
    </w:p>
    <w:p>
      <w:pPr>
        <w:spacing w:before="160"/>
      </w:pPr>
      <w:r>
        <w:rPr>
          <w:rFonts w:ascii="Calibri" w:hAnsi="Calibri"/>
          <w:b/>
          <w:i w:val="0"/>
          <w:color w:val="1B365D"/>
          <w:sz w:val="28"/>
        </w:rPr>
        <w:t>Network Optimisation and Middle-Mile Synergy between V-Trans and V-Xpress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Document type</w:t>
            </w:r>
          </w:p>
        </w:tc>
        <w:tc>
          <w:tcPr>
            <w:tcW w:type="dxa" w:w="4824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Internal discussion note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Subject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Network optimisation and synergy between V-Trans and V-Xpress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Scope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Middle-mile hub–branch structure, routing and feeder alignment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Out of scope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Need-based scheduling and spot vehicle engagement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1. Purpose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This note sets out a structured approach to evaluate and unlock </w:t>
      </w:r>
      <w:r>
        <w:rPr>
          <w:rFonts w:ascii="Calibri" w:hAnsi="Calibri"/>
          <w:b/>
          <w:i w:val="0"/>
          <w:color w:val="222222"/>
          <w:sz w:val="22"/>
        </w:rPr>
        <w:t>network optimisation</w:t>
      </w:r>
      <w:r>
        <w:rPr>
          <w:rFonts w:ascii="Calibri" w:hAnsi="Calibri"/>
          <w:b w:val="0"/>
          <w:i w:val="0"/>
          <w:color w:val="222222"/>
          <w:sz w:val="22"/>
        </w:rPr>
        <w:t xml:space="preserve"> and </w:t>
      </w:r>
      <w:r>
        <w:rPr>
          <w:rFonts w:ascii="Calibri" w:hAnsi="Calibri"/>
          <w:b/>
          <w:i w:val="0"/>
          <w:color w:val="222222"/>
          <w:sz w:val="22"/>
        </w:rPr>
        <w:t>middle-mile synergy</w:t>
      </w:r>
      <w:r>
        <w:rPr>
          <w:rFonts w:ascii="Calibri" w:hAnsi="Calibri"/>
          <w:b w:val="0"/>
          <w:i w:val="0"/>
          <w:color w:val="222222"/>
          <w:sz w:val="22"/>
        </w:rPr>
        <w:t xml:space="preserve"> between V-Trans and V-Xpress—two operating verticals under the same legal entity. The intent is to improve asset utilisation, reduce duplication of hubs/branches and routes, and strengthen service economics without compromising the distinct commercial propositions of either business.</w:t>
      </w:r>
    </w:p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2. Background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V-Trans and V-Xpress operate under one legal entity but as distinct business verticals, each serving clients with transportation solutions of a different character.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3216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V-Trans</w:t>
            </w:r>
          </w:p>
        </w:tc>
        <w:tc>
          <w:tcPr>
            <w:tcW w:type="dxa" w:w="3216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V-Xpress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model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Conventional part-truck-load (PTL) operator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National express logistics provider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Geographic strength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Strongest in West; followed by South and North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National express footprint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Geographic weakness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East is the weakest zone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East is also the weakest zone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Client &amp; service proposition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Differentiated on pricing, shipment profile, service quality and time sensitivity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Differentiated on pricing, shipment profile, service quality and time sensitivity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Middle-mile design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Independent hub–branch and line-haul construct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Independent hub–branch and line-haul construct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While client propositions differ in pricing, shipment profile, service quality and time sensitivity, the </w:t>
      </w:r>
      <w:r>
        <w:rPr>
          <w:rFonts w:ascii="Calibri" w:hAnsi="Calibri"/>
          <w:b/>
          <w:i w:val="0"/>
          <w:color w:val="222222"/>
          <w:sz w:val="22"/>
        </w:rPr>
        <w:t>middle-mile operating models are entirely distinct</w:t>
      </w:r>
      <w:r>
        <w:rPr>
          <w:rFonts w:ascii="Calibri" w:hAnsi="Calibri"/>
          <w:b w:val="0"/>
          <w:i w:val="0"/>
          <w:color w:val="222222"/>
          <w:sz w:val="22"/>
        </w:rPr>
        <w:t>. At the same time, both businesses largely cover similar geographic territories. Differences are often limited to: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choice of hub cities in selected markets; and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within the same city, different site locations rather than different catchments.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This overlap creates a clear opportunity for </w:t>
      </w:r>
      <w:r>
        <w:rPr>
          <w:rFonts w:ascii="Calibri" w:hAnsi="Calibri"/>
          <w:b/>
          <w:i w:val="0"/>
          <w:color w:val="222222"/>
          <w:sz w:val="22"/>
        </w:rPr>
        <w:t>structural synergy</w:t>
      </w:r>
      <w:r>
        <w:rPr>
          <w:rFonts w:ascii="Calibri" w:hAnsi="Calibri"/>
          <w:b w:val="0"/>
          <w:i w:val="0"/>
          <w:color w:val="222222"/>
          <w:sz w:val="22"/>
        </w:rPr>
        <w:t>, provided integration respects business-model and site-level constraints.</w:t>
      </w:r>
    </w:p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3. Objective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The organisation seeks to: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Optimise the network and routing</w:t>
      </w:r>
      <w:r>
        <w:rPr>
          <w:rFonts w:ascii="Calibri" w:hAnsi="Calibri"/>
          <w:b w:val="0"/>
          <w:i w:val="0"/>
          <w:color w:val="222222"/>
          <w:sz w:val="22"/>
        </w:rPr>
        <w:t xml:space="preserve"> of both businesses; and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Evaluate and capture synergy</w:t>
      </w:r>
      <w:r>
        <w:rPr>
          <w:rFonts w:ascii="Calibri" w:hAnsi="Calibri"/>
          <w:b w:val="0"/>
          <w:i w:val="0"/>
          <w:color w:val="222222"/>
          <w:sz w:val="22"/>
        </w:rPr>
        <w:t xml:space="preserve"> in the middle-mile network of V-Trans and V-Xpress.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Explicitly excluded from this project:</w:t>
      </w:r>
      <w:r>
        <w:rPr>
          <w:rFonts w:ascii="Calibri" w:hAnsi="Calibri"/>
          <w:b w:val="0"/>
          <w:i w:val="0"/>
          <w:color w:val="222222"/>
          <w:sz w:val="22"/>
        </w:rPr>
        <w:t xml:space="preserve"> need-based scheduling and spot engagement. The focus is on the </w:t>
      </w:r>
      <w:r>
        <w:rPr>
          <w:rFonts w:ascii="Calibri" w:hAnsi="Calibri"/>
          <w:b/>
          <w:i w:val="0"/>
          <w:color w:val="222222"/>
          <w:sz w:val="22"/>
        </w:rPr>
        <w:t>structural network</w:t>
      </w:r>
      <w:r>
        <w:rPr>
          <w:rFonts w:ascii="Calibri" w:hAnsi="Calibri"/>
          <w:b w:val="0"/>
          <w:i w:val="0"/>
          <w:color w:val="222222"/>
          <w:sz w:val="22"/>
        </w:rPr>
        <w:t>—hubs, branches, fixed connections and feeder design—not tactical daily vehicle hiring.</w:t>
      </w:r>
    </w:p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4. Problem framing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The mandate comprises two related but non-identical problems: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4824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A. Network optimisation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Redesigning hubs, branches, line-haul and feeder routes for efficiency, cost and service under projected combined (and residual standalone) loads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B. Synergy evaluation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Identifying where co-location, shared connections and shared feeder design create value without damaging either vertical’s service promise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As of today, the two networks run </w:t>
      </w:r>
      <w:r>
        <w:rPr>
          <w:rFonts w:ascii="Calibri" w:hAnsi="Calibri"/>
          <w:b/>
          <w:i w:val="0"/>
          <w:color w:val="222222"/>
          <w:sz w:val="22"/>
        </w:rPr>
        <w:t>independently</w:t>
      </w:r>
      <w:r>
        <w:rPr>
          <w:rFonts w:ascii="Calibri" w:hAnsi="Calibri"/>
          <w:b w:val="0"/>
          <w:i w:val="0"/>
          <w:color w:val="222222"/>
          <w:sz w:val="22"/>
        </w:rPr>
        <w:t>. A full merger of middle-mile operations would yield benefits in principle; however, bringing both businesses onto the same physical sites and connections may be constrained by: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business-model requirements (PTL vs express; handling, cut-offs, SLA);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site suitability (space, access, compliance, landlord terms); and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connection / lane design differences.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Consequently, </w:t>
      </w:r>
      <w:r>
        <w:rPr>
          <w:rFonts w:ascii="Calibri" w:hAnsi="Calibri"/>
          <w:b/>
          <w:i w:val="0"/>
          <w:color w:val="222222"/>
          <w:sz w:val="22"/>
        </w:rPr>
        <w:t>network and route optimisation cannot be run credibly in isolation</w:t>
      </w:r>
      <w:r>
        <w:rPr>
          <w:rFonts w:ascii="Calibri" w:hAnsi="Calibri"/>
          <w:b w:val="0"/>
          <w:i w:val="0"/>
          <w:color w:val="222222"/>
          <w:sz w:val="22"/>
        </w:rPr>
        <w:t xml:space="preserve">. Meaningful optimisation becomes possible only after hub and branch footprints are </w:t>
      </w:r>
      <w:r>
        <w:rPr>
          <w:rFonts w:ascii="Calibri" w:hAnsi="Calibri"/>
          <w:b/>
          <w:i w:val="0"/>
          <w:color w:val="222222"/>
          <w:sz w:val="22"/>
        </w:rPr>
        <w:t>synchronised and aligned wherever feasible</w:t>
      </w:r>
      <w:r>
        <w:rPr>
          <w:rFonts w:ascii="Calibri" w:hAnsi="Calibri"/>
          <w:b w:val="0"/>
          <w:i w:val="0"/>
          <w:color w:val="222222"/>
          <w:sz w:val="22"/>
        </w:rPr>
        <w:t>. Non-aligned nodes must be treated as residual standalone capacity in the final design.</w:t>
      </w:r>
    </w:p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5. Guiding principles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Sequence before scale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Align physical nodes first; optimise combined routes thereafter.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Synergy with selectivity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Co-locate and combine only where operationally and commercially justified.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Preserve service identity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Express and PTL propositions must not be diluted by forced integration.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Evidence before relocation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Decisions on shifting sites must rest on load, connection and catchment analysis.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Exclude tactical noise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Spot and ad-hoc scheduling remain outside the optimisation scope.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Phased execution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Prefer staged, reversible moves over a big-bang network redesign.</w:t>
      </w:r>
    </w:p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6. Recommended phased approach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All project activities cannot—and should not—run concurrently. A step-wise programme is proposed as follows.</w:t>
      </w:r>
    </w:p>
    <w:p>
      <w:pPr>
        <w:spacing w:before="200"/>
      </w:pPr>
      <w:r>
        <w:rPr>
          <w:rFonts w:ascii="Calibri" w:hAnsi="Calibri"/>
          <w:b/>
          <w:i w:val="0"/>
          <w:color w:val="0F6C8C"/>
          <w:sz w:val="24"/>
        </w:rPr>
        <w:t>Phase 1 — Hub and branch alignment assessment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Objective:</w:t>
      </w:r>
      <w:r>
        <w:rPr>
          <w:rFonts w:ascii="Calibri" w:hAnsi="Calibri"/>
          <w:b w:val="0"/>
          <w:i w:val="0"/>
          <w:color w:val="222222"/>
          <w:sz w:val="22"/>
        </w:rPr>
        <w:t xml:space="preserve"> Establish a fact base of current locations, loads and connections for both entities, and identify where co-location / alignment is feasible.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Key activities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Map all hubs and branches of V-Trans and V-Xpress independently (city, site, role, capacity).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Map loads and middle-mile connections for each node.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Overlay both networks to identify: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- </w:t>
      </w:r>
      <w:r>
        <w:rPr>
          <w:rFonts w:ascii="Calibri" w:hAnsi="Calibri"/>
          <w:b/>
          <w:i w:val="0"/>
          <w:color w:val="222222"/>
          <w:sz w:val="22"/>
        </w:rPr>
        <w:t>Low-hanging opportunities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same city / nearby sites; quick co-location possible;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- </w:t>
      </w:r>
      <w:r>
        <w:rPr>
          <w:rFonts w:ascii="Calibri" w:hAnsi="Calibri"/>
          <w:b/>
          <w:i w:val="0"/>
          <w:color w:val="222222"/>
          <w:sz w:val="22"/>
        </w:rPr>
        <w:t>Medium-term opportunities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alignment possible after lease, layout or process changes;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- </w:t>
      </w:r>
      <w:r>
        <w:rPr>
          <w:rFonts w:ascii="Calibri" w:hAnsi="Calibri"/>
          <w:b/>
          <w:i w:val="0"/>
          <w:color w:val="222222"/>
          <w:sz w:val="22"/>
        </w:rPr>
        <w:t>Non-doable locations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constrained by business model, site, or connection design.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 xml:space="preserve">Where relevant, identify preferred branch locations using </w:t>
      </w:r>
      <w:r>
        <w:rPr>
          <w:rFonts w:ascii="Calibri" w:hAnsi="Calibri"/>
          <w:b/>
          <w:i w:val="0"/>
          <w:color w:val="222222"/>
          <w:sz w:val="22"/>
        </w:rPr>
        <w:t>centre-of-gravity</w:t>
      </w:r>
      <w:r>
        <w:rPr>
          <w:rFonts w:ascii="Calibri" w:hAnsi="Calibri"/>
          <w:b w:val="0"/>
          <w:i w:val="0"/>
          <w:color w:val="222222"/>
          <w:sz w:val="22"/>
        </w:rPr>
        <w:t xml:space="preserve"> analysis of pick-up and delivery volumes.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Output:</w:t>
      </w:r>
      <w:r>
        <w:rPr>
          <w:rFonts w:ascii="Calibri" w:hAnsi="Calibri"/>
          <w:b w:val="0"/>
          <w:i w:val="0"/>
          <w:color w:val="222222"/>
          <w:sz w:val="22"/>
        </w:rPr>
        <w:t xml:space="preserve"> Alignment opportunity matrix (doable / deferred / not feasible), with indicative benefit and constraint notes by location.</w:t>
      </w:r>
    </w:p>
    <w:p>
      <w:pPr>
        <w:spacing w:before="200"/>
      </w:pPr>
      <w:r>
        <w:rPr>
          <w:rFonts w:ascii="Calibri" w:hAnsi="Calibri"/>
          <w:b/>
          <w:i w:val="0"/>
          <w:color w:val="0F6C8C"/>
          <w:sz w:val="24"/>
        </w:rPr>
        <w:t>Phase 2 — Hub and branch alignment execution (interim window)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Objective:</w:t>
      </w:r>
      <w:r>
        <w:rPr>
          <w:rFonts w:ascii="Calibri" w:hAnsi="Calibri"/>
          <w:b w:val="0"/>
          <w:i w:val="0"/>
          <w:color w:val="222222"/>
          <w:sz w:val="22"/>
        </w:rPr>
        <w:t xml:space="preserve"> Physically align selected sites—especially short-term, low-hanging opportunities—before a full network optimisation is run.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Key activities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Execute co-location / site shifts for prioritised locations.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Stabilise operations at aligned sites (cut-offs, handling norms, space allocation between PTL and express where shared).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Maintain a live register of aligned vs non-aligned nodes.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Indicative duration:</w:t>
      </w:r>
      <w:r>
        <w:rPr>
          <w:rFonts w:ascii="Calibri" w:hAnsi="Calibri"/>
          <w:b w:val="0"/>
          <w:i w:val="0"/>
          <w:color w:val="222222"/>
          <w:sz w:val="22"/>
        </w:rPr>
        <w:t xml:space="preserve"> approximately </w:t>
      </w:r>
      <w:r>
        <w:rPr>
          <w:rFonts w:ascii="Calibri" w:hAnsi="Calibri"/>
          <w:b/>
          <w:i w:val="0"/>
          <w:color w:val="222222"/>
          <w:sz w:val="22"/>
        </w:rPr>
        <w:t>3 to 6 months</w:t>
      </w:r>
      <w:r>
        <w:rPr>
          <w:rFonts w:ascii="Calibri" w:hAnsi="Calibri"/>
          <w:b w:val="0"/>
          <w:i w:val="0"/>
          <w:color w:val="222222"/>
          <w:sz w:val="22"/>
        </w:rPr>
        <w:t>, depending on lease cycles and execution complexity.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Rationale:</w:t>
      </w:r>
      <w:r>
        <w:rPr>
          <w:rFonts w:ascii="Calibri" w:hAnsi="Calibri"/>
          <w:b w:val="0"/>
          <w:i w:val="0"/>
          <w:color w:val="222222"/>
          <w:sz w:val="22"/>
        </w:rPr>
        <w:t xml:space="preserve"> Running a combined network model on a footprint that is still in flux will produce unstable and non-implementable recommendations. An intermediate alignment window improves the quality of the subsequent optimisation.</w:t>
      </w:r>
    </w:p>
    <w:p>
      <w:pPr>
        <w:spacing w:before="200"/>
      </w:pPr>
      <w:r>
        <w:rPr>
          <w:rFonts w:ascii="Calibri" w:hAnsi="Calibri"/>
          <w:b/>
          <w:i w:val="0"/>
          <w:color w:val="0F6C8C"/>
          <w:sz w:val="24"/>
        </w:rPr>
        <w:t>Phase 3 — Combined middle-mile network optimisation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Objective:</w:t>
      </w:r>
      <w:r>
        <w:rPr>
          <w:rFonts w:ascii="Calibri" w:hAnsi="Calibri"/>
          <w:b w:val="0"/>
          <w:i w:val="0"/>
          <w:color w:val="222222"/>
          <w:sz w:val="22"/>
        </w:rPr>
        <w:t xml:space="preserve"> Optimise the middle-mile network on the </w:t>
      </w:r>
      <w:r>
        <w:rPr>
          <w:rFonts w:ascii="Calibri" w:hAnsi="Calibri"/>
          <w:b/>
          <w:i w:val="0"/>
          <w:color w:val="222222"/>
          <w:sz w:val="22"/>
        </w:rPr>
        <w:t>combined load</w:t>
      </w:r>
      <w:r>
        <w:rPr>
          <w:rFonts w:ascii="Calibri" w:hAnsi="Calibri"/>
          <w:b w:val="0"/>
          <w:i w:val="0"/>
          <w:color w:val="222222"/>
          <w:sz w:val="22"/>
        </w:rPr>
        <w:t xml:space="preserve"> of both businesses, once doable and non-doable hub alignments are clearly visible.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Key activities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Build a combined demand and connection view for aligned geography.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Optimise hub roles, line-haul routes and frequencies for the joint load.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 xml:space="preserve">Treat </w:t>
      </w:r>
      <w:r>
        <w:rPr>
          <w:rFonts w:ascii="Calibri" w:hAnsi="Calibri"/>
          <w:b/>
          <w:i w:val="0"/>
          <w:color w:val="222222"/>
          <w:sz w:val="22"/>
        </w:rPr>
        <w:t>non-aligned V-Xpress (and/or V-Trans) nodes separately</w:t>
      </w:r>
      <w:r>
        <w:rPr>
          <w:rFonts w:ascii="Calibri" w:hAnsi="Calibri"/>
          <w:b w:val="0"/>
          <w:i w:val="0"/>
          <w:color w:val="222222"/>
          <w:sz w:val="22"/>
        </w:rPr>
        <w:t xml:space="preserve"> in the final design so that residual standalone requirements are not forced into an invalid combined solution.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Stress-test service implications (transit time, cut-offs, handovers) for both verticals.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Output:</w:t>
      </w:r>
      <w:r>
        <w:rPr>
          <w:rFonts w:ascii="Calibri" w:hAnsi="Calibri"/>
          <w:b w:val="0"/>
          <w:i w:val="0"/>
          <w:color w:val="222222"/>
          <w:sz w:val="22"/>
        </w:rPr>
        <w:t xml:space="preserve"> Recommended middle-mile network design—combined where aligned; standalone overlays where not.</w:t>
      </w:r>
    </w:p>
    <w:p>
      <w:pPr>
        <w:spacing w:before="200"/>
      </w:pPr>
      <w:r>
        <w:rPr>
          <w:rFonts w:ascii="Calibri" w:hAnsi="Calibri"/>
          <w:b/>
          <w:i w:val="0"/>
          <w:color w:val="0F6C8C"/>
          <w:sz w:val="24"/>
        </w:rPr>
        <w:t>Phase 4 — Feeder route alignment and optimisation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Objective:</w:t>
      </w:r>
      <w:r>
        <w:rPr>
          <w:rFonts w:ascii="Calibri" w:hAnsi="Calibri"/>
          <w:b w:val="0"/>
          <w:i w:val="0"/>
          <w:color w:val="222222"/>
          <w:sz w:val="22"/>
        </w:rPr>
        <w:t xml:space="preserve"> As the final structural step, align and optimise feeder routes feeding the (re)designed hub–branch network.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Key activities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Redesign feeder circuits around aligned hubs/branches.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Eliminate duplicate feeder coverage where catchments overlap.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Confirm first-mile / last-mile interface impacts on service quality for both businesses.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Output:</w:t>
      </w:r>
      <w:r>
        <w:rPr>
          <w:rFonts w:ascii="Calibri" w:hAnsi="Calibri"/>
          <w:b w:val="0"/>
          <w:i w:val="0"/>
          <w:color w:val="222222"/>
          <w:sz w:val="22"/>
        </w:rPr>
        <w:t xml:space="preserve"> Feeder plan consistent with the optimised middle-mile backbone.</w:t>
      </w:r>
    </w:p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7. High-level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3216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3216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1. Assess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Independent mapping + co-location opportunity matrix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Clear list of doable / deferred / non-doable alignments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2. Align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3–6 month execution of short-term site alignments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Stabilised joint footprint for optimisation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3. Optimise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Combined middle-mile network design; residual nodes handled separately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Implementable joint + standalone network blueprint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4. Extend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Feeder route alignment and optimisation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End-to-end structural network synergy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8. Proposed methodology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4824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Suitability for this programme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Network design tools (e.g. Log-hub, LLamasoft / Coupa, IBM ILOG-class solvers)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Useful for refinement at a later stage once the aligned footprint and data model are stable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Structured manual / Excel-based analysis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Recommended for the first implementation cycle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, given current dual-network complexity, co-location constraints and the need for judgement on business-model fit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b/>
          <w:i w:val="0"/>
          <w:color w:val="222222"/>
          <w:sz w:val="22"/>
        </w:rPr>
        <w:t>Recommendation:</w:t>
      </w:r>
      <w:r>
        <w:rPr>
          <w:rFonts w:ascii="Calibri" w:hAnsi="Calibri"/>
          <w:b w:val="0"/>
          <w:i w:val="0"/>
          <w:color w:val="222222"/>
          <w:sz w:val="22"/>
        </w:rPr>
        <w:t xml:space="preserve"> Proceed with a </w:t>
      </w:r>
      <w:r>
        <w:rPr>
          <w:rFonts w:ascii="Calibri" w:hAnsi="Calibri"/>
          <w:b/>
          <w:i w:val="0"/>
          <w:color w:val="222222"/>
          <w:sz w:val="22"/>
        </w:rPr>
        <w:t>manual, analytically structured approach</w:t>
      </w:r>
      <w:r>
        <w:rPr>
          <w:rFonts w:ascii="Calibri" w:hAnsi="Calibri"/>
          <w:b w:val="0"/>
          <w:i w:val="0"/>
          <w:color w:val="222222"/>
          <w:sz w:val="22"/>
        </w:rPr>
        <w:t xml:space="preserve"> for Phase 1–3 in the first wave. Tool-based optimisation may be explored subsequently to improve precision and scenario testing once alignment decisions and data quality support a model-driven exercise.</w:t>
      </w:r>
    </w:p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9. Data and analytical requirements (indicative)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To execute the approach, the programme will require (at minimum):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Hub/branch master with city, site coordinates, role, capacity and lease/ownership status (both entities);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Middle-mile lane and connection matrix (origin–destination, frequency, vehicle type, utilisation);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Volume and shipment-profile data by node and lane (PTL vs express);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Service parameters (cut-offs, target transit, handling constraints);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Cost elements relevant to line-haul, hub handling and facility duplication;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City-level pick-up/delivery density for centre-of-gravity branch assessment.</w:t>
      </w:r>
    </w:p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10. Expected benefits (directional)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Subject to validation in Phases 1–3, the programme is expected to enable: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reduction in duplicate facility and connection cost in overlapping cities;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improved middle-mile vehicle utilisation on shared corridors;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clearer hub roles and fewer fragmented line-haul runs;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stronger East-zone design options through joint volume visibility (a shared weakness today);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a cleaner base for future tool-based optimisation.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Benefits should be quantified location-by-location during the alignment assessment and reconfirmed after the combined optimisation.</w:t>
      </w:r>
    </w:p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11. Risks and constraints to manage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 / constraint</w:t>
            </w:r>
          </w:p>
        </w:tc>
        <w:tc>
          <w:tcPr>
            <w:tcW w:type="dxa" w:w="4824"/>
            <w:shd w:fill="1B365D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Forced co-location harms express or PTL service identity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Apply selective synergy; retain standalone design where needed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Lease and site constraints delay alignment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Prioritise low-hanging sites; park non-doables explicitly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Optimising before alignment produces non-implementable plans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Enforce the Phase 1 → 2 → 3 sequence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Incomplete or inconsistent dual-network data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Invest in mapping quality before optimisation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Scope creep into spot / daily scheduling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Keep tactical hiring outside project boundaries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12. Decision points for leadership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Leadership guidance is sought on the following: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Acceptance of the phased sequence</w:t>
      </w:r>
      <w:r>
        <w:rPr>
          <w:rFonts w:ascii="Calibri" w:hAnsi="Calibri"/>
          <w:b w:val="0"/>
          <w:i w:val="0"/>
          <w:color w:val="222222"/>
          <w:sz w:val="22"/>
        </w:rPr>
        <w:t xml:space="preserve"> (assess → align → optimise → feeder), rather than a single-step joint optimisation.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Mandate to execute short-term co-locations</w:t>
      </w:r>
      <w:r>
        <w:rPr>
          <w:rFonts w:ascii="Calibri" w:hAnsi="Calibri"/>
          <w:b w:val="0"/>
          <w:i w:val="0"/>
          <w:color w:val="222222"/>
          <w:sz w:val="22"/>
        </w:rPr>
        <w:t xml:space="preserve"> during the 3–6 month interim window where the opportunity matrix supports it.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Confirmation that spot/scheduling optimisation remains out of scope</w:t>
      </w:r>
      <w:r>
        <w:rPr>
          <w:rFonts w:ascii="Calibri" w:hAnsi="Calibri"/>
          <w:b w:val="0"/>
          <w:i w:val="0"/>
          <w:color w:val="222222"/>
          <w:sz w:val="22"/>
        </w:rPr>
        <w:t xml:space="preserve"> for this project.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Agreement to commence with a manual analytical methodology</w:t>
      </w:r>
      <w:r>
        <w:rPr>
          <w:rFonts w:ascii="Calibri" w:hAnsi="Calibri"/>
          <w:b w:val="0"/>
          <w:i w:val="0"/>
          <w:color w:val="222222"/>
          <w:sz w:val="22"/>
        </w:rPr>
        <w:t>, with tool-based enhancement as a subsequent phase.</w:t>
      </w:r>
    </w:p>
    <w:p>
      <w:pPr>
        <w:pStyle w:val="ListNumber"/>
      </w:pPr>
      <w:r>
        <w:rPr>
          <w:rFonts w:ascii="Calibri" w:hAnsi="Calibri"/>
          <w:b/>
          <w:i w:val="0"/>
          <w:color w:val="222222"/>
          <w:sz w:val="22"/>
        </w:rPr>
        <w:t>Nomination of a joint steering group</w:t>
      </w:r>
      <w:r>
        <w:rPr>
          <w:rFonts w:ascii="Calibri" w:hAnsi="Calibri"/>
          <w:b w:val="0"/>
          <w:i w:val="0"/>
          <w:color w:val="222222"/>
          <w:sz w:val="22"/>
        </w:rPr>
        <w:t xml:space="preserve"> (Operations / Network from both verticals + Finance) to approve doable / non-doable classifications.</w:t>
      </w:r>
    </w:p>
    <w:p>
      <w:pPr>
        <w:spacing w:before="240"/>
      </w:pPr>
      <w:r>
        <w:rPr>
          <w:rFonts w:ascii="Calibri" w:hAnsi="Calibri"/>
          <w:b/>
          <w:i w:val="0"/>
          <w:color w:val="1B365D"/>
          <w:sz w:val="26"/>
        </w:rPr>
        <w:t>13. Conclusion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V-Trans and V-Xpress share geography more than they share middle-mile design. That overlap is the opportunity; the difference in business model is the constraint. The correct response is not an immediate full merger of networks, nor independent optimisation of two siloed systems. It is a </w:t>
      </w:r>
      <w:r>
        <w:rPr>
          <w:rFonts w:ascii="Calibri" w:hAnsi="Calibri"/>
          <w:b/>
          <w:i w:val="0"/>
          <w:color w:val="222222"/>
          <w:sz w:val="22"/>
        </w:rPr>
        <w:t>disciplined, phased programme</w:t>
      </w:r>
      <w:r>
        <w:rPr>
          <w:rFonts w:ascii="Calibri" w:hAnsi="Calibri"/>
          <w:b w:val="0"/>
          <w:i w:val="0"/>
          <w:color w:val="222222"/>
          <w:sz w:val="22"/>
        </w:rPr>
        <w:t>: align hubs and branches where feasible, execute the practicable co-locations, then optimise the combined middle-mile—and finally feeders—while explicitly carrying non-aligned nodes as residual design.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This sequence maximises synergy where it is real, protects service propositions where integration is not viable, and produces a network plan that can actually be implemented.</w:t>
      </w:r>
    </w:p>
    <w:p>
      <w:r>
        <w:rPr>
          <w:rFonts w:ascii="Calibri" w:hAnsi="Calibri"/>
          <w:b w:val="0"/>
          <w:i/>
          <w:color w:val="0F6C8C"/>
          <w:sz w:val="20"/>
        </w:rPr>
        <w:t>End of discussion note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