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eastAsia="Calibri"/>
          <w:b/>
          <w:i w:val="0"/>
          <w:color w:val="1B365D"/>
          <w:sz w:val="40"/>
        </w:rPr>
        <w:t>Way Forward for Improvement</w:t>
      </w:r>
    </w:p>
    <w:p>
      <w:pPr>
        <w:spacing w:after="160"/>
      </w:pPr>
      <w:r>
        <w:rPr>
          <w:rFonts w:ascii="Calibri" w:hAnsi="Calibri" w:eastAsia="Calibri"/>
          <w:b/>
          <w:i w:val="0"/>
          <w:color w:val="0F6C8C"/>
          <w:sz w:val="24"/>
        </w:rPr>
        <w:t>Unlocking V-Trans PTL Share in a Large Untapped Market</w:t>
      </w:r>
    </w:p>
    <w:p>
      <w:r>
        <w:rPr>
          <w:rFonts w:ascii="Calibri" w:hAnsi="Calibri" w:eastAsia="Calibri"/>
          <w:b w:val="0"/>
          <w:i/>
          <w:color w:val="5B6B7C"/>
          <w:sz w:val="20"/>
        </w:rPr>
        <w:t>Prepared from the diagnosis in “Large Untapped Market Opportunity.”</w:t>
      </w:r>
    </w:p>
    <w:p>
      <w:pPr>
        <w:spacing w:before="280" w:after="120"/>
      </w:pPr>
      <w:r>
        <w:rPr>
          <w:rFonts w:ascii="Calibri" w:hAnsi="Calibri" w:eastAsia="Calibri"/>
          <w:b/>
          <w:i w:val="0"/>
          <w:color w:val="1B365D"/>
          <w:sz w:val="28"/>
        </w:rPr>
        <w:t>1. Context from the opportunity diagnosis</w:t>
      </w:r>
    </w:p>
    <w:p>
      <w:pPr>
        <w:spacing w:after="120" w:line="276" w:lineRule="auto"/>
      </w:pPr>
      <w:r>
        <w:rPr>
          <w:rFonts w:ascii="Calibri" w:hAnsi="Calibri" w:eastAsia="Calibri"/>
          <w:b w:val="0"/>
          <w:i w:val="0"/>
          <w:color w:val="1A2332"/>
          <w:sz w:val="22"/>
        </w:rPr>
        <w:t>The organised PTL market is about 101,000 MT (excluding Goa &amp; Konkan), with an estimated 90,000 MT unorganised market (excluding intra-state movement). V-Trans currently moves about 4,300 MT — roughly 4% organised share and ~2% of total intra-state PTL. Competitors such as ACPL, VRL, TCI, ARC and OM hold an edge through service quality and network depth, not price alone. Reach to customers is about one-sixth of ACPL and less than half of VRL.</w:t>
      </w:r>
    </w:p>
    <w:p>
      <w:pPr>
        <w:spacing w:after="120" w:line="276" w:lineRule="auto"/>
      </w:pPr>
      <w:r>
        <w:rPr>
          <w:rFonts w:ascii="Calibri" w:hAnsi="Calibri" w:eastAsia="Calibri"/>
          <w:b w:val="0"/>
          <w:i w:val="0"/>
          <w:color w:val="1A2332"/>
          <w:sz w:val="22"/>
        </w:rPr>
        <w:t>Growth is constrained by five reinforcing gaps: weak new-customer conversion; low share of wallet from existing accounts; sales time lost to operations; weak CRM/follow-up; and service performance (OTD ~55–60% vs desired 85%) amplified by warehouse and connectivity issues. In several branches/franchisees, FTL is used to bridge targets while PTL growth stays thin.</w:t>
      </w:r>
    </w:p>
    <w:p>
      <w:pPr>
        <w:spacing w:before="280" w:after="120"/>
      </w:pPr>
      <w:r>
        <w:rPr>
          <w:rFonts w:ascii="Calibri" w:hAnsi="Calibri" w:eastAsia="Calibri"/>
          <w:b/>
          <w:i w:val="0"/>
          <w:color w:val="1B365D"/>
          <w:sz w:val="28"/>
        </w:rPr>
        <w:t>2. Strategic intent</w:t>
      </w:r>
    </w:p>
    <w:p>
      <w:pPr>
        <w:spacing w:after="120" w:line="276" w:lineRule="auto"/>
      </w:pPr>
      <w:r>
        <w:rPr>
          <w:rFonts w:ascii="Calibri" w:hAnsi="Calibri" w:eastAsia="Calibri"/>
          <w:b w:val="0"/>
          <w:i w:val="0"/>
          <w:color w:val="1A2332"/>
          <w:sz w:val="22"/>
        </w:rPr>
        <w:t>Win PTL share through reliability and reach—not discounting. Raise on-time delivery toward 85%, expand customer reach and conversion, deepen share of wallet with existing accounts, and protect sales time for market development. Treat FTL as a supplement, not a substitute for PTL growth.</w:t>
      </w:r>
    </w:p>
    <w:p>
      <w:pPr>
        <w:spacing w:after="120" w:line="276" w:lineRule="auto"/>
      </w:pPr>
      <w:r>
        <w:rPr>
          <w:rFonts w:ascii="Calibri" w:hAnsi="Calibri" w:eastAsia="Calibri"/>
          <w:b w:val="0"/>
          <w:i w:val="0"/>
          <w:color w:val="1A2332"/>
          <w:sz w:val="22"/>
        </w:rPr>
        <w:t>Outcome to aim for: a measurable lift in PTL tonnage and organised market share, driven by higher OTD, denser route/branch coverage on priority lanes, and a disciplined sales–CRM engine.</w:t>
      </w:r>
    </w:p>
    <w:p>
      <w:pPr>
        <w:spacing w:before="280" w:after="120"/>
      </w:pPr>
      <w:r>
        <w:rPr>
          <w:rFonts w:ascii="Calibri" w:hAnsi="Calibri" w:eastAsia="Calibri"/>
          <w:b/>
          <w:i w:val="0"/>
          <w:color w:val="1B365D"/>
          <w:sz w:val="28"/>
        </w:rPr>
        <w:t>3. Pillar 1 — Fix service performance (non-negotiable growth enabler)</w:t>
      </w:r>
    </w:p>
    <w:p>
      <w:pPr>
        <w:spacing w:after="120" w:line="276" w:lineRule="auto"/>
      </w:pPr>
      <w:r>
        <w:rPr>
          <w:rFonts w:ascii="Calibri" w:hAnsi="Calibri" w:eastAsia="Calibri"/>
          <w:b w:val="0"/>
          <w:i w:val="0"/>
          <w:color w:val="1A2332"/>
          <w:sz w:val="22"/>
        </w:rPr>
        <w:t>Service failure is the largest barrier to retention and new-customer conversion. Price cannot compensate for low OTD, high TAT, holding, last-mile delay and weak connectivity.</w:t>
      </w:r>
    </w:p>
    <w:p>
      <w:pPr>
        <w:spacing w:before="200" w:after="80"/>
      </w:pPr>
      <w:r>
        <w:rPr>
          <w:rFonts w:ascii="Calibri" w:hAnsi="Calibri" w:eastAsia="Calibri"/>
          <w:b/>
          <w:i w:val="0"/>
          <w:color w:val="0F6C8C"/>
          <w:sz w:val="24"/>
        </w:rPr>
        <w:t>Actions</w:t>
      </w:r>
    </w:p>
    <w:p>
      <w:pPr>
        <w:pStyle w:val="ListBullet"/>
        <w:spacing w:after="60"/>
      </w:pPr>
      <w:r>
        <w:rPr>
          <w:rFonts w:ascii="Calibri" w:hAnsi="Calibri" w:eastAsia="Calibri"/>
          <w:b w:val="0"/>
          <w:i w:val="0"/>
          <w:color w:val="1A2332"/>
          <w:sz w:val="22"/>
        </w:rPr>
        <w:t>Set a branch-level OTD target ladder toward 85% (e.g. 60% → 70% → 80% → 85%), with weekly review of OTD, TAT, holding and last-mile delay by lane.</w:t>
      </w:r>
    </w:p>
    <w:p>
      <w:pPr>
        <w:pStyle w:val="ListBullet"/>
        <w:spacing w:after="60"/>
      </w:pPr>
      <w:r>
        <w:rPr>
          <w:rFonts w:ascii="Calibri" w:hAnsi="Calibri" w:eastAsia="Calibri"/>
          <w:b w:val="0"/>
          <w:i w:val="0"/>
          <w:color w:val="1A2332"/>
          <w:sz w:val="22"/>
        </w:rPr>
        <w:t>Stabilise priority PTL lanes first (highest volume / highest competitive intensity), with defined cut-offs, departure discipline and hub handoff SLAs.</w:t>
      </w:r>
    </w:p>
    <w:p>
      <w:pPr>
        <w:pStyle w:val="ListBullet"/>
        <w:spacing w:after="60"/>
      </w:pPr>
      <w:r>
        <w:rPr>
          <w:rFonts w:ascii="Calibri" w:hAnsi="Calibri" w:eastAsia="Calibri"/>
          <w:b w:val="0"/>
          <w:i w:val="0"/>
          <w:color w:val="1A2332"/>
          <w:sz w:val="22"/>
        </w:rPr>
        <w:t>Close warehouse and handling leaks: enforce shipment segregation, stop mixed-material loading where it causes delay, and assign clear ownership for loading readiness.</w:t>
      </w:r>
    </w:p>
    <w:p>
      <w:pPr>
        <w:pStyle w:val="ListBullet"/>
        <w:spacing w:after="60"/>
      </w:pPr>
      <w:r>
        <w:rPr>
          <w:rFonts w:ascii="Calibri" w:hAnsi="Calibri" w:eastAsia="Calibri"/>
          <w:b w:val="0"/>
          <w:i w:val="0"/>
          <w:color w:val="1A2332"/>
          <w:sz w:val="22"/>
        </w:rPr>
        <w:t>Improve transshipment coordination between origin, hub and destination with a single visibility trail for held/delayed shipments.</w:t>
      </w:r>
    </w:p>
    <w:p>
      <w:pPr>
        <w:pStyle w:val="ListBullet"/>
        <w:spacing w:after="60"/>
      </w:pPr>
      <w:r>
        <w:rPr>
          <w:rFonts w:ascii="Calibri" w:hAnsi="Calibri" w:eastAsia="Calibri"/>
          <w:b w:val="0"/>
          <w:i w:val="0"/>
          <w:color w:val="1A2332"/>
          <w:sz w:val="22"/>
        </w:rPr>
        <w:t>Publish a simple “service promise” pack to sales (lane OTD, expected TAT) so market commitments match operating reality.</w:t>
      </w:r>
    </w:p>
    <w:p>
      <w:pPr>
        <w:spacing w:after="120" w:line="276" w:lineRule="auto"/>
      </w:pPr>
      <w:r>
        <w:rPr>
          <w:rFonts w:ascii="Calibri" w:hAnsi="Calibri" w:eastAsia="Calibri"/>
          <w:b w:val="0"/>
          <w:i w:val="0"/>
          <w:color w:val="1A2332"/>
          <w:sz w:val="22"/>
        </w:rPr>
        <w:t xml:space="preserve">Immediate KPIs: </w:t>
      </w:r>
    </w:p>
    <w:p>
      <w:pPr>
        <w:pStyle w:val="ListBullet"/>
        <w:spacing w:after="60"/>
      </w:pPr>
      <w:r>
        <w:rPr>
          <w:rFonts w:ascii="Calibri" w:hAnsi="Calibri" w:eastAsia="Calibri"/>
          <w:b w:val="0"/>
          <w:i w:val="0"/>
          <w:color w:val="1A2332"/>
          <w:sz w:val="22"/>
        </w:rPr>
        <w:t>OTD %, average TAT, shipments held &gt;X hours, last-mile delay rate, delay-related complaints/claims.</w:t>
      </w:r>
    </w:p>
    <w:p>
      <w:pPr>
        <w:spacing w:before="280" w:after="120"/>
      </w:pPr>
      <w:r>
        <w:rPr>
          <w:rFonts w:ascii="Calibri" w:hAnsi="Calibri" w:eastAsia="Calibri"/>
          <w:b/>
          <w:i w:val="0"/>
          <w:color w:val="1B365D"/>
          <w:sz w:val="28"/>
        </w:rPr>
        <w:t>4. Pillar 2 — Separate sales effort from branch operations</w:t>
      </w:r>
    </w:p>
    <w:p>
      <w:pPr>
        <w:spacing w:after="120" w:line="276" w:lineRule="auto"/>
      </w:pPr>
      <w:r>
        <w:rPr>
          <w:rFonts w:ascii="Calibri" w:hAnsi="Calibri" w:eastAsia="Calibri"/>
          <w:b w:val="0"/>
          <w:i w:val="0"/>
          <w:color w:val="1A2332"/>
          <w:sz w:val="22"/>
        </w:rPr>
        <w:t>Branch managers and salespersons currently lose selling time to booking, loading and unloading. That starves market visits and follow-up.</w:t>
      </w:r>
    </w:p>
    <w:p>
      <w:pPr>
        <w:spacing w:before="200" w:after="80"/>
      </w:pPr>
      <w:r>
        <w:rPr>
          <w:rFonts w:ascii="Calibri" w:hAnsi="Calibri" w:eastAsia="Calibri"/>
          <w:b/>
          <w:i w:val="0"/>
          <w:color w:val="0F6C8C"/>
          <w:sz w:val="24"/>
        </w:rPr>
        <w:t>Actions</w:t>
      </w:r>
    </w:p>
    <w:p>
      <w:pPr>
        <w:pStyle w:val="ListBullet"/>
        <w:spacing w:after="60"/>
      </w:pPr>
      <w:r>
        <w:rPr>
          <w:rFonts w:ascii="Calibri" w:hAnsi="Calibri" w:eastAsia="Calibri"/>
          <w:b w:val="0"/>
          <w:i w:val="0"/>
          <w:color w:val="1A2332"/>
          <w:sz w:val="22"/>
        </w:rPr>
        <w:t>Ring-fence sales hours: define protected daily/weekly time for customer visits and follow-up; operations tasks must not consume that block by default.</w:t>
      </w:r>
    </w:p>
    <w:p>
      <w:pPr>
        <w:pStyle w:val="ListBullet"/>
        <w:spacing w:after="60"/>
      </w:pPr>
      <w:r>
        <w:rPr>
          <w:rFonts w:ascii="Calibri" w:hAnsi="Calibri" w:eastAsia="Calibri"/>
          <w:b w:val="0"/>
          <w:i w:val="0"/>
          <w:color w:val="1A2332"/>
          <w:sz w:val="22"/>
        </w:rPr>
        <w:t>Create an ops backfill model at high-volume branches (dedicated booking/loading support or rostered ops cover) so sales is not the default ops buffer.</w:t>
      </w:r>
    </w:p>
    <w:p>
      <w:pPr>
        <w:pStyle w:val="ListBullet"/>
        <w:spacing w:after="60"/>
      </w:pPr>
      <w:r>
        <w:rPr>
          <w:rFonts w:ascii="Calibri" w:hAnsi="Calibri" w:eastAsia="Calibri"/>
          <w:b w:val="0"/>
          <w:i w:val="0"/>
          <w:color w:val="1A2332"/>
          <w:sz w:val="22"/>
        </w:rPr>
        <w:t>Franchisee operating rule: franchise owners manage relationship accounts; salespersons own new-logo and share-of-wallet targets with visit and conversion dashboards.</w:t>
      </w:r>
    </w:p>
    <w:p>
      <w:pPr>
        <w:pStyle w:val="ListBullet"/>
        <w:spacing w:after="60"/>
      </w:pPr>
      <w:r>
        <w:rPr>
          <w:rFonts w:ascii="Calibri" w:hAnsi="Calibri" w:eastAsia="Calibri"/>
          <w:b w:val="0"/>
          <w:i w:val="0"/>
          <w:color w:val="1A2332"/>
          <w:sz w:val="22"/>
        </w:rPr>
        <w:t>Stop using FTL as the quiet target filler. Track PTL and FTL separately; branch scorecards must show PTL growth even if overall tonnage is met via FTL.</w:t>
      </w:r>
    </w:p>
    <w:p>
      <w:pPr>
        <w:pStyle w:val="ListBullet"/>
        <w:spacing w:after="60"/>
      </w:pPr>
      <w:r>
        <w:rPr>
          <w:rFonts w:ascii="Calibri" w:hAnsi="Calibri" w:eastAsia="Calibri"/>
          <w:b w:val="0"/>
          <w:i w:val="0"/>
          <w:color w:val="1A2332"/>
          <w:sz w:val="22"/>
        </w:rPr>
        <w:t>Immediate KPIs: productive sales hours/week, visits completed, new accounts opened, PTL vs FTL mix vs target.</w:t>
      </w:r>
    </w:p>
    <w:p>
      <w:pPr>
        <w:spacing w:before="280" w:after="120"/>
      </w:pPr>
      <w:r>
        <w:rPr>
          <w:rFonts w:ascii="Calibri" w:hAnsi="Calibri" w:eastAsia="Calibri"/>
          <w:b/>
          <w:i w:val="0"/>
          <w:color w:val="1B365D"/>
          <w:sz w:val="28"/>
        </w:rPr>
        <w:t>5. Pillar 3 — Rebuild new-customer development and conversion</w:t>
      </w:r>
    </w:p>
    <w:p>
      <w:pPr>
        <w:spacing w:after="120" w:line="276" w:lineRule="auto"/>
      </w:pPr>
      <w:r>
        <w:rPr>
          <w:rFonts w:ascii="Calibri" w:hAnsi="Calibri" w:eastAsia="Calibri"/>
          <w:b w:val="0"/>
          <w:i w:val="0"/>
          <w:color w:val="1A2332"/>
          <w:sz w:val="22"/>
        </w:rPr>
        <w:t>Visits are happening (often 3–4 customers/day) but contract conversion remains low. Reach is far below ACPL/VRL. The gap is systematic prospecting, qualification and closing—not activity volume alone.</w:t>
      </w:r>
    </w:p>
    <w:p>
      <w:pPr>
        <w:spacing w:before="200" w:after="80"/>
      </w:pPr>
      <w:r>
        <w:rPr>
          <w:rFonts w:ascii="Calibri" w:hAnsi="Calibri" w:eastAsia="Calibri"/>
          <w:b/>
          <w:i w:val="0"/>
          <w:color w:val="0F6C8C"/>
          <w:sz w:val="24"/>
        </w:rPr>
        <w:t>Actions</w:t>
      </w:r>
    </w:p>
    <w:p>
      <w:pPr>
        <w:pStyle w:val="ListBullet"/>
        <w:spacing w:after="60"/>
      </w:pPr>
      <w:r>
        <w:rPr>
          <w:rFonts w:ascii="Calibri" w:hAnsi="Calibri" w:eastAsia="Calibri"/>
          <w:b w:val="0"/>
          <w:i w:val="0"/>
          <w:color w:val="1A2332"/>
          <w:sz w:val="22"/>
        </w:rPr>
        <w:t>Build a named prospect universe by branch: organised + high-potential unorganised shippers on priority lanes, sized against competitor presence.</w:t>
      </w:r>
    </w:p>
    <w:p>
      <w:pPr>
        <w:pStyle w:val="ListBullet"/>
        <w:spacing w:after="60"/>
      </w:pPr>
      <w:r>
        <w:rPr>
          <w:rFonts w:ascii="Calibri" w:hAnsi="Calibri" w:eastAsia="Calibri"/>
          <w:b w:val="0"/>
          <w:i w:val="0"/>
          <w:color w:val="1A2332"/>
          <w:sz w:val="22"/>
        </w:rPr>
        <w:t>Install a conversion funnel: visit → qualified opportunity → trial booking → contract → 90-day retention, with stage owners and weekly funnel review.</w:t>
      </w:r>
    </w:p>
    <w:p>
      <w:pPr>
        <w:pStyle w:val="ListBullet"/>
        <w:spacing w:after="60"/>
      </w:pPr>
      <w:r>
        <w:rPr>
          <w:rFonts w:ascii="Calibri" w:hAnsi="Calibri" w:eastAsia="Calibri"/>
          <w:b w:val="0"/>
          <w:i w:val="0"/>
          <w:color w:val="1A2332"/>
          <w:sz w:val="22"/>
        </w:rPr>
        <w:t>Raise reach deliberately: set branch reach targets that close the gap vs ACPL/VRL over a defined horizon (pin codes / industrial clusters / dealer networks).</w:t>
      </w:r>
    </w:p>
    <w:p>
      <w:pPr>
        <w:pStyle w:val="ListBullet"/>
        <w:spacing w:after="60"/>
      </w:pPr>
      <w:r>
        <w:rPr>
          <w:rFonts w:ascii="Calibri" w:hAnsi="Calibri" w:eastAsia="Calibri"/>
          <w:b w:val="0"/>
          <w:i w:val="0"/>
          <w:color w:val="1A2332"/>
          <w:sz w:val="22"/>
        </w:rPr>
        <w:t>Standardise the pitch around service reliability and network fit, not rate wars; use lane-level OTD evidence once Pillar 1 improves.</w:t>
      </w:r>
    </w:p>
    <w:p>
      <w:pPr>
        <w:pStyle w:val="ListBullet"/>
        <w:spacing w:after="60"/>
      </w:pPr>
      <w:r>
        <w:rPr>
          <w:rFonts w:ascii="Calibri" w:hAnsi="Calibri" w:eastAsia="Calibri"/>
          <w:b w:val="0"/>
          <w:i w:val="0"/>
          <w:color w:val="1A2332"/>
          <w:sz w:val="22"/>
        </w:rPr>
        <w:t>Trial-to-contract playbook: first 3–5 shipments hand-held (POD, proactive status, issue escalation) to convert trials into stickiness.</w:t>
      </w:r>
    </w:p>
    <w:p>
      <w:pPr>
        <w:pStyle w:val="ListBullet"/>
        <w:spacing w:after="60"/>
      </w:pPr>
      <w:r>
        <w:rPr>
          <w:rFonts w:ascii="Calibri" w:hAnsi="Calibri" w:eastAsia="Calibri"/>
          <w:b w:val="0"/>
          <w:i w:val="0"/>
          <w:color w:val="1A2332"/>
          <w:sz w:val="22"/>
        </w:rPr>
        <w:t>Immediate KPIs: prospects in pipeline, visit-to-trial %, trial-to-contract %, new PTL MT from new logos, reach vs competitor baseline.</w:t>
      </w:r>
    </w:p>
    <w:p>
      <w:pPr>
        <w:spacing w:before="280" w:after="120"/>
      </w:pPr>
      <w:r>
        <w:rPr>
          <w:rFonts w:ascii="Calibri" w:hAnsi="Calibri" w:eastAsia="Calibri"/>
          <w:b/>
          <w:i w:val="0"/>
          <w:color w:val="1B365D"/>
          <w:sz w:val="28"/>
        </w:rPr>
        <w:t>6. Pillar 4 — Expand share of wallet with existing customers</w:t>
      </w:r>
    </w:p>
    <w:p>
      <w:pPr>
        <w:spacing w:after="120" w:line="276" w:lineRule="auto"/>
      </w:pPr>
      <w:r>
        <w:rPr>
          <w:rFonts w:ascii="Calibri" w:hAnsi="Calibri" w:eastAsia="Calibri"/>
          <w:b w:val="0"/>
          <w:i w:val="0"/>
          <w:color w:val="1A2332"/>
          <w:sz w:val="22"/>
        </w:rPr>
        <w:t>Many accounts give V-Trans only 10–15% of their freight. Winning incremental share from known customers is faster and cheaper than pure new acquisition.</w:t>
      </w:r>
    </w:p>
    <w:p>
      <w:pPr>
        <w:spacing w:before="200" w:after="80"/>
      </w:pPr>
      <w:r>
        <w:rPr>
          <w:rFonts w:ascii="Calibri" w:hAnsi="Calibri" w:eastAsia="Calibri"/>
          <w:b/>
          <w:i w:val="0"/>
          <w:color w:val="0F6C8C"/>
          <w:sz w:val="24"/>
        </w:rPr>
        <w:t>Actions</w:t>
      </w:r>
    </w:p>
    <w:p>
      <w:pPr>
        <w:pStyle w:val="ListBullet"/>
        <w:spacing w:after="60"/>
      </w:pPr>
      <w:r>
        <w:rPr>
          <w:rFonts w:ascii="Calibri" w:hAnsi="Calibri" w:eastAsia="Calibri"/>
          <w:b w:val="0"/>
          <w:i w:val="0"/>
          <w:color w:val="1A2332"/>
          <w:sz w:val="22"/>
        </w:rPr>
        <w:t>Map share of wallet for top accounts per branch (V-Trans volume vs estimated total freight).</w:t>
      </w:r>
    </w:p>
    <w:p>
      <w:pPr>
        <w:pStyle w:val="ListBullet"/>
        <w:spacing w:after="60"/>
      </w:pPr>
      <w:r>
        <w:rPr>
          <w:rFonts w:ascii="Calibri" w:hAnsi="Calibri" w:eastAsia="Calibri"/>
          <w:b w:val="0"/>
          <w:i w:val="0"/>
          <w:color w:val="1A2332"/>
          <w:sz w:val="22"/>
        </w:rPr>
        <w:t>Run account-growth plans for the top 20–30 customers/branch: missing lanes, service gaps, competitor lanes, and a 90-day volume-upside target.</w:t>
      </w:r>
    </w:p>
    <w:p>
      <w:pPr>
        <w:pStyle w:val="ListBullet"/>
        <w:spacing w:after="60"/>
      </w:pPr>
      <w:r>
        <w:rPr>
          <w:rFonts w:ascii="Calibri" w:hAnsi="Calibri" w:eastAsia="Calibri"/>
          <w:b w:val="0"/>
          <w:i w:val="0"/>
          <w:color w:val="1A2332"/>
          <w:sz w:val="22"/>
        </w:rPr>
        <w:t>Introduce structured BIC / key-account cadence (weekly/fortnightly) covering performance, pending issues and next-lane opportunities.</w:t>
      </w:r>
    </w:p>
    <w:p>
      <w:pPr>
        <w:pStyle w:val="ListBullet"/>
        <w:spacing w:after="60"/>
      </w:pPr>
      <w:r>
        <w:rPr>
          <w:rFonts w:ascii="Calibri" w:hAnsi="Calibri" w:eastAsia="Calibri"/>
          <w:b w:val="0"/>
          <w:i w:val="0"/>
          <w:color w:val="1A2332"/>
          <w:sz w:val="22"/>
        </w:rPr>
        <w:t>Fix relationship hygiene: timely responses, proper communication, consistent LR/POD sharing—stop avoidable churn on already-won accounts.</w:t>
      </w:r>
    </w:p>
    <w:p>
      <w:pPr>
        <w:pStyle w:val="ListBullet"/>
        <w:spacing w:after="60"/>
      </w:pPr>
      <w:r>
        <w:rPr>
          <w:rFonts w:ascii="Calibri" w:hAnsi="Calibri" w:eastAsia="Calibri"/>
          <w:b w:val="0"/>
          <w:i w:val="0"/>
          <w:color w:val="1A2332"/>
          <w:sz w:val="22"/>
        </w:rPr>
        <w:t>Offer lane-fill and multi-destination packages where network allows, so customers consolidate more volume with V-Trans.</w:t>
      </w:r>
    </w:p>
    <w:p>
      <w:pPr>
        <w:pStyle w:val="ListBullet"/>
        <w:spacing w:after="60"/>
      </w:pPr>
      <w:r>
        <w:rPr>
          <w:rFonts w:ascii="Calibri" w:hAnsi="Calibri" w:eastAsia="Calibri"/>
          <w:b w:val="0"/>
          <w:i w:val="0"/>
          <w:color w:val="1A2332"/>
          <w:sz w:val="22"/>
        </w:rPr>
        <w:t>Immediate KPIs: share of wallet %, repeat booking rate, revenue/MT from existing base, top-account retention, complaint closure time.</w:t>
      </w:r>
    </w:p>
    <w:p>
      <w:pPr>
        <w:spacing w:before="280" w:after="120"/>
      </w:pPr>
      <w:r>
        <w:rPr>
          <w:rFonts w:ascii="Calibri" w:hAnsi="Calibri" w:eastAsia="Calibri"/>
          <w:b/>
          <w:i w:val="0"/>
          <w:color w:val="1B365D"/>
          <w:sz w:val="28"/>
        </w:rPr>
        <w:t>7. Pillar 5 — Strengthen network and customer engagement where competitors win</w:t>
      </w:r>
    </w:p>
    <w:p>
      <w:pPr>
        <w:spacing w:after="120" w:line="276" w:lineRule="auto"/>
      </w:pPr>
      <w:r>
        <w:rPr>
          <w:rFonts w:ascii="Calibri" w:hAnsi="Calibri" w:eastAsia="Calibri"/>
          <w:b w:val="0"/>
          <w:i w:val="0"/>
          <w:color w:val="1A2332"/>
          <w:sz w:val="22"/>
        </w:rPr>
        <w:t>Competitors win through stronger route coverage, branch connectivity and engagement. V-Trans cannot close the market-share gap with price alone.</w:t>
      </w:r>
    </w:p>
    <w:p>
      <w:pPr>
        <w:spacing w:before="200" w:after="80"/>
      </w:pPr>
      <w:r>
        <w:rPr>
          <w:rFonts w:ascii="Calibri" w:hAnsi="Calibri" w:eastAsia="Calibri"/>
          <w:b/>
          <w:i w:val="0"/>
          <w:color w:val="0F6C8C"/>
          <w:sz w:val="24"/>
        </w:rPr>
        <w:t>Actions</w:t>
      </w:r>
    </w:p>
    <w:p>
      <w:pPr>
        <w:pStyle w:val="ListBullet"/>
        <w:spacing w:after="60"/>
      </w:pPr>
      <w:r>
        <w:rPr>
          <w:rFonts w:ascii="Calibri" w:hAnsi="Calibri" w:eastAsia="Calibri"/>
          <w:b w:val="0"/>
          <w:i w:val="0"/>
          <w:color w:val="1A2332"/>
          <w:sz w:val="22"/>
        </w:rPr>
        <w:t>Prioritise network densification on lanes where demand exists but V-Trans connectivity/TAT is weak relative to ACPL/VRL/TCI/ARC/OM.</w:t>
      </w:r>
    </w:p>
    <w:p>
      <w:pPr>
        <w:pStyle w:val="ListBullet"/>
        <w:spacing w:after="60"/>
      </w:pPr>
      <w:r>
        <w:rPr>
          <w:rFonts w:ascii="Calibri" w:hAnsi="Calibri" w:eastAsia="Calibri"/>
          <w:b w:val="0"/>
          <w:i w:val="0"/>
          <w:color w:val="1A2332"/>
          <w:sz w:val="22"/>
        </w:rPr>
        <w:t>Improve branch-to-branch and hub connectivity for PTL density (frequency, cut-off clarity, return load balance).</w:t>
      </w:r>
    </w:p>
    <w:p>
      <w:pPr>
        <w:pStyle w:val="ListBullet"/>
        <w:spacing w:after="60"/>
      </w:pPr>
      <w:r>
        <w:rPr>
          <w:rFonts w:ascii="Calibri" w:hAnsi="Calibri" w:eastAsia="Calibri"/>
          <w:b w:val="0"/>
          <w:i w:val="0"/>
          <w:color w:val="1A2332"/>
          <w:sz w:val="22"/>
        </w:rPr>
        <w:t>Local engagement engine: scheduled market meets, dealer/consignee outreach, and branch-level competitor win–loss notes after lost quotes.</w:t>
      </w:r>
    </w:p>
    <w:p>
      <w:pPr>
        <w:pStyle w:val="ListBullet"/>
        <w:spacing w:after="60"/>
      </w:pPr>
      <w:r>
        <w:rPr>
          <w:rFonts w:ascii="Calibri" w:hAnsi="Calibri" w:eastAsia="Calibri"/>
          <w:b w:val="0"/>
          <w:i w:val="0"/>
          <w:color w:val="1A2332"/>
          <w:sz w:val="22"/>
        </w:rPr>
        <w:t>Align franchise and company branches on common service standards so customer experience does not fragment by ownership model.</w:t>
      </w:r>
    </w:p>
    <w:p>
      <w:pPr>
        <w:pStyle w:val="ListBullet"/>
        <w:spacing w:after="60"/>
      </w:pPr>
      <w:r>
        <w:rPr>
          <w:rFonts w:ascii="Calibri" w:hAnsi="Calibri" w:eastAsia="Calibri"/>
          <w:b w:val="0"/>
          <w:i w:val="0"/>
          <w:color w:val="1A2332"/>
          <w:sz w:val="22"/>
        </w:rPr>
        <w:t>Immediate KPIs: lane coverage vs plan, booking acceptance rate, lost-quote reasons, competitor win rate on contested lanes.</w:t>
      </w:r>
    </w:p>
    <w:p>
      <w:pPr>
        <w:spacing w:before="280" w:after="120"/>
      </w:pPr>
      <w:r>
        <w:rPr>
          <w:rFonts w:ascii="Calibri" w:hAnsi="Calibri" w:eastAsia="Calibri"/>
          <w:b/>
          <w:i w:val="0"/>
          <w:color w:val="1B365D"/>
          <w:sz w:val="28"/>
        </w:rPr>
        <w:t>8. Pillar 6 — CRM, visibility and communication discipline</w:t>
      </w:r>
    </w:p>
    <w:p>
      <w:pPr>
        <w:spacing w:after="120" w:line="276" w:lineRule="auto"/>
      </w:pPr>
      <w:r>
        <w:rPr>
          <w:rFonts w:ascii="Calibri" w:hAnsi="Calibri" w:eastAsia="Calibri"/>
          <w:b w:val="0"/>
          <w:i w:val="0"/>
          <w:color w:val="1A2332"/>
          <w:sz w:val="22"/>
        </w:rPr>
        <w:t>New customers are acquired but follow-up is inconsistent. Delayed responses, weak BIC interaction, poor communication and limited POD/LR sharing drive low repeat business.</w:t>
      </w:r>
    </w:p>
    <w:p>
      <w:pPr>
        <w:spacing w:before="200" w:after="80"/>
      </w:pPr>
      <w:r>
        <w:rPr>
          <w:rFonts w:ascii="Calibri" w:hAnsi="Calibri" w:eastAsia="Calibri"/>
          <w:b/>
          <w:i w:val="0"/>
          <w:color w:val="0F6C8C"/>
          <w:sz w:val="24"/>
        </w:rPr>
        <w:t>Actions</w:t>
      </w:r>
    </w:p>
    <w:p>
      <w:pPr>
        <w:pStyle w:val="ListBullet"/>
        <w:spacing w:after="60"/>
      </w:pPr>
      <w:r>
        <w:rPr>
          <w:rFonts w:ascii="Calibri" w:hAnsi="Calibri" w:eastAsia="Calibri"/>
          <w:b w:val="0"/>
          <w:i w:val="0"/>
          <w:color w:val="1A2332"/>
          <w:sz w:val="22"/>
        </w:rPr>
        <w:t>Mandatory CRM hygiene: every prospect/customer visit logged with next action and date; no open lead without an owner.</w:t>
      </w:r>
    </w:p>
    <w:p>
      <w:pPr>
        <w:pStyle w:val="ListBullet"/>
        <w:spacing w:after="60"/>
      </w:pPr>
      <w:r>
        <w:rPr>
          <w:rFonts w:ascii="Calibri" w:hAnsi="Calibri" w:eastAsia="Calibri"/>
          <w:b w:val="0"/>
          <w:i w:val="0"/>
          <w:color w:val="1A2332"/>
          <w:sz w:val="22"/>
        </w:rPr>
        <w:t>SLA for customer response (e.g. same-day acknowledgement; issue update within agreed hours).</w:t>
      </w:r>
    </w:p>
    <w:p>
      <w:pPr>
        <w:pStyle w:val="ListBullet"/>
        <w:spacing w:after="60"/>
      </w:pPr>
      <w:r>
        <w:rPr>
          <w:rFonts w:ascii="Calibri" w:hAnsi="Calibri" w:eastAsia="Calibri"/>
          <w:b w:val="0"/>
          <w:i w:val="0"/>
          <w:color w:val="1A2332"/>
          <w:sz w:val="22"/>
        </w:rPr>
        <w:t>Standardise POD/LR sharing and proactive exception alerts on delayed shipments.</w:t>
      </w:r>
    </w:p>
    <w:p>
      <w:pPr>
        <w:pStyle w:val="ListBullet"/>
        <w:spacing w:after="60"/>
      </w:pPr>
      <w:r>
        <w:rPr>
          <w:rFonts w:ascii="Calibri" w:hAnsi="Calibri" w:eastAsia="Calibri"/>
          <w:b w:val="0"/>
          <w:i w:val="0"/>
          <w:color w:val="1A2332"/>
          <w:sz w:val="22"/>
        </w:rPr>
        <w:t>Post-delivery follow-up within 48–72 hours for new and at-risk accounts.</w:t>
      </w:r>
    </w:p>
    <w:p>
      <w:pPr>
        <w:pStyle w:val="ListBullet"/>
        <w:spacing w:after="60"/>
      </w:pPr>
      <w:r>
        <w:rPr>
          <w:rFonts w:ascii="Calibri" w:hAnsi="Calibri" w:eastAsia="Calibri"/>
          <w:b w:val="0"/>
          <w:i w:val="0"/>
          <w:color w:val="1A2332"/>
          <w:sz w:val="22"/>
        </w:rPr>
        <w:t>Monthly churn review: accounts with falling volume or rising complaints get a recovery plan.</w:t>
      </w:r>
    </w:p>
    <w:p>
      <w:pPr>
        <w:pStyle w:val="ListBullet"/>
        <w:spacing w:after="60"/>
      </w:pPr>
      <w:r>
        <w:rPr>
          <w:rFonts w:ascii="Calibri" w:hAnsi="Calibri" w:eastAsia="Calibri"/>
          <w:b w:val="0"/>
          <w:i w:val="0"/>
          <w:color w:val="1A2332"/>
          <w:sz w:val="22"/>
        </w:rPr>
        <w:t>Immediate KPIs: lead follow-up compliance, response SLA adherence, POD/LR turnaround, reactivation of silent accounts.</w:t>
      </w:r>
    </w:p>
    <w:p>
      <w:pPr>
        <w:spacing w:before="280" w:after="120"/>
      </w:pPr>
      <w:r>
        <w:rPr>
          <w:rFonts w:ascii="Calibri" w:hAnsi="Calibri" w:eastAsia="Calibri"/>
          <w:b/>
          <w:i w:val="0"/>
          <w:color w:val="1B365D"/>
          <w:sz w:val="28"/>
        </w:rPr>
        <w:t>9. Sequencing — practical order of attack</w:t>
      </w:r>
    </w:p>
    <w:tbl>
      <w:tblPr>
        <w:tblStyle w:val="TableGrid"/>
        <w:tblW w:type="auto" w:w="0"/>
        <w:tblLook w:firstColumn="1" w:firstRow="1" w:lastColumn="0" w:lastRow="0" w:noHBand="0" w:noVBand="1" w:val="04A0"/>
      </w:tblPr>
      <w:tblGrid>
        <w:gridCol w:w="3120"/>
        <w:gridCol w:w="3120"/>
        <w:gridCol w:w="3120"/>
      </w:tblGrid>
      <w:tr>
        <w:tc>
          <w:tcPr>
            <w:tcW w:type="dxa" w:w="3120"/>
            <w:shd w:fill="1B365D" w:val="clear"/>
          </w:tcPr>
          <w:p>
            <w:r>
              <w:rPr>
                <w:rFonts w:ascii="Calibri" w:hAnsi="Calibri" w:eastAsia="Calibri"/>
                <w:b/>
                <w:i w:val="0"/>
                <w:color w:val="FFFFFF"/>
                <w:sz w:val="20"/>
              </w:rPr>
            </w:r>
            <w:r>
              <w:rPr>
                <w:rFonts w:ascii="Calibri" w:hAnsi="Calibri" w:eastAsia="Calibri"/>
                <w:b/>
                <w:i w:val="0"/>
                <w:color w:val="FFFFFF"/>
                <w:sz w:val="20"/>
              </w:rPr>
              <w:t>Horizon</w:t>
            </w:r>
          </w:p>
        </w:tc>
        <w:tc>
          <w:tcPr>
            <w:tcW w:type="dxa" w:w="3120"/>
            <w:shd w:fill="1B365D" w:val="clear"/>
          </w:tcPr>
          <w:p>
            <w:r>
              <w:rPr>
                <w:rFonts w:ascii="Calibri" w:hAnsi="Calibri" w:eastAsia="Calibri"/>
                <w:b/>
                <w:i w:val="0"/>
                <w:color w:val="FFFFFF"/>
                <w:sz w:val="20"/>
              </w:rPr>
            </w:r>
            <w:r>
              <w:rPr>
                <w:rFonts w:ascii="Calibri" w:hAnsi="Calibri" w:eastAsia="Calibri"/>
                <w:b/>
                <w:i w:val="0"/>
                <w:color w:val="FFFFFF"/>
                <w:sz w:val="20"/>
              </w:rPr>
              <w:t>Focus</w:t>
            </w:r>
          </w:p>
        </w:tc>
        <w:tc>
          <w:tcPr>
            <w:tcW w:type="dxa" w:w="3120"/>
            <w:shd w:fill="1B365D" w:val="clear"/>
          </w:tcPr>
          <w:p>
            <w:r>
              <w:rPr>
                <w:rFonts w:ascii="Calibri" w:hAnsi="Calibri" w:eastAsia="Calibri"/>
                <w:b/>
                <w:i w:val="0"/>
                <w:color w:val="FFFFFF"/>
                <w:sz w:val="20"/>
              </w:rPr>
            </w:r>
            <w:r>
              <w:rPr>
                <w:rFonts w:ascii="Calibri" w:hAnsi="Calibri" w:eastAsia="Calibri"/>
                <w:b/>
                <w:i w:val="0"/>
                <w:color w:val="FFFFFF"/>
                <w:sz w:val="20"/>
              </w:rPr>
              <w:t>Why first</w:t>
            </w:r>
          </w:p>
        </w:tc>
      </w:tr>
      <w:tr>
        <w:tc>
          <w:tcPr>
            <w:tcW w:type="dxa" w:w="3120"/>
          </w:tcPr>
          <w:p>
            <w:r/>
            <w:r>
              <w:rPr>
                <w:rFonts w:ascii="Calibri" w:hAnsi="Calibri" w:eastAsia="Calibri"/>
                <w:b w:val="0"/>
                <w:i w:val="0"/>
                <w:color w:val="1A2332"/>
                <w:sz w:val="20"/>
              </w:rPr>
              <w:t>Near term</w:t>
            </w:r>
          </w:p>
        </w:tc>
        <w:tc>
          <w:tcPr>
            <w:tcW w:type="dxa" w:w="3120"/>
          </w:tcPr>
          <w:p>
            <w:r/>
            <w:r>
              <w:rPr>
                <w:rFonts w:ascii="Calibri" w:hAnsi="Calibri" w:eastAsia="Calibri"/>
                <w:b w:val="0"/>
                <w:i w:val="0"/>
                <w:color w:val="1A2332"/>
                <w:sz w:val="20"/>
              </w:rPr>
              <w:t>Pillars 1, 2, 4, 6 — OTD/TAT, sales time protection, share-of-wallet, CRM hygiene</w:t>
            </w:r>
          </w:p>
        </w:tc>
        <w:tc>
          <w:tcPr>
            <w:tcW w:type="dxa" w:w="3120"/>
          </w:tcPr>
          <w:p>
            <w:r/>
            <w:r>
              <w:rPr>
                <w:rFonts w:ascii="Calibri" w:hAnsi="Calibri" w:eastAsia="Calibri"/>
                <w:b w:val="0"/>
                <w:i w:val="0"/>
                <w:color w:val="1A2332"/>
                <w:sz w:val="20"/>
              </w:rPr>
              <w:t>Stops leakage from current base and makes promises believable</w:t>
            </w:r>
          </w:p>
        </w:tc>
      </w:tr>
      <w:tr>
        <w:tc>
          <w:tcPr>
            <w:tcW w:type="dxa" w:w="3120"/>
          </w:tcPr>
          <w:p>
            <w:r/>
            <w:r>
              <w:rPr>
                <w:rFonts w:ascii="Calibri" w:hAnsi="Calibri" w:eastAsia="Calibri"/>
                <w:b w:val="0"/>
                <w:i w:val="0"/>
                <w:color w:val="1A2332"/>
                <w:sz w:val="20"/>
              </w:rPr>
              <w:t>Next wave</w:t>
            </w:r>
          </w:p>
        </w:tc>
        <w:tc>
          <w:tcPr>
            <w:tcW w:type="dxa" w:w="3120"/>
          </w:tcPr>
          <w:p>
            <w:r/>
            <w:r>
              <w:rPr>
                <w:rFonts w:ascii="Calibri" w:hAnsi="Calibri" w:eastAsia="Calibri"/>
                <w:b w:val="0"/>
                <w:i w:val="0"/>
                <w:color w:val="1A2332"/>
                <w:sz w:val="20"/>
              </w:rPr>
              <w:t>Pillar 3 — systematic new-customer funnel and reach expansion</w:t>
            </w:r>
          </w:p>
        </w:tc>
        <w:tc>
          <w:tcPr>
            <w:tcW w:type="dxa" w:w="3120"/>
          </w:tcPr>
          <w:p>
            <w:r/>
            <w:r>
              <w:rPr>
                <w:rFonts w:ascii="Calibri" w:hAnsi="Calibri" w:eastAsia="Calibri"/>
                <w:b w:val="0"/>
                <w:i w:val="0"/>
                <w:color w:val="1A2332"/>
                <w:sz w:val="20"/>
              </w:rPr>
              <w:t>Conversion improves once service and follow-up are credible</w:t>
            </w:r>
          </w:p>
        </w:tc>
      </w:tr>
      <w:tr>
        <w:tc>
          <w:tcPr>
            <w:tcW w:type="dxa" w:w="3120"/>
          </w:tcPr>
          <w:p>
            <w:r/>
            <w:r>
              <w:rPr>
                <w:rFonts w:ascii="Calibri" w:hAnsi="Calibri" w:eastAsia="Calibri"/>
                <w:b w:val="0"/>
                <w:i w:val="0"/>
                <w:color w:val="1A2332"/>
                <w:sz w:val="20"/>
              </w:rPr>
              <w:t>Parallel / ongoing</w:t>
            </w:r>
          </w:p>
        </w:tc>
        <w:tc>
          <w:tcPr>
            <w:tcW w:type="dxa" w:w="3120"/>
          </w:tcPr>
          <w:p>
            <w:r/>
            <w:r>
              <w:rPr>
                <w:rFonts w:ascii="Calibri" w:hAnsi="Calibri" w:eastAsia="Calibri"/>
                <w:b w:val="0"/>
                <w:i w:val="0"/>
                <w:color w:val="1A2332"/>
                <w:sz w:val="20"/>
              </w:rPr>
              <w:t>Pillar 5 — selective network densification on priority PTL lanes</w:t>
            </w:r>
          </w:p>
        </w:tc>
        <w:tc>
          <w:tcPr>
            <w:tcW w:type="dxa" w:w="3120"/>
          </w:tcPr>
          <w:p>
            <w:r/>
            <w:r>
              <w:rPr>
                <w:rFonts w:ascii="Calibri" w:hAnsi="Calibri" w:eastAsia="Calibri"/>
                <w:b w:val="0"/>
                <w:i w:val="0"/>
                <w:color w:val="1A2332"/>
                <w:sz w:val="20"/>
              </w:rPr>
              <w:t>Builds the structural answer to competitor advantage</w:t>
            </w:r>
          </w:p>
        </w:tc>
      </w:tr>
    </w:tbl>
    <w:p/>
    <w:p>
      <w:pPr>
        <w:spacing w:after="120" w:line="276" w:lineRule="auto"/>
      </w:pPr>
      <w:r>
        <w:rPr>
          <w:rFonts w:ascii="Calibri" w:hAnsi="Calibri" w:eastAsia="Calibri"/>
          <w:b w:val="0"/>
          <w:i w:val="0"/>
          <w:color w:val="1A2332"/>
          <w:sz w:val="22"/>
        </w:rPr>
        <w:t>Do not scale aggressive new acquisition on lanes where OTD remains far below promise; that creates churn and brand damage.</w:t>
      </w:r>
    </w:p>
    <w:p>
      <w:pPr>
        <w:spacing w:before="280" w:after="120"/>
      </w:pPr>
      <w:r>
        <w:rPr>
          <w:rFonts w:ascii="Calibri" w:hAnsi="Calibri" w:eastAsia="Calibri"/>
          <w:b/>
          <w:i w:val="0"/>
          <w:color w:val="1B365D"/>
          <w:sz w:val="28"/>
        </w:rPr>
        <w:t>10. Operating rhythm</w:t>
      </w:r>
    </w:p>
    <w:p>
      <w:pPr>
        <w:pStyle w:val="ListBullet"/>
        <w:spacing w:after="60"/>
      </w:pPr>
      <w:r>
        <w:rPr>
          <w:rFonts w:ascii="Calibri" w:hAnsi="Calibri" w:eastAsia="Calibri"/>
          <w:b w:val="0"/>
          <w:i w:val="0"/>
          <w:color w:val="1A2332"/>
          <w:sz w:val="22"/>
        </w:rPr>
        <w:t>Daily (branch): OTD/holding exceptions; sales visit plan vs actual; open customer issues.</w:t>
      </w:r>
    </w:p>
    <w:p>
      <w:pPr>
        <w:pStyle w:val="ListBullet"/>
        <w:spacing w:after="60"/>
      </w:pPr>
      <w:r>
        <w:rPr>
          <w:rFonts w:ascii="Calibri" w:hAnsi="Calibri" w:eastAsia="Calibri"/>
          <w:b w:val="0"/>
          <w:i w:val="0"/>
          <w:color w:val="1A2332"/>
          <w:sz w:val="22"/>
        </w:rPr>
        <w:t>Weekly (cluster/region): PTL vs FTL vs target; funnel conversion; top-account share-of-wallet moves; competitor losses.</w:t>
      </w:r>
    </w:p>
    <w:p>
      <w:pPr>
        <w:pStyle w:val="ListBullet"/>
        <w:spacing w:after="60"/>
      </w:pPr>
      <w:r>
        <w:rPr>
          <w:rFonts w:ascii="Calibri" w:hAnsi="Calibri" w:eastAsia="Calibri"/>
          <w:b w:val="0"/>
          <w:i w:val="0"/>
          <w:color w:val="1A2332"/>
          <w:sz w:val="22"/>
        </w:rPr>
        <w:t>Monthly (leadership): organised market-share trajectory, reach gap vs ACPL/VRL, OTD vs 85% path, franchise compliance to sales/ops separation.</w:t>
      </w:r>
    </w:p>
    <w:p>
      <w:pPr>
        <w:spacing w:before="280" w:after="120"/>
      </w:pPr>
      <w:r>
        <w:rPr>
          <w:rFonts w:ascii="Calibri" w:hAnsi="Calibri" w:eastAsia="Calibri"/>
          <w:b/>
          <w:i w:val="0"/>
          <w:color w:val="1B365D"/>
          <w:sz w:val="28"/>
        </w:rPr>
        <w:t>11. Leadership scorecard</w:t>
      </w:r>
    </w:p>
    <w:tbl>
      <w:tblPr>
        <w:tblStyle w:val="TableGrid"/>
        <w:tblW w:type="auto" w:w="0"/>
        <w:tblLook w:firstColumn="1" w:firstRow="1" w:lastColumn="0" w:lastRow="0" w:noHBand="0" w:noVBand="1" w:val="04A0"/>
      </w:tblPr>
      <w:tblGrid>
        <w:gridCol w:w="3120"/>
        <w:gridCol w:w="3120"/>
        <w:gridCol w:w="3120"/>
      </w:tblGrid>
      <w:tr>
        <w:tc>
          <w:tcPr>
            <w:tcW w:type="dxa" w:w="3120"/>
            <w:shd w:fill="1B365D" w:val="clear"/>
          </w:tcPr>
          <w:p>
            <w:r>
              <w:rPr>
                <w:rFonts w:ascii="Calibri" w:hAnsi="Calibri" w:eastAsia="Calibri"/>
                <w:b/>
                <w:i w:val="0"/>
                <w:color w:val="FFFFFF"/>
                <w:sz w:val="20"/>
              </w:rPr>
            </w:r>
            <w:r>
              <w:rPr>
                <w:rFonts w:ascii="Calibri" w:hAnsi="Calibri" w:eastAsia="Calibri"/>
                <w:b/>
                <w:i w:val="0"/>
                <w:color w:val="FFFFFF"/>
                <w:sz w:val="20"/>
              </w:rPr>
              <w:t>Theme</w:t>
            </w:r>
          </w:p>
        </w:tc>
        <w:tc>
          <w:tcPr>
            <w:tcW w:type="dxa" w:w="3120"/>
            <w:shd w:fill="1B365D" w:val="clear"/>
          </w:tcPr>
          <w:p>
            <w:r>
              <w:rPr>
                <w:rFonts w:ascii="Calibri" w:hAnsi="Calibri" w:eastAsia="Calibri"/>
                <w:b/>
                <w:i w:val="0"/>
                <w:color w:val="FFFFFF"/>
                <w:sz w:val="20"/>
              </w:rPr>
            </w:r>
            <w:r>
              <w:rPr>
                <w:rFonts w:ascii="Calibri" w:hAnsi="Calibri" w:eastAsia="Calibri"/>
                <w:b/>
                <w:i w:val="0"/>
                <w:color w:val="FFFFFF"/>
                <w:sz w:val="20"/>
              </w:rPr>
              <w:t>Metric</w:t>
            </w:r>
          </w:p>
        </w:tc>
        <w:tc>
          <w:tcPr>
            <w:tcW w:type="dxa" w:w="3120"/>
            <w:shd w:fill="1B365D" w:val="clear"/>
          </w:tcPr>
          <w:p>
            <w:r>
              <w:rPr>
                <w:rFonts w:ascii="Calibri" w:hAnsi="Calibri" w:eastAsia="Calibri"/>
                <w:b/>
                <w:i w:val="0"/>
                <w:color w:val="FFFFFF"/>
                <w:sz w:val="20"/>
              </w:rPr>
            </w:r>
            <w:r>
              <w:rPr>
                <w:rFonts w:ascii="Calibri" w:hAnsi="Calibri" w:eastAsia="Calibri"/>
                <w:b/>
                <w:i w:val="0"/>
                <w:color w:val="FFFFFF"/>
                <w:sz w:val="20"/>
              </w:rPr>
              <w:t>Direction</w:t>
            </w:r>
          </w:p>
        </w:tc>
      </w:tr>
      <w:tr>
        <w:tc>
          <w:tcPr>
            <w:tcW w:type="dxa" w:w="3120"/>
          </w:tcPr>
          <w:p>
            <w:r/>
            <w:r>
              <w:rPr>
                <w:rFonts w:ascii="Calibri" w:hAnsi="Calibri" w:eastAsia="Calibri"/>
                <w:b w:val="0"/>
                <w:i w:val="0"/>
                <w:color w:val="1A2332"/>
                <w:sz w:val="20"/>
              </w:rPr>
              <w:t>Market</w:t>
            </w:r>
          </w:p>
        </w:tc>
        <w:tc>
          <w:tcPr>
            <w:tcW w:type="dxa" w:w="3120"/>
          </w:tcPr>
          <w:p>
            <w:r/>
            <w:r>
              <w:rPr>
                <w:rFonts w:ascii="Calibri" w:hAnsi="Calibri" w:eastAsia="Calibri"/>
                <w:b w:val="0"/>
                <w:i w:val="0"/>
                <w:color w:val="1A2332"/>
                <w:sz w:val="20"/>
              </w:rPr>
              <w:t>PTL MT, organised MS %, reach vs ACPL/VRL</w:t>
            </w:r>
          </w:p>
        </w:tc>
        <w:tc>
          <w:tcPr>
            <w:tcW w:type="dxa" w:w="3120"/>
          </w:tcPr>
          <w:p>
            <w:r/>
            <w:r>
              <w:rPr>
                <w:rFonts w:ascii="Calibri" w:hAnsi="Calibri" w:eastAsia="Calibri"/>
                <w:b w:val="0"/>
                <w:i w:val="0"/>
                <w:color w:val="1A2332"/>
                <w:sz w:val="20"/>
              </w:rPr>
              <w:t>Up</w:t>
            </w:r>
          </w:p>
        </w:tc>
      </w:tr>
      <w:tr>
        <w:tc>
          <w:tcPr>
            <w:tcW w:type="dxa" w:w="3120"/>
          </w:tcPr>
          <w:p>
            <w:r/>
            <w:r>
              <w:rPr>
                <w:rFonts w:ascii="Calibri" w:hAnsi="Calibri" w:eastAsia="Calibri"/>
                <w:b w:val="0"/>
                <w:i w:val="0"/>
                <w:color w:val="1A2332"/>
                <w:sz w:val="20"/>
              </w:rPr>
              <w:t>Service</w:t>
            </w:r>
          </w:p>
        </w:tc>
        <w:tc>
          <w:tcPr>
            <w:tcW w:type="dxa" w:w="3120"/>
          </w:tcPr>
          <w:p>
            <w:r/>
            <w:r>
              <w:rPr>
                <w:rFonts w:ascii="Calibri" w:hAnsi="Calibri" w:eastAsia="Calibri"/>
                <w:b w:val="0"/>
                <w:i w:val="0"/>
                <w:color w:val="1A2332"/>
                <w:sz w:val="20"/>
              </w:rPr>
              <w:t>OTD (toward 85%), TAT, holding, last-mile delay</w:t>
            </w:r>
          </w:p>
        </w:tc>
        <w:tc>
          <w:tcPr>
            <w:tcW w:type="dxa" w:w="3120"/>
          </w:tcPr>
          <w:p>
            <w:r/>
            <w:r>
              <w:rPr>
                <w:rFonts w:ascii="Calibri" w:hAnsi="Calibri" w:eastAsia="Calibri"/>
                <w:b w:val="0"/>
                <w:i w:val="0"/>
                <w:color w:val="1A2332"/>
                <w:sz w:val="20"/>
              </w:rPr>
              <w:t>Improve</w:t>
            </w:r>
          </w:p>
        </w:tc>
      </w:tr>
      <w:tr>
        <w:tc>
          <w:tcPr>
            <w:tcW w:type="dxa" w:w="3120"/>
          </w:tcPr>
          <w:p>
            <w:r/>
            <w:r>
              <w:rPr>
                <w:rFonts w:ascii="Calibri" w:hAnsi="Calibri" w:eastAsia="Calibri"/>
                <w:b w:val="0"/>
                <w:i w:val="0"/>
                <w:color w:val="1A2332"/>
                <w:sz w:val="20"/>
              </w:rPr>
              <w:t>Sales engine</w:t>
            </w:r>
          </w:p>
        </w:tc>
        <w:tc>
          <w:tcPr>
            <w:tcW w:type="dxa" w:w="3120"/>
          </w:tcPr>
          <w:p>
            <w:r/>
            <w:r>
              <w:rPr>
                <w:rFonts w:ascii="Calibri" w:hAnsi="Calibri" w:eastAsia="Calibri"/>
                <w:b w:val="0"/>
                <w:i w:val="0"/>
                <w:color w:val="1A2332"/>
                <w:sz w:val="20"/>
              </w:rPr>
              <w:t>Protected sales hours, visits, visit→contract %</w:t>
            </w:r>
          </w:p>
        </w:tc>
        <w:tc>
          <w:tcPr>
            <w:tcW w:type="dxa" w:w="3120"/>
          </w:tcPr>
          <w:p>
            <w:r/>
            <w:r>
              <w:rPr>
                <w:rFonts w:ascii="Calibri" w:hAnsi="Calibri" w:eastAsia="Calibri"/>
                <w:b w:val="0"/>
                <w:i w:val="0"/>
                <w:color w:val="1A2332"/>
                <w:sz w:val="20"/>
              </w:rPr>
              <w:t>Up</w:t>
            </w:r>
          </w:p>
        </w:tc>
      </w:tr>
      <w:tr>
        <w:tc>
          <w:tcPr>
            <w:tcW w:type="dxa" w:w="3120"/>
          </w:tcPr>
          <w:p>
            <w:r/>
            <w:r>
              <w:rPr>
                <w:rFonts w:ascii="Calibri" w:hAnsi="Calibri" w:eastAsia="Calibri"/>
                <w:b w:val="0"/>
                <w:i w:val="0"/>
                <w:color w:val="1A2332"/>
                <w:sz w:val="20"/>
              </w:rPr>
              <w:t>Existing base</w:t>
            </w:r>
          </w:p>
        </w:tc>
        <w:tc>
          <w:tcPr>
            <w:tcW w:type="dxa" w:w="3120"/>
          </w:tcPr>
          <w:p>
            <w:r/>
            <w:r>
              <w:rPr>
                <w:rFonts w:ascii="Calibri" w:hAnsi="Calibri" w:eastAsia="Calibri"/>
                <w:b w:val="0"/>
                <w:i w:val="0"/>
                <w:color w:val="1A2332"/>
                <w:sz w:val="20"/>
              </w:rPr>
              <w:t>Share of wallet (from 10–15% upward), retention</w:t>
            </w:r>
          </w:p>
        </w:tc>
        <w:tc>
          <w:tcPr>
            <w:tcW w:type="dxa" w:w="3120"/>
          </w:tcPr>
          <w:p>
            <w:r/>
            <w:r>
              <w:rPr>
                <w:rFonts w:ascii="Calibri" w:hAnsi="Calibri" w:eastAsia="Calibri"/>
                <w:b w:val="0"/>
                <w:i w:val="0"/>
                <w:color w:val="1A2332"/>
                <w:sz w:val="20"/>
              </w:rPr>
              <w:t>Up</w:t>
            </w:r>
          </w:p>
        </w:tc>
      </w:tr>
      <w:tr>
        <w:tc>
          <w:tcPr>
            <w:tcW w:type="dxa" w:w="3120"/>
          </w:tcPr>
          <w:p>
            <w:r/>
            <w:r>
              <w:rPr>
                <w:rFonts w:ascii="Calibri" w:hAnsi="Calibri" w:eastAsia="Calibri"/>
                <w:b w:val="0"/>
                <w:i w:val="0"/>
                <w:color w:val="1A2332"/>
                <w:sz w:val="20"/>
              </w:rPr>
              <w:t>Mix quality</w:t>
            </w:r>
          </w:p>
        </w:tc>
        <w:tc>
          <w:tcPr>
            <w:tcW w:type="dxa" w:w="3120"/>
          </w:tcPr>
          <w:p>
            <w:r/>
            <w:r>
              <w:rPr>
                <w:rFonts w:ascii="Calibri" w:hAnsi="Calibri" w:eastAsia="Calibri"/>
                <w:b w:val="0"/>
                <w:i w:val="0"/>
                <w:color w:val="1A2332"/>
                <w:sz w:val="20"/>
              </w:rPr>
              <w:t>PTL growth independent of FTL target bridging</w:t>
            </w:r>
          </w:p>
        </w:tc>
        <w:tc>
          <w:tcPr>
            <w:tcW w:type="dxa" w:w="3120"/>
          </w:tcPr>
          <w:p>
            <w:r/>
            <w:r>
              <w:rPr>
                <w:rFonts w:ascii="Calibri" w:hAnsi="Calibri" w:eastAsia="Calibri"/>
                <w:b w:val="0"/>
                <w:i w:val="0"/>
                <w:color w:val="1A2332"/>
                <w:sz w:val="20"/>
              </w:rPr>
              <w:t>Up</w:t>
            </w:r>
          </w:p>
        </w:tc>
      </w:tr>
      <w:tr>
        <w:tc>
          <w:tcPr>
            <w:tcW w:type="dxa" w:w="3120"/>
          </w:tcPr>
          <w:p>
            <w:r/>
            <w:r>
              <w:rPr>
                <w:rFonts w:ascii="Calibri" w:hAnsi="Calibri" w:eastAsia="Calibri"/>
                <w:b w:val="0"/>
                <w:i w:val="0"/>
                <w:color w:val="1A2332"/>
                <w:sz w:val="20"/>
              </w:rPr>
              <w:t>CRM</w:t>
            </w:r>
          </w:p>
        </w:tc>
        <w:tc>
          <w:tcPr>
            <w:tcW w:type="dxa" w:w="3120"/>
          </w:tcPr>
          <w:p>
            <w:r/>
            <w:r>
              <w:rPr>
                <w:rFonts w:ascii="Calibri" w:hAnsi="Calibri" w:eastAsia="Calibri"/>
                <w:b w:val="0"/>
                <w:i w:val="0"/>
                <w:color w:val="1A2332"/>
                <w:sz w:val="20"/>
              </w:rPr>
              <w:t>Follow-up compliance, POD/LR SLA, complaint closure</w:t>
            </w:r>
          </w:p>
        </w:tc>
        <w:tc>
          <w:tcPr>
            <w:tcW w:type="dxa" w:w="3120"/>
          </w:tcPr>
          <w:p>
            <w:r/>
            <w:r>
              <w:rPr>
                <w:rFonts w:ascii="Calibri" w:hAnsi="Calibri" w:eastAsia="Calibri"/>
                <w:b w:val="0"/>
                <w:i w:val="0"/>
                <w:color w:val="1A2332"/>
                <w:sz w:val="20"/>
              </w:rPr>
              <w:t>Up</w:t>
            </w:r>
          </w:p>
        </w:tc>
      </w:tr>
    </w:tbl>
    <w:p/>
    <w:p>
      <w:pPr>
        <w:spacing w:before="280" w:after="120"/>
      </w:pPr>
      <w:r>
        <w:rPr>
          <w:rFonts w:ascii="Calibri" w:hAnsi="Calibri" w:eastAsia="Calibri"/>
          <w:b/>
          <w:i w:val="0"/>
          <w:color w:val="1B365D"/>
          <w:sz w:val="28"/>
        </w:rPr>
        <w:t>12. Expected impact if executed with discipline</w:t>
      </w:r>
    </w:p>
    <w:p>
      <w:pPr>
        <w:pStyle w:val="ListBullet"/>
        <w:spacing w:after="60"/>
      </w:pPr>
      <w:r>
        <w:rPr>
          <w:rFonts w:ascii="Calibri" w:hAnsi="Calibri" w:eastAsia="Calibri"/>
          <w:b w:val="0"/>
          <w:i w:val="0"/>
          <w:color w:val="1A2332"/>
          <w:sz w:val="22"/>
        </w:rPr>
        <w:t>Service credibility rises as OTD moves toward 85%, unlocking conversion and retention.</w:t>
      </w:r>
    </w:p>
    <w:p>
      <w:pPr>
        <w:pStyle w:val="ListBullet"/>
        <w:spacing w:after="60"/>
      </w:pPr>
      <w:r>
        <w:rPr>
          <w:rFonts w:ascii="Calibri" w:hAnsi="Calibri" w:eastAsia="Calibri"/>
          <w:b w:val="0"/>
          <w:i w:val="0"/>
          <w:color w:val="1A2332"/>
          <w:sz w:val="22"/>
        </w:rPr>
        <w:t>Existing-customer MT grows by reclaiming share of wallet beyond the current 10–15% band.</w:t>
      </w:r>
    </w:p>
    <w:p>
      <w:pPr>
        <w:pStyle w:val="ListBullet"/>
        <w:spacing w:after="60"/>
      </w:pPr>
      <w:r>
        <w:rPr>
          <w:rFonts w:ascii="Calibri" w:hAnsi="Calibri" w:eastAsia="Calibri"/>
          <w:b w:val="0"/>
          <w:i w:val="0"/>
          <w:color w:val="1A2332"/>
          <w:sz w:val="22"/>
        </w:rPr>
        <w:t>New-logo conversion improves because visits sit inside a managed funnel, not activity theatre.</w:t>
      </w:r>
    </w:p>
    <w:p>
      <w:pPr>
        <w:pStyle w:val="ListBullet"/>
        <w:spacing w:after="60"/>
      </w:pPr>
      <w:r>
        <w:rPr>
          <w:rFonts w:ascii="Calibri" w:hAnsi="Calibri" w:eastAsia="Calibri"/>
          <w:b w:val="0"/>
          <w:i w:val="0"/>
          <w:color w:val="1A2332"/>
          <w:sz w:val="22"/>
        </w:rPr>
        <w:t>Sales capacity increases as ops distraction is ring-fenced.</w:t>
      </w:r>
    </w:p>
    <w:p>
      <w:pPr>
        <w:pStyle w:val="ListBullet"/>
        <w:spacing w:after="60"/>
      </w:pPr>
      <w:r>
        <w:rPr>
          <w:rFonts w:ascii="Calibri" w:hAnsi="Calibri" w:eastAsia="Calibri"/>
          <w:b w:val="0"/>
          <w:i w:val="0"/>
          <w:color w:val="1A2332"/>
          <w:sz w:val="22"/>
        </w:rPr>
        <w:t>Target quality improves: PTL growth is visible and not masked by FTL.</w:t>
      </w:r>
    </w:p>
    <w:p>
      <w:pPr>
        <w:pStyle w:val="ListBullet"/>
        <w:spacing w:after="60"/>
      </w:pPr>
      <w:r>
        <w:rPr>
          <w:rFonts w:ascii="Calibri" w:hAnsi="Calibri" w:eastAsia="Calibri"/>
          <w:b w:val="0"/>
          <w:i w:val="0"/>
          <w:color w:val="1A2332"/>
          <w:sz w:val="22"/>
        </w:rPr>
        <w:t>Over time, organised share can move meaningfully above today’s ~4% as reach, network fit and reliability compound.</w:t>
      </w:r>
    </w:p>
    <w:p>
      <w:pPr>
        <w:spacing w:before="280" w:after="120"/>
      </w:pPr>
      <w:r>
        <w:rPr>
          <w:rFonts w:ascii="Calibri" w:hAnsi="Calibri" w:eastAsia="Calibri"/>
          <w:b/>
          <w:i w:val="0"/>
          <w:color w:val="1B365D"/>
          <w:sz w:val="28"/>
        </w:rPr>
        <w:t>13. One-line way forward</w:t>
      </w:r>
    </w:p>
    <w:p>
      <w:r>
        <w:rPr>
          <w:rFonts w:ascii="Calibri" w:hAnsi="Calibri" w:eastAsia="Calibri"/>
          <w:b/>
          <w:i w:val="0"/>
          <w:color w:val="1B365D"/>
          <w:sz w:val="22"/>
        </w:rPr>
        <w:t>Make PTL reliable, free salespeople to sell, convert more of what you already touch, deepen every existing account, and densify the network where competitors currently win—while scoring PTL on its own, not through FTL.</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