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val="0"/>
          <w:i w:val="0"/>
          <w:color w:val="1B365D"/>
          <w:sz w:val="36"/>
        </w:rPr>
        <w:t>Beyond Tariff Cuts: How India’s Free Trade Agreements Are Rewiring Logistics, EXIM and Trade Lanes</w:t>
      </w:r>
    </w:p>
    <w:p>
      <w:pPr>
        <w:spacing w:after="120" w:line="276" w:lineRule="auto"/>
      </w:pPr>
      <w:r>
        <w:rPr>
          <w:rFonts w:ascii="Calibri" w:hAnsi="Calibri"/>
          <w:b/>
          <w:i w:val="0"/>
          <w:color w:val="222222"/>
          <w:sz w:val="22"/>
        </w:rPr>
        <w:t>A landscape assessment and future outlook for policymakers, shippers and logistics operators</w:t>
      </w:r>
    </w:p>
    <w:p>
      <w:pPr>
        <w:spacing w:after="120" w:line="276" w:lineRule="auto"/>
      </w:pPr>
      <w:r>
        <w:rPr>
          <w:rFonts w:ascii="Calibri" w:hAnsi="Calibri"/>
          <w:b w:val="0"/>
          <w:i w:val="0"/>
          <w:color w:val="222222"/>
          <w:sz w:val="22"/>
        </w:rPr>
        <w:t>Free trade agreements are often sold as stories about tariffs and market access. For India’s economy, that framing is incomplete. Every preference margin won at the negotiating table must still travel through a port gate, an inland container depot, a customs system, a shipping schedule and a last-mile warehouse. If those systems are slow, opaque or expensive, the commercial advantage of an FTA erodes before the consignment reaches the buyer.</w:t>
      </w:r>
    </w:p>
    <w:p>
      <w:pPr>
        <w:spacing w:after="120" w:line="276" w:lineRule="auto"/>
      </w:pPr>
      <w:r>
        <w:rPr>
          <w:rFonts w:ascii="Calibri" w:hAnsi="Calibri"/>
          <w:b w:val="0"/>
          <w:i w:val="0"/>
          <w:color w:val="222222"/>
          <w:sz w:val="22"/>
        </w:rPr>
        <w:t xml:space="preserve">India’s recent trade diplomacy—anchored by the UAE CEPA, Australia ECTA, EFTA TEPA, the India–UK agreement and a concluded India–EU package—has therefore become as much a </w:t>
      </w:r>
      <w:r>
        <w:rPr>
          <w:rFonts w:ascii="Calibri" w:hAnsi="Calibri"/>
          <w:b/>
          <w:i w:val="0"/>
          <w:color w:val="222222"/>
          <w:sz w:val="22"/>
        </w:rPr>
        <w:t>logistics and supply-chain agenda</w:t>
      </w:r>
      <w:r>
        <w:rPr>
          <w:rFonts w:ascii="Calibri" w:hAnsi="Calibri"/>
          <w:b w:val="0"/>
          <w:i w:val="0"/>
          <w:color w:val="222222"/>
          <w:sz w:val="22"/>
        </w:rPr>
        <w:t xml:space="preserve"> as a tariff agenda. Preferential trade is reshaping *what* India exports and imports, *where* cargo concentrates, and *how* firms design inventory, compliance and multimodal networks. This article maps that landscape, examines impacts on EXIM and trade lanes, identifies the parameters that decide whether FTAs create real advantage, and outlines the outlook for the next decade.</w:t>
      </w:r>
    </w:p>
    <w:p>
      <w:pPr>
        <w:spacing w:before="280" w:after="120"/>
      </w:pPr>
      <w:r>
        <w:rPr>
          <w:rFonts w:ascii="Calibri" w:hAnsi="Calibri"/>
          <w:b w:val="0"/>
          <w:i w:val="0"/>
          <w:color w:val="1B365D"/>
          <w:sz w:val="28"/>
        </w:rPr>
        <w:t>1. The new FTA landscape: from sparse deals to a corridor network</w:t>
      </w:r>
    </w:p>
    <w:p>
      <w:pPr>
        <w:spacing w:after="120" w:line="276" w:lineRule="auto"/>
      </w:pPr>
      <w:r>
        <w:rPr>
          <w:rFonts w:ascii="Calibri" w:hAnsi="Calibri"/>
          <w:b w:val="0"/>
          <w:i w:val="0"/>
          <w:color w:val="222222"/>
          <w:sz w:val="22"/>
        </w:rPr>
        <w:t>For much of the 2010s, India’s FTA story was mixed: older regional arrangements remained in force, but comprehensive deals with major developed economies were scarce. That changed after 2022.</w:t>
      </w:r>
    </w:p>
    <w:p>
      <w:pPr>
        <w:spacing w:before="200" w:after="80"/>
      </w:pPr>
      <w:r>
        <w:rPr>
          <w:rFonts w:ascii="Calibri" w:hAnsi="Calibri"/>
          <w:b w:val="0"/>
          <w:i w:val="0"/>
          <w:color w:val="0F6C8C"/>
          <w:sz w:val="24"/>
        </w:rPr>
        <w:t>Landmark agreements now in play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val="clear"/>
          </w:tcPr>
          <w:p>
            <w:r>
              <w:rPr>
                <w:rFonts w:ascii="Calibri" w:hAnsi="Calibri"/>
                <w:b/>
                <w:color w:val="FFFFFF"/>
                <w:sz w:val="18"/>
              </w:rPr>
              <w:t>Agreement</w:t>
            </w:r>
          </w:p>
        </w:tc>
        <w:tc>
          <w:tcPr>
            <w:tcW w:type="dxa" w:w="2340"/>
            <w:shd w:fill="1B365D" w:val="clear"/>
          </w:tcPr>
          <w:p>
            <w:r>
              <w:rPr>
                <w:rFonts w:ascii="Calibri" w:hAnsi="Calibri"/>
                <w:b/>
                <w:color w:val="FFFFFF"/>
                <w:sz w:val="18"/>
              </w:rPr>
              <w:t>Partner</w:t>
            </w:r>
          </w:p>
        </w:tc>
        <w:tc>
          <w:tcPr>
            <w:tcW w:type="dxa" w:w="2340"/>
            <w:shd w:fill="1B365D" w:val="clear"/>
          </w:tcPr>
          <w:p>
            <w:r>
              <w:rPr>
                <w:rFonts w:ascii="Calibri" w:hAnsi="Calibri"/>
                <w:b/>
                <w:color w:val="FFFFFF"/>
                <w:sz w:val="18"/>
              </w:rPr>
              <w:t>Status (indicative)</w:t>
            </w:r>
          </w:p>
        </w:tc>
        <w:tc>
          <w:tcPr>
            <w:tcW w:type="dxa" w:w="2340"/>
            <w:shd w:fill="1B365D" w:val="clear"/>
          </w:tcPr>
          <w:p>
            <w:r>
              <w:rPr>
                <w:rFonts w:ascii="Calibri" w:hAnsi="Calibri"/>
                <w:b/>
                <w:color w:val="FFFFFF"/>
                <w:sz w:val="18"/>
              </w:rPr>
              <w:t>Logistics-relevant signal</w:t>
            </w:r>
          </w:p>
        </w:tc>
      </w:tr>
      <w:tr>
        <w:tc>
          <w:tcPr>
            <w:tcW w:type="dxa" w:w="2340"/>
          </w:tcPr>
          <w:p>
            <w:r>
              <w:rPr>
                <w:rFonts w:ascii="Calibri" w:hAnsi="Calibri"/>
                <w:sz w:val="18"/>
              </w:rPr>
              <w:t>India–UAE CEPA</w:t>
            </w:r>
          </w:p>
        </w:tc>
        <w:tc>
          <w:tcPr>
            <w:tcW w:type="dxa" w:w="2340"/>
          </w:tcPr>
          <w:p>
            <w:r>
              <w:rPr>
                <w:rFonts w:ascii="Calibri" w:hAnsi="Calibri"/>
                <w:sz w:val="18"/>
              </w:rPr>
              <w:t>UAE</w:t>
            </w:r>
          </w:p>
        </w:tc>
        <w:tc>
          <w:tcPr>
            <w:tcW w:type="dxa" w:w="2340"/>
          </w:tcPr>
          <w:p>
            <w:r>
              <w:rPr>
                <w:rFonts w:ascii="Calibri" w:hAnsi="Calibri"/>
                <w:sz w:val="18"/>
              </w:rPr>
              <w:t>In force since May 2022</w:t>
            </w:r>
          </w:p>
        </w:tc>
        <w:tc>
          <w:tcPr>
            <w:tcW w:type="dxa" w:w="2340"/>
          </w:tcPr>
          <w:p>
            <w:r>
              <w:rPr>
                <w:rFonts w:ascii="Calibri" w:hAnsi="Calibri"/>
                <w:sz w:val="18"/>
              </w:rPr>
              <w:t>Gulf gateway + re-export hub; strong CoO utilisation</w:t>
            </w:r>
          </w:p>
        </w:tc>
      </w:tr>
      <w:tr>
        <w:tc>
          <w:tcPr>
            <w:tcW w:type="dxa" w:w="2340"/>
          </w:tcPr>
          <w:p>
            <w:r>
              <w:rPr>
                <w:rFonts w:ascii="Calibri" w:hAnsi="Calibri"/>
                <w:sz w:val="18"/>
              </w:rPr>
              <w:t>India–Australia ECTA</w:t>
            </w:r>
          </w:p>
        </w:tc>
        <w:tc>
          <w:tcPr>
            <w:tcW w:type="dxa" w:w="2340"/>
          </w:tcPr>
          <w:p>
            <w:r>
              <w:rPr>
                <w:rFonts w:ascii="Calibri" w:hAnsi="Calibri"/>
                <w:sz w:val="18"/>
              </w:rPr>
              <w:t>Australia</w:t>
            </w:r>
          </w:p>
        </w:tc>
        <w:tc>
          <w:tcPr>
            <w:tcW w:type="dxa" w:w="2340"/>
          </w:tcPr>
          <w:p>
            <w:r>
              <w:rPr>
                <w:rFonts w:ascii="Calibri" w:hAnsi="Calibri"/>
                <w:sz w:val="18"/>
              </w:rPr>
              <w:t>In force since Dec 2022; CECA under negotiation</w:t>
            </w:r>
          </w:p>
        </w:tc>
        <w:tc>
          <w:tcPr>
            <w:tcW w:type="dxa" w:w="2340"/>
          </w:tcPr>
          <w:p>
            <w:r>
              <w:rPr>
                <w:rFonts w:ascii="Calibri" w:hAnsi="Calibri"/>
                <w:sz w:val="18"/>
              </w:rPr>
              <w:t>Indo-Pacific container/reefer lanes; full duty-free access for Indian exports from 2026</w:t>
            </w:r>
          </w:p>
        </w:tc>
      </w:tr>
      <w:tr>
        <w:tc>
          <w:tcPr>
            <w:tcW w:type="dxa" w:w="2340"/>
          </w:tcPr>
          <w:p>
            <w:r>
              <w:rPr>
                <w:rFonts w:ascii="Calibri" w:hAnsi="Calibri"/>
                <w:sz w:val="18"/>
              </w:rPr>
              <w:t>India–EFTA TEPA</w:t>
            </w:r>
          </w:p>
        </w:tc>
        <w:tc>
          <w:tcPr>
            <w:tcW w:type="dxa" w:w="2340"/>
          </w:tcPr>
          <w:p>
            <w:r>
              <w:rPr>
                <w:rFonts w:ascii="Calibri" w:hAnsi="Calibri"/>
                <w:sz w:val="18"/>
              </w:rPr>
              <w:t>Iceland, Liechtenstein, Norway, Switzerland</w:t>
            </w:r>
          </w:p>
        </w:tc>
        <w:tc>
          <w:tcPr>
            <w:tcW w:type="dxa" w:w="2340"/>
          </w:tcPr>
          <w:p>
            <w:r>
              <w:rPr>
                <w:rFonts w:ascii="Calibri" w:hAnsi="Calibri"/>
                <w:sz w:val="18"/>
              </w:rPr>
              <w:t>Operational since Oct 2025</w:t>
            </w:r>
          </w:p>
        </w:tc>
        <w:tc>
          <w:tcPr>
            <w:tcW w:type="dxa" w:w="2340"/>
          </w:tcPr>
          <w:p>
            <w:r>
              <w:rPr>
                <w:rFonts w:ascii="Calibri" w:hAnsi="Calibri"/>
                <w:sz w:val="18"/>
              </w:rPr>
              <w:t>High-value Europe-facing lanes; early CoO uptake</w:t>
            </w:r>
          </w:p>
        </w:tc>
      </w:tr>
      <w:tr>
        <w:tc>
          <w:tcPr>
            <w:tcW w:type="dxa" w:w="2340"/>
          </w:tcPr>
          <w:p>
            <w:r>
              <w:rPr>
                <w:rFonts w:ascii="Calibri" w:hAnsi="Calibri"/>
                <w:sz w:val="18"/>
              </w:rPr>
              <w:t>India–UK CETA</w:t>
            </w:r>
          </w:p>
        </w:tc>
        <w:tc>
          <w:tcPr>
            <w:tcW w:type="dxa" w:w="2340"/>
          </w:tcPr>
          <w:p>
            <w:r>
              <w:rPr>
                <w:rFonts w:ascii="Calibri" w:hAnsi="Calibri"/>
                <w:sz w:val="18"/>
              </w:rPr>
              <w:t>United Kingdom</w:t>
            </w:r>
          </w:p>
        </w:tc>
        <w:tc>
          <w:tcPr>
            <w:tcW w:type="dxa" w:w="2340"/>
          </w:tcPr>
          <w:p>
            <w:r>
              <w:rPr>
                <w:rFonts w:ascii="Calibri" w:hAnsi="Calibri"/>
                <w:sz w:val="18"/>
              </w:rPr>
              <w:t>Entered into force July 2026</w:t>
            </w:r>
          </w:p>
        </w:tc>
        <w:tc>
          <w:tcPr>
            <w:tcW w:type="dxa" w:w="2340"/>
          </w:tcPr>
          <w:p>
            <w:r>
              <w:rPr>
                <w:rFonts w:ascii="Calibri" w:hAnsi="Calibri"/>
                <w:sz w:val="18"/>
              </w:rPr>
              <w:t>~99% of Indian exports duty-free; customs facilitation chapter</w:t>
            </w:r>
          </w:p>
        </w:tc>
      </w:tr>
      <w:tr>
        <w:tc>
          <w:tcPr>
            <w:tcW w:type="dxa" w:w="2340"/>
          </w:tcPr>
          <w:p>
            <w:r>
              <w:rPr>
                <w:rFonts w:ascii="Calibri" w:hAnsi="Calibri"/>
                <w:sz w:val="18"/>
              </w:rPr>
              <w:t>India–Oman / New Zealand</w:t>
            </w:r>
          </w:p>
        </w:tc>
        <w:tc>
          <w:tcPr>
            <w:tcW w:type="dxa" w:w="2340"/>
          </w:tcPr>
          <w:p>
            <w:r>
              <w:rPr>
                <w:rFonts w:ascii="Calibri" w:hAnsi="Calibri"/>
                <w:sz w:val="18"/>
              </w:rPr>
              <w:t>Oman, New Zealand</w:t>
            </w:r>
          </w:p>
        </w:tc>
        <w:tc>
          <w:tcPr>
            <w:tcW w:type="dxa" w:w="2340"/>
          </w:tcPr>
          <w:p>
            <w:r>
              <w:rPr>
                <w:rFonts w:ascii="Calibri" w:hAnsi="Calibri"/>
                <w:sz w:val="18"/>
              </w:rPr>
              <w:t>Recent agreements</w:t>
            </w:r>
          </w:p>
        </w:tc>
        <w:tc>
          <w:tcPr>
            <w:tcW w:type="dxa" w:w="2340"/>
          </w:tcPr>
          <w:p>
            <w:r>
              <w:rPr>
                <w:rFonts w:ascii="Calibri" w:hAnsi="Calibri"/>
                <w:sz w:val="18"/>
              </w:rPr>
              <w:t>Gulf depth; Oceania agri and specialty trade</w:t>
            </w:r>
          </w:p>
        </w:tc>
      </w:tr>
      <w:tr>
        <w:tc>
          <w:tcPr>
            <w:tcW w:type="dxa" w:w="2340"/>
          </w:tcPr>
          <w:p>
            <w:r>
              <w:rPr>
                <w:rFonts w:ascii="Calibri" w:hAnsi="Calibri"/>
                <w:sz w:val="18"/>
              </w:rPr>
              <w:t>India–EU FTA</w:t>
            </w:r>
          </w:p>
        </w:tc>
        <w:tc>
          <w:tcPr>
            <w:tcW w:type="dxa" w:w="2340"/>
          </w:tcPr>
          <w:p>
            <w:r>
              <w:rPr>
                <w:rFonts w:ascii="Calibri" w:hAnsi="Calibri"/>
                <w:sz w:val="18"/>
              </w:rPr>
              <w:t>European Union</w:t>
            </w:r>
          </w:p>
        </w:tc>
        <w:tc>
          <w:tcPr>
            <w:tcW w:type="dxa" w:w="2340"/>
          </w:tcPr>
          <w:p>
            <w:r>
              <w:rPr>
                <w:rFonts w:ascii="Calibri" w:hAnsi="Calibri"/>
                <w:sz w:val="18"/>
              </w:rPr>
              <w:t>Negotiations concluded 2026</w:t>
            </w:r>
          </w:p>
        </w:tc>
        <w:tc>
          <w:tcPr>
            <w:tcW w:type="dxa" w:w="2340"/>
          </w:tcPr>
          <w:p>
            <w:r>
              <w:rPr>
                <w:rFonts w:ascii="Calibri" w:hAnsi="Calibri"/>
                <w:sz w:val="18"/>
              </w:rPr>
              <w:t>Potential step-change for India–Europe maritime corridor</w:t>
            </w:r>
          </w:p>
        </w:tc>
      </w:tr>
    </w:tbl>
    <w:p/>
    <w:p>
      <w:pPr>
        <w:spacing w:after="120" w:line="276" w:lineRule="auto"/>
      </w:pPr>
      <w:r>
        <w:rPr>
          <w:rFonts w:ascii="Calibri" w:hAnsi="Calibri"/>
          <w:b w:val="0"/>
          <w:i w:val="0"/>
          <w:color w:val="222222"/>
          <w:sz w:val="22"/>
        </w:rPr>
        <w:t xml:space="preserve">Older pillars remain important: ASEAN-related arrangements, Japan and Korea CEPAs, SAFTA, and preferential schemes with Latin American and African partners. The qualitative shift is that </w:t>
      </w:r>
      <w:r>
        <w:rPr>
          <w:rFonts w:ascii="Calibri" w:hAnsi="Calibri"/>
          <w:b/>
          <w:i w:val="0"/>
          <w:color w:val="222222"/>
          <w:sz w:val="22"/>
        </w:rPr>
        <w:t>new-generation FTAs</w:t>
      </w:r>
      <w:r>
        <w:rPr>
          <w:rFonts w:ascii="Calibri" w:hAnsi="Calibri"/>
          <w:b w:val="0"/>
          <w:i w:val="0"/>
          <w:color w:val="222222"/>
          <w:sz w:val="22"/>
        </w:rPr>
        <w:t xml:space="preserve"> go beyond goods schedules into customs cooperation, digital trade, services, mobility, investment and rules of origin—precisely the chapters that determine logistics friction.</w:t>
      </w:r>
    </w:p>
    <w:p>
      <w:pPr>
        <w:spacing w:before="200" w:after="80"/>
      </w:pPr>
      <w:r>
        <w:rPr>
          <w:rFonts w:ascii="Calibri" w:hAnsi="Calibri"/>
          <w:b w:val="0"/>
          <w:i w:val="0"/>
          <w:color w:val="0F6C8C"/>
          <w:sz w:val="24"/>
        </w:rPr>
        <w:t>Early utilisation evidence</w:t>
      </w:r>
    </w:p>
    <w:p>
      <w:pPr>
        <w:spacing w:after="120" w:line="276" w:lineRule="auto"/>
      </w:pPr>
      <w:r>
        <w:rPr>
          <w:rFonts w:ascii="Calibri" w:hAnsi="Calibri"/>
          <w:b w:val="0"/>
          <w:i w:val="0"/>
          <w:color w:val="222222"/>
          <w:sz w:val="22"/>
        </w:rPr>
        <w:t>Official trade updates show that preference is not merely theoretical:</w:t>
      </w:r>
    </w:p>
    <w:p>
      <w:pPr>
        <w:pStyle w:val="ListBullet"/>
      </w:pPr>
      <w:r>
        <w:rPr>
          <w:rFonts w:ascii="Calibri" w:hAnsi="Calibri"/>
          <w:b w:val="0"/>
          <w:i w:val="0"/>
          <w:color w:val="222222"/>
          <w:sz w:val="22"/>
        </w:rPr>
        <w:t xml:space="preserve">Under </w:t>
      </w:r>
      <w:r>
        <w:rPr>
          <w:rFonts w:ascii="Calibri" w:hAnsi="Calibri"/>
          <w:b/>
          <w:i w:val="0"/>
          <w:color w:val="222222"/>
          <w:sz w:val="22"/>
        </w:rPr>
        <w:t>UAE CEPA</w:t>
      </w:r>
      <w:r>
        <w:rPr>
          <w:rFonts w:ascii="Calibri" w:hAnsi="Calibri"/>
          <w:b w:val="0"/>
          <w:i w:val="0"/>
          <w:color w:val="222222"/>
          <w:sz w:val="22"/>
        </w:rPr>
        <w:t xml:space="preserve">, more than </w:t>
      </w:r>
      <w:r>
        <w:rPr>
          <w:rFonts w:ascii="Calibri" w:hAnsi="Calibri"/>
          <w:b/>
          <w:i w:val="0"/>
          <w:color w:val="222222"/>
          <w:sz w:val="22"/>
        </w:rPr>
        <w:t>4.45 lakh Certificates of Origin</w:t>
      </w:r>
      <w:r>
        <w:rPr>
          <w:rFonts w:ascii="Calibri" w:hAnsi="Calibri"/>
          <w:b w:val="0"/>
          <w:i w:val="0"/>
          <w:color w:val="222222"/>
          <w:sz w:val="22"/>
        </w:rPr>
        <w:t xml:space="preserve"> have been issued. Tariff lines exported to the UAE rose from 7,546 (FY22) to 8,053 (FY26), with merchandise exports around </w:t>
      </w:r>
      <w:r>
        <w:rPr>
          <w:rFonts w:ascii="Calibri" w:hAnsi="Calibri"/>
          <w:b/>
          <w:i w:val="0"/>
          <w:color w:val="222222"/>
          <w:sz w:val="22"/>
        </w:rPr>
        <w:t>US$37.3–37.4 billion</w:t>
      </w:r>
      <w:r>
        <w:rPr>
          <w:rFonts w:ascii="Calibri" w:hAnsi="Calibri"/>
          <w:b w:val="0"/>
          <w:i w:val="0"/>
          <w:color w:val="222222"/>
          <w:sz w:val="22"/>
        </w:rPr>
        <w:t xml:space="preserve"> in FY26. Bilateral trade crossed </w:t>
      </w:r>
      <w:r>
        <w:rPr>
          <w:rFonts w:ascii="Calibri" w:hAnsi="Calibri"/>
          <w:b/>
          <w:i w:val="0"/>
          <w:color w:val="222222"/>
          <w:sz w:val="22"/>
        </w:rPr>
        <w:t>US$100 billion</w:t>
      </w:r>
      <w:r>
        <w:rPr>
          <w:rFonts w:ascii="Calibri" w:hAnsi="Calibri"/>
          <w:b w:val="0"/>
          <w:i w:val="0"/>
          <w:color w:val="222222"/>
          <w:sz w:val="22"/>
        </w:rPr>
        <w:t xml:space="preserve"> in FY25.</w:t>
      </w:r>
    </w:p>
    <w:p>
      <w:pPr>
        <w:pStyle w:val="ListBullet"/>
      </w:pPr>
      <w:r>
        <w:rPr>
          <w:rFonts w:ascii="Calibri" w:hAnsi="Calibri"/>
          <w:b w:val="0"/>
          <w:i w:val="0"/>
          <w:color w:val="222222"/>
          <w:sz w:val="22"/>
        </w:rPr>
        <w:t xml:space="preserve">Under </w:t>
      </w:r>
      <w:r>
        <w:rPr>
          <w:rFonts w:ascii="Calibri" w:hAnsi="Calibri"/>
          <w:b/>
          <w:i w:val="0"/>
          <w:color w:val="222222"/>
          <w:sz w:val="22"/>
        </w:rPr>
        <w:t>Australia ECTA</w:t>
      </w:r>
      <w:r>
        <w:rPr>
          <w:rFonts w:ascii="Calibri" w:hAnsi="Calibri"/>
          <w:b w:val="0"/>
          <w:i w:val="0"/>
          <w:color w:val="222222"/>
          <w:sz w:val="22"/>
        </w:rPr>
        <w:t xml:space="preserve">, over </w:t>
      </w:r>
      <w:r>
        <w:rPr>
          <w:rFonts w:ascii="Calibri" w:hAnsi="Calibri"/>
          <w:b/>
          <w:i w:val="0"/>
          <w:color w:val="222222"/>
          <w:sz w:val="22"/>
        </w:rPr>
        <w:t>2.73 lakh CoOs</w:t>
      </w:r>
      <w:r>
        <w:rPr>
          <w:rFonts w:ascii="Calibri" w:hAnsi="Calibri"/>
          <w:b w:val="0"/>
          <w:i w:val="0"/>
          <w:color w:val="222222"/>
          <w:sz w:val="22"/>
        </w:rPr>
        <w:t xml:space="preserve"> have been issued; Indian exports to Australia rose from about US$4 billion (FY21) to </w:t>
      </w:r>
      <w:r>
        <w:rPr>
          <w:rFonts w:ascii="Calibri" w:hAnsi="Calibri"/>
          <w:b/>
          <w:i w:val="0"/>
          <w:color w:val="222222"/>
          <w:sz w:val="22"/>
        </w:rPr>
        <w:t>US$7.28 billion</w:t>
      </w:r>
      <w:r>
        <w:rPr>
          <w:rFonts w:ascii="Calibri" w:hAnsi="Calibri"/>
          <w:b w:val="0"/>
          <w:i w:val="0"/>
          <w:color w:val="222222"/>
          <w:sz w:val="22"/>
        </w:rPr>
        <w:t xml:space="preserve"> (FY26).</w:t>
      </w:r>
    </w:p>
    <w:p>
      <w:pPr>
        <w:pStyle w:val="ListBullet"/>
      </w:pPr>
      <w:r>
        <w:rPr>
          <w:rFonts w:ascii="Calibri" w:hAnsi="Calibri"/>
          <w:b/>
          <w:i w:val="0"/>
          <w:color w:val="222222"/>
          <w:sz w:val="22"/>
        </w:rPr>
        <w:t>EFTA TEPA</w:t>
      </w:r>
      <w:r>
        <w:rPr>
          <w:rFonts w:ascii="Calibri" w:hAnsi="Calibri"/>
          <w:b w:val="0"/>
          <w:i w:val="0"/>
          <w:color w:val="222222"/>
          <w:sz w:val="22"/>
        </w:rPr>
        <w:t xml:space="preserve"> recorded thousands of CoOs within months of operation, signalling that exporters moved quickly once preferences opened.</w:t>
      </w:r>
    </w:p>
    <w:p>
      <w:pPr>
        <w:pStyle w:val="ListBullet"/>
      </w:pPr>
      <w:r>
        <w:rPr>
          <w:rFonts w:ascii="Calibri" w:hAnsi="Calibri"/>
          <w:b w:val="0"/>
          <w:i w:val="0"/>
          <w:color w:val="222222"/>
          <w:sz w:val="22"/>
        </w:rPr>
        <w:t>India’s overall export momentum in FY26 has been linked by the commerce ministry to this FTA push, including stronger outcomes with the UAE, UK and Australia.</w:t>
      </w:r>
    </w:p>
    <w:p>
      <w:pPr>
        <w:spacing w:after="120" w:line="276" w:lineRule="auto"/>
      </w:pPr>
      <w:r>
        <w:rPr>
          <w:rFonts w:ascii="Calibri" w:hAnsi="Calibri"/>
          <w:b w:val="0"/>
          <w:i w:val="0"/>
          <w:color w:val="222222"/>
          <w:sz w:val="22"/>
        </w:rPr>
        <w:t>Utilisation is the first logistics story: CoOs, HS classification discipline, origin documentation and broker capability are now frontline supply-chain skills, not back-office formalities.</w:t>
      </w:r>
    </w:p>
    <w:p>
      <w:pPr>
        <w:spacing w:before="280" w:after="120"/>
      </w:pPr>
      <w:r>
        <w:rPr>
          <w:rFonts w:ascii="Calibri" w:hAnsi="Calibri"/>
          <w:b w:val="0"/>
          <w:i w:val="0"/>
          <w:color w:val="1B365D"/>
          <w:sz w:val="28"/>
        </w:rPr>
        <w:t>2. How an FTA transmits into logistics and supply chains</w:t>
      </w:r>
    </w:p>
    <w:p>
      <w:pPr>
        <w:spacing w:after="120" w:line="276" w:lineRule="auto"/>
      </w:pPr>
      <w:r>
        <w:rPr>
          <w:rFonts w:ascii="Calibri" w:hAnsi="Calibri"/>
          <w:b w:val="0"/>
          <w:i w:val="0"/>
          <w:color w:val="222222"/>
          <w:sz w:val="22"/>
        </w:rPr>
        <w:t>An FTA does not automatically raise TEUs. It changes relative prices and rules; logistics converts those rules into physical flows. The transmission chain typically looks like this:</w:t>
      </w:r>
    </w:p>
    <w:p>
      <w:pPr>
        <w:spacing w:after="120" w:line="276" w:lineRule="auto"/>
      </w:pPr>
      <w:r>
        <w:rPr>
          <w:rFonts w:ascii="Calibri" w:hAnsi="Calibri"/>
          <w:b w:val="0"/>
          <w:i w:val="0"/>
          <w:color w:val="222222"/>
          <w:sz w:val="22"/>
        </w:rPr>
        <w:t xml:space="preserve">1. </w:t>
      </w:r>
      <w:r>
        <w:rPr>
          <w:rFonts w:ascii="Calibri" w:hAnsi="Calibri"/>
          <w:b/>
          <w:i w:val="0"/>
          <w:color w:val="222222"/>
          <w:sz w:val="22"/>
        </w:rPr>
        <w:t>Tariff preference</w:t>
      </w:r>
      <w:r>
        <w:rPr>
          <w:rFonts w:ascii="Calibri" w:hAnsi="Calibri"/>
          <w:b w:val="0"/>
          <w:i w:val="0"/>
          <w:color w:val="222222"/>
          <w:sz w:val="22"/>
        </w:rPr>
        <w:t xml:space="preserve"> lowers landed cost for eligible origin goods.</w:t>
      </w:r>
    </w:p>
    <w:p>
      <w:pPr>
        <w:spacing w:after="120" w:line="276" w:lineRule="auto"/>
      </w:pPr>
      <w:r>
        <w:rPr>
          <w:rFonts w:ascii="Calibri" w:hAnsi="Calibri"/>
          <w:b w:val="0"/>
          <w:i w:val="0"/>
          <w:color w:val="222222"/>
          <w:sz w:val="22"/>
        </w:rPr>
        <w:t xml:space="preserve">2. </w:t>
      </w:r>
      <w:r>
        <w:rPr>
          <w:rFonts w:ascii="Calibri" w:hAnsi="Calibri"/>
          <w:b/>
          <w:i w:val="0"/>
          <w:color w:val="222222"/>
          <w:sz w:val="22"/>
        </w:rPr>
        <w:t>Product mix shifts</w:t>
      </w:r>
      <w:r>
        <w:rPr>
          <w:rFonts w:ascii="Calibri" w:hAnsi="Calibri"/>
          <w:b w:val="0"/>
          <w:i w:val="0"/>
          <w:color w:val="222222"/>
          <w:sz w:val="22"/>
        </w:rPr>
        <w:t xml:space="preserve"> toward lines with the largest preference margin and viable lead times.</w:t>
      </w:r>
    </w:p>
    <w:p>
      <w:pPr>
        <w:spacing w:after="120" w:line="276" w:lineRule="auto"/>
      </w:pPr>
      <w:r>
        <w:rPr>
          <w:rFonts w:ascii="Calibri" w:hAnsi="Calibri"/>
          <w:b w:val="0"/>
          <w:i w:val="0"/>
          <w:color w:val="222222"/>
          <w:sz w:val="22"/>
        </w:rPr>
        <w:t xml:space="preserve">3. </w:t>
      </w:r>
      <w:r>
        <w:rPr>
          <w:rFonts w:ascii="Calibri" w:hAnsi="Calibri"/>
          <w:b/>
          <w:i w:val="0"/>
          <w:color w:val="222222"/>
          <w:sz w:val="22"/>
        </w:rPr>
        <w:t>Lane densification</w:t>
      </w:r>
      <w:r>
        <w:rPr>
          <w:rFonts w:ascii="Calibri" w:hAnsi="Calibri"/>
          <w:b w:val="0"/>
          <w:i w:val="0"/>
          <w:color w:val="222222"/>
          <w:sz w:val="22"/>
        </w:rPr>
        <w:t xml:space="preserve"> follows: more consolidation, more direct calls, tighter sailing frequency.</w:t>
      </w:r>
    </w:p>
    <w:p>
      <w:pPr>
        <w:spacing w:after="120" w:line="276" w:lineRule="auto"/>
      </w:pPr>
      <w:r>
        <w:rPr>
          <w:rFonts w:ascii="Calibri" w:hAnsi="Calibri"/>
          <w:b w:val="0"/>
          <w:i w:val="0"/>
          <w:color w:val="222222"/>
          <w:sz w:val="22"/>
        </w:rPr>
        <w:t xml:space="preserve">4. </w:t>
      </w:r>
      <w:r>
        <w:rPr>
          <w:rFonts w:ascii="Calibri" w:hAnsi="Calibri"/>
          <w:b/>
          <w:i w:val="0"/>
          <w:color w:val="222222"/>
          <w:sz w:val="22"/>
        </w:rPr>
        <w:t>Inventory strategy adjusts</w:t>
      </w:r>
      <w:r>
        <w:rPr>
          <w:rFonts w:ascii="Calibri" w:hAnsi="Calibri"/>
          <w:b w:val="0"/>
          <w:i w:val="0"/>
          <w:color w:val="222222"/>
          <w:sz w:val="22"/>
        </w:rPr>
        <w:t>: firms may hold less safety stock if transit becomes predictable—or more stock if customs/RoO risk rises.</w:t>
      </w:r>
    </w:p>
    <w:p>
      <w:pPr>
        <w:spacing w:after="120" w:line="276" w:lineRule="auto"/>
      </w:pPr>
      <w:r>
        <w:rPr>
          <w:rFonts w:ascii="Calibri" w:hAnsi="Calibri"/>
          <w:b w:val="0"/>
          <w:i w:val="0"/>
          <w:color w:val="222222"/>
          <w:sz w:val="22"/>
        </w:rPr>
        <w:t xml:space="preserve">5. </w:t>
      </w:r>
      <w:r>
        <w:rPr>
          <w:rFonts w:ascii="Calibri" w:hAnsi="Calibri"/>
          <w:b/>
          <w:i w:val="0"/>
          <w:color w:val="222222"/>
          <w:sz w:val="22"/>
        </w:rPr>
        <w:t>Network design responds</w:t>
      </w:r>
      <w:r>
        <w:rPr>
          <w:rFonts w:ascii="Calibri" w:hAnsi="Calibri"/>
          <w:b w:val="0"/>
          <w:i w:val="0"/>
          <w:color w:val="222222"/>
          <w:sz w:val="22"/>
        </w:rPr>
        <w:t>: near-port manufacturing, bonded warehousing, CFS capacity, cold chain and rail-linked ICDs migrate toward winning corridors.</w:t>
      </w:r>
    </w:p>
    <w:p>
      <w:pPr>
        <w:spacing w:after="120" w:line="276" w:lineRule="auto"/>
      </w:pPr>
      <w:r>
        <w:rPr>
          <w:rFonts w:ascii="Calibri" w:hAnsi="Calibri"/>
          <w:b w:val="0"/>
          <w:i w:val="0"/>
          <w:color w:val="222222"/>
          <w:sz w:val="22"/>
        </w:rPr>
        <w:t xml:space="preserve">6. </w:t>
      </w:r>
      <w:r>
        <w:rPr>
          <w:rFonts w:ascii="Calibri" w:hAnsi="Calibri"/>
          <w:b/>
          <w:i w:val="0"/>
          <w:color w:val="222222"/>
          <w:sz w:val="22"/>
        </w:rPr>
        <w:t>Services chapters</w:t>
      </w:r>
      <w:r>
        <w:rPr>
          <w:rFonts w:ascii="Calibri" w:hAnsi="Calibri"/>
          <w:b w:val="0"/>
          <w:i w:val="0"/>
          <w:color w:val="222222"/>
          <w:sz w:val="22"/>
        </w:rPr>
        <w:t xml:space="preserve"> open space for 3PLs, freight forwarders and digital platforms to operate more seamlessly across borders.</w:t>
      </w:r>
    </w:p>
    <w:p>
      <w:pPr>
        <w:spacing w:after="120" w:line="276" w:lineRule="auto"/>
      </w:pPr>
      <w:r>
        <w:rPr>
          <w:rFonts w:ascii="Calibri" w:hAnsi="Calibri"/>
          <w:b w:val="0"/>
          <w:i w:val="0"/>
          <w:color w:val="222222"/>
          <w:sz w:val="22"/>
        </w:rPr>
        <w:t xml:space="preserve">In short, FTAs create </w:t>
      </w:r>
      <w:r>
        <w:rPr>
          <w:rFonts w:ascii="Calibri" w:hAnsi="Calibri"/>
          <w:b/>
          <w:i w:val="0"/>
          <w:color w:val="222222"/>
          <w:sz w:val="22"/>
        </w:rPr>
        <w:t>optionality</w:t>
      </w:r>
      <w:r>
        <w:rPr>
          <w:rFonts w:ascii="Calibri" w:hAnsi="Calibri"/>
          <w:b w:val="0"/>
          <w:i w:val="0"/>
          <w:color w:val="222222"/>
          <w:sz w:val="22"/>
        </w:rPr>
        <w:t>. Logistics decides whether optionality becomes volume.</w:t>
      </w:r>
    </w:p>
    <w:p>
      <w:pPr>
        <w:spacing w:after="120" w:line="276" w:lineRule="auto"/>
      </w:pPr>
      <w:r>
        <w:rPr>
          <w:rFonts w:ascii="Calibri" w:hAnsi="Calibri"/>
          <w:b w:val="0"/>
          <w:i w:val="0"/>
          <w:color w:val="222222"/>
          <w:sz w:val="22"/>
        </w:rPr>
        <w:t xml:space="preserve">This is why India’s domestic reforms matter in the same breath as trade deals. DPIIT–NCAER estimates place logistics cost at roughly </w:t>
      </w:r>
      <w:r>
        <w:rPr>
          <w:rFonts w:ascii="Calibri" w:hAnsi="Calibri"/>
          <w:b/>
          <w:i w:val="0"/>
          <w:color w:val="222222"/>
          <w:sz w:val="22"/>
        </w:rPr>
        <w:t>7.97% of GDP</w:t>
      </w:r>
      <w:r>
        <w:rPr>
          <w:rFonts w:ascii="Calibri" w:hAnsi="Calibri"/>
          <w:b w:val="0"/>
          <w:i w:val="0"/>
          <w:color w:val="222222"/>
          <w:sz w:val="22"/>
        </w:rPr>
        <w:t xml:space="preserve"> (about </w:t>
      </w:r>
      <w:r>
        <w:rPr>
          <w:rFonts w:ascii="Calibri" w:hAnsi="Calibri"/>
          <w:b/>
          <w:i w:val="0"/>
          <w:color w:val="222222"/>
          <w:sz w:val="22"/>
        </w:rPr>
        <w:t>₹24 lakh crore</w:t>
      </w:r>
      <w:r>
        <w:rPr>
          <w:rFonts w:ascii="Calibri" w:hAnsi="Calibri"/>
          <w:b w:val="0"/>
          <w:i w:val="0"/>
          <w:color w:val="222222"/>
          <w:sz w:val="22"/>
        </w:rPr>
        <w:t>) for 2023–24—materially better than older popular estimates of 13–14%, but still a competitiveness variable that can offset preference margins on thin-margin exports. National Logistics Policy, PM Gati Shakti, Dedicated Freight Corridors, Sagarmala, ULIP and multimodal terminals are therefore FTA multipliers, not parallel programmes.</w:t>
      </w:r>
    </w:p>
    <w:p>
      <w:pPr>
        <w:spacing w:before="280" w:after="120"/>
      </w:pPr>
      <w:r>
        <w:rPr>
          <w:rFonts w:ascii="Calibri" w:hAnsi="Calibri"/>
          <w:b w:val="0"/>
          <w:i w:val="0"/>
          <w:color w:val="1B365D"/>
          <w:sz w:val="28"/>
        </w:rPr>
        <w:t>3. Impact on EXIM: volume, diversification and the compliance layer</w:t>
      </w:r>
    </w:p>
    <w:p>
      <w:pPr>
        <w:spacing w:before="200" w:after="80"/>
      </w:pPr>
      <w:r>
        <w:rPr>
          <w:rFonts w:ascii="Calibri" w:hAnsi="Calibri"/>
          <w:b w:val="0"/>
          <w:i w:val="0"/>
          <w:color w:val="0F6C8C"/>
          <w:sz w:val="24"/>
        </w:rPr>
        <w:t>Export side</w:t>
      </w:r>
    </w:p>
    <w:p>
      <w:pPr>
        <w:spacing w:after="120" w:line="276" w:lineRule="auto"/>
      </w:pPr>
      <w:r>
        <w:rPr>
          <w:rFonts w:ascii="Calibri" w:hAnsi="Calibri"/>
          <w:b w:val="0"/>
          <w:i w:val="0"/>
          <w:color w:val="222222"/>
          <w:sz w:val="22"/>
        </w:rPr>
        <w:t>Recent FTAs are doing three things for Indian exports:</w:t>
      </w:r>
    </w:p>
    <w:p>
      <w:pPr>
        <w:spacing w:after="120" w:line="276" w:lineRule="auto"/>
      </w:pPr>
      <w:r>
        <w:rPr>
          <w:rFonts w:ascii="Calibri" w:hAnsi="Calibri"/>
          <w:b/>
          <w:i w:val="0"/>
          <w:color w:val="222222"/>
          <w:sz w:val="22"/>
        </w:rPr>
        <w:t>Market concentration with diversification underneath.</w:t>
      </w:r>
      <w:r>
        <w:rPr>
          <w:rFonts w:ascii="Calibri" w:hAnsi="Calibri"/>
          <w:b w:val="0"/>
          <w:i w:val="0"/>
          <w:color w:val="222222"/>
          <w:sz w:val="22"/>
        </w:rPr>
        <w:t xml:space="preserve"> The UAE has become India’s largest single FTA export destination, but the rise in HS tariff lines shows deeper product penetration, not only bigger tickets in a few commodities. Australia shows a similar pattern: fewer absolute dollars than the Gulf, but rapid growth and broader line coverage.</w:t>
      </w:r>
    </w:p>
    <w:p>
      <w:pPr>
        <w:spacing w:after="120" w:line="276" w:lineRule="auto"/>
      </w:pPr>
      <w:r>
        <w:rPr>
          <w:rFonts w:ascii="Calibri" w:hAnsi="Calibri"/>
          <w:b/>
          <w:i w:val="0"/>
          <w:color w:val="222222"/>
          <w:sz w:val="22"/>
        </w:rPr>
        <w:t>Labour-intensive opportunity with logistics conditions attached.</w:t>
      </w:r>
      <w:r>
        <w:rPr>
          <w:rFonts w:ascii="Calibri" w:hAnsi="Calibri"/>
          <w:b w:val="0"/>
          <w:i w:val="0"/>
          <w:color w:val="222222"/>
          <w:sz w:val="22"/>
        </w:rPr>
        <w:t xml:space="preserve"> Textiles and apparel, leather, gems and jewellery, marine products, carpets, handicrafts and selected agri products feature prominently in recent deals. These are exactly the categories where </w:t>
      </w:r>
      <w:r>
        <w:rPr>
          <w:rFonts w:ascii="Calibri" w:hAnsi="Calibri"/>
          <w:b/>
          <w:i w:val="0"/>
          <w:color w:val="222222"/>
          <w:sz w:val="22"/>
        </w:rPr>
        <w:t>schedule reliability, packaging, cold chain (for marine/agri) and POD discipline</w:t>
      </w:r>
      <w:r>
        <w:rPr>
          <w:rFonts w:ascii="Calibri" w:hAnsi="Calibri"/>
          <w:b w:val="0"/>
          <w:i w:val="0"/>
          <w:color w:val="222222"/>
          <w:sz w:val="22"/>
        </w:rPr>
        <w:t xml:space="preserve"> decide whether preference converts into repeat orders.</w:t>
      </w:r>
    </w:p>
    <w:p>
      <w:pPr>
        <w:spacing w:after="120" w:line="276" w:lineRule="auto"/>
      </w:pPr>
      <w:r>
        <w:rPr>
          <w:rFonts w:ascii="Calibri" w:hAnsi="Calibri"/>
          <w:b/>
          <w:i w:val="0"/>
          <w:color w:val="222222"/>
          <w:sz w:val="22"/>
        </w:rPr>
        <w:t>Services and mobility as silent EXIM enablers.</w:t>
      </w:r>
      <w:r>
        <w:rPr>
          <w:rFonts w:ascii="Calibri" w:hAnsi="Calibri"/>
          <w:b w:val="0"/>
          <w:i w:val="0"/>
          <w:color w:val="222222"/>
          <w:sz w:val="22"/>
        </w:rPr>
        <w:t xml:space="preserve"> Where agreements improve professional mobility and digital trade, they support after-sales, installation, design and remote coordination—reducing the “soft logistics” cost of serving distant markets.</w:t>
      </w:r>
    </w:p>
    <w:p>
      <w:pPr>
        <w:spacing w:before="200" w:after="80"/>
      </w:pPr>
      <w:r>
        <w:rPr>
          <w:rFonts w:ascii="Calibri" w:hAnsi="Calibri"/>
          <w:b w:val="0"/>
          <w:i w:val="0"/>
          <w:color w:val="0F6C8C"/>
          <w:sz w:val="24"/>
        </w:rPr>
        <w:t>Import side</w:t>
      </w:r>
    </w:p>
    <w:p>
      <w:pPr>
        <w:spacing w:after="120" w:line="276" w:lineRule="auto"/>
      </w:pPr>
      <w:r>
        <w:rPr>
          <w:rFonts w:ascii="Calibri" w:hAnsi="Calibri"/>
          <w:b w:val="0"/>
          <w:i w:val="0"/>
          <w:color w:val="222222"/>
          <w:sz w:val="22"/>
        </w:rPr>
        <w:t>FTAs also reshape inbound supply chains:</w:t>
      </w:r>
    </w:p>
    <w:p>
      <w:pPr>
        <w:pStyle w:val="ListBullet"/>
      </w:pPr>
      <w:r>
        <w:rPr>
          <w:rFonts w:ascii="Calibri" w:hAnsi="Calibri"/>
          <w:b w:val="0"/>
          <w:i w:val="0"/>
          <w:color w:val="222222"/>
          <w:sz w:val="22"/>
        </w:rPr>
        <w:t>Cheaper intermediates can strengthen Indian manufacturing export competitiveness (a classic dual EXIM effect).</w:t>
      </w:r>
    </w:p>
    <w:p>
      <w:pPr>
        <w:pStyle w:val="ListBullet"/>
      </w:pPr>
      <w:r>
        <w:rPr>
          <w:rFonts w:ascii="Calibri" w:hAnsi="Calibri"/>
          <w:b w:val="0"/>
          <w:i w:val="0"/>
          <w:color w:val="222222"/>
          <w:sz w:val="22"/>
        </w:rPr>
        <w:t>Finished-goods preferences can raise import competition, forcing domestic producers to compress logistics and inventory costs.</w:t>
      </w:r>
    </w:p>
    <w:p>
      <w:pPr>
        <w:pStyle w:val="ListBullet"/>
      </w:pPr>
      <w:r>
        <w:rPr>
          <w:rFonts w:ascii="Calibri" w:hAnsi="Calibri"/>
          <w:b w:val="0"/>
          <w:i w:val="0"/>
          <w:color w:val="222222"/>
          <w:sz w:val="22"/>
        </w:rPr>
        <w:t>Gulf and ASEAN-linked imports often arrive through west- and east-coast hubs respectively, reinforcing gateway specialisation.</w:t>
      </w:r>
    </w:p>
    <w:p>
      <w:pPr>
        <w:spacing w:before="200" w:after="80"/>
      </w:pPr>
      <w:r>
        <w:rPr>
          <w:rFonts w:ascii="Calibri" w:hAnsi="Calibri"/>
          <w:b w:val="0"/>
          <w:i w:val="0"/>
          <w:color w:val="0F6C8C"/>
          <w:sz w:val="24"/>
        </w:rPr>
        <w:t>The under-discussed EXIM parameter: preference utilisation</w:t>
      </w:r>
    </w:p>
    <w:p>
      <w:pPr>
        <w:spacing w:after="120" w:line="276" w:lineRule="auto"/>
      </w:pPr>
      <w:r>
        <w:rPr>
          <w:rFonts w:ascii="Calibri" w:hAnsi="Calibri"/>
          <w:b w:val="0"/>
          <w:i w:val="0"/>
          <w:color w:val="222222"/>
          <w:sz w:val="22"/>
        </w:rPr>
        <w:t>A preferential tariff is worthless if exporters cannot prove origin cost-effectively. The surge in CoOs under UAE and Australia agreements is encouraging, but MSMEs still face:</w:t>
      </w:r>
    </w:p>
    <w:p>
      <w:pPr>
        <w:pStyle w:val="ListBullet"/>
      </w:pPr>
      <w:r>
        <w:rPr>
          <w:rFonts w:ascii="Calibri" w:hAnsi="Calibri"/>
          <w:b w:val="0"/>
          <w:i w:val="0"/>
          <w:color w:val="222222"/>
          <w:sz w:val="22"/>
        </w:rPr>
        <w:t>fragmented documentation practices,</w:t>
      </w:r>
    </w:p>
    <w:p>
      <w:pPr>
        <w:pStyle w:val="ListBullet"/>
      </w:pPr>
      <w:r>
        <w:rPr>
          <w:rFonts w:ascii="Calibri" w:hAnsi="Calibri"/>
          <w:b w:val="0"/>
          <w:i w:val="0"/>
          <w:color w:val="222222"/>
          <w:sz w:val="22"/>
        </w:rPr>
        <w:t>uncertain regional value content calculations,</w:t>
      </w:r>
    </w:p>
    <w:p>
      <w:pPr>
        <w:pStyle w:val="ListBullet"/>
      </w:pPr>
      <w:r>
        <w:rPr>
          <w:rFonts w:ascii="Calibri" w:hAnsi="Calibri"/>
          <w:b w:val="0"/>
          <w:i w:val="0"/>
          <w:color w:val="222222"/>
          <w:sz w:val="22"/>
        </w:rPr>
        <w:t>dependence on intermediaries,</w:t>
      </w:r>
    </w:p>
    <w:p>
      <w:pPr>
        <w:pStyle w:val="ListBullet"/>
      </w:pPr>
      <w:r>
        <w:rPr>
          <w:rFonts w:ascii="Calibri" w:hAnsi="Calibri"/>
          <w:b w:val="0"/>
          <w:i w:val="0"/>
          <w:color w:val="222222"/>
          <w:sz w:val="22"/>
        </w:rPr>
        <w:t>and weak linkage between ERP/shipping data and CoO workflows.</w:t>
      </w:r>
    </w:p>
    <w:p>
      <w:pPr>
        <w:spacing w:after="120" w:line="276" w:lineRule="auto"/>
      </w:pPr>
      <w:r>
        <w:rPr>
          <w:rFonts w:ascii="Calibri" w:hAnsi="Calibri"/>
          <w:b/>
          <w:i w:val="0"/>
          <w:color w:val="222222"/>
          <w:sz w:val="22"/>
        </w:rPr>
        <w:t>RoO-as-a-service</w:t>
      </w:r>
      <w:r>
        <w:rPr>
          <w:rFonts w:ascii="Calibri" w:hAnsi="Calibri"/>
          <w:b w:val="0"/>
          <w:i w:val="0"/>
          <w:color w:val="222222"/>
          <w:sz w:val="22"/>
        </w:rPr>
        <w:t>—digitised origin management embedded in freight forwarding and customs brokerage—will be one of the most important “logistics products” of India’s FTA decade.</w:t>
      </w:r>
    </w:p>
    <w:p>
      <w:pPr>
        <w:spacing w:before="280" w:after="120"/>
      </w:pPr>
      <w:r>
        <w:rPr>
          <w:rFonts w:ascii="Calibri" w:hAnsi="Calibri"/>
          <w:b w:val="0"/>
          <w:i w:val="0"/>
          <w:color w:val="1B365D"/>
          <w:sz w:val="28"/>
        </w:rPr>
        <w:t>4. Trade-lane geography: where cargo will thicken</w:t>
      </w:r>
    </w:p>
    <w:p>
      <w:pPr>
        <w:spacing w:before="200" w:after="80"/>
      </w:pPr>
      <w:r>
        <w:rPr>
          <w:rFonts w:ascii="Calibri" w:hAnsi="Calibri"/>
          <w:b w:val="0"/>
          <w:i w:val="0"/>
          <w:color w:val="0F6C8C"/>
          <w:sz w:val="24"/>
        </w:rPr>
        <w:t>India–Gulf / UAE corridor</w:t>
      </w:r>
    </w:p>
    <w:p>
      <w:pPr>
        <w:spacing w:after="120" w:line="276" w:lineRule="auto"/>
      </w:pPr>
      <w:r>
        <w:rPr>
          <w:rFonts w:ascii="Calibri" w:hAnsi="Calibri"/>
          <w:b w:val="0"/>
          <w:i w:val="0"/>
          <w:color w:val="222222"/>
          <w:sz w:val="22"/>
        </w:rPr>
        <w:t>This is currently the clearest FTA-to-lane success story. West-coast ports—</w:t>
      </w:r>
      <w:r>
        <w:rPr>
          <w:rFonts w:ascii="Calibri" w:hAnsi="Calibri"/>
          <w:b/>
          <w:i w:val="0"/>
          <w:color w:val="222222"/>
          <w:sz w:val="22"/>
        </w:rPr>
        <w:t>JNPA, Mundra, Pipavav, Kandla</w:t>
      </w:r>
      <w:r>
        <w:rPr>
          <w:rFonts w:ascii="Calibri" w:hAnsi="Calibri"/>
          <w:b w:val="0"/>
          <w:i w:val="0"/>
          <w:color w:val="222222"/>
          <w:sz w:val="22"/>
        </w:rPr>
        <w:t xml:space="preserve"> and associated Gujarati terminals—sit on the natural arc to Jebel Ali and other Gulf hubs. The UAE’s dual role as destination market and </w:t>
      </w:r>
      <w:r>
        <w:rPr>
          <w:rFonts w:ascii="Calibri" w:hAnsi="Calibri"/>
          <w:b/>
          <w:i w:val="0"/>
          <w:color w:val="222222"/>
          <w:sz w:val="22"/>
        </w:rPr>
        <w:t>re-export platform</w:t>
      </w:r>
      <w:r>
        <w:rPr>
          <w:rFonts w:ascii="Calibri" w:hAnsi="Calibri"/>
          <w:b w:val="0"/>
          <w:i w:val="0"/>
          <w:color w:val="222222"/>
          <w:sz w:val="22"/>
        </w:rPr>
        <w:t xml:space="preserve"> multiplies container, project cargo and high-value airfreight demand.</w:t>
      </w:r>
    </w:p>
    <w:p>
      <w:pPr>
        <w:spacing w:after="120" w:line="276" w:lineRule="auto"/>
      </w:pPr>
      <w:r>
        <w:rPr>
          <w:rFonts w:ascii="Calibri" w:hAnsi="Calibri"/>
          <w:b w:val="0"/>
          <w:i w:val="0"/>
          <w:color w:val="222222"/>
          <w:sz w:val="22"/>
        </w:rPr>
        <w:t>Logistics implications:</w:t>
      </w:r>
    </w:p>
    <w:p>
      <w:pPr>
        <w:pStyle w:val="ListBullet"/>
      </w:pPr>
      <w:r>
        <w:rPr>
          <w:rFonts w:ascii="Calibri" w:hAnsi="Calibri"/>
          <w:b w:val="0"/>
          <w:i w:val="0"/>
          <w:color w:val="222222"/>
          <w:sz w:val="22"/>
        </w:rPr>
        <w:t>denser feeder and mainline connections;</w:t>
      </w:r>
    </w:p>
    <w:p>
      <w:pPr>
        <w:pStyle w:val="ListBullet"/>
      </w:pPr>
      <w:r>
        <w:rPr>
          <w:rFonts w:ascii="Calibri" w:hAnsi="Calibri"/>
          <w:b w:val="0"/>
          <w:i w:val="0"/>
          <w:color w:val="222222"/>
          <w:sz w:val="22"/>
        </w:rPr>
        <w:t>bonded and re-export warehouse demand;</w:t>
      </w:r>
    </w:p>
    <w:p>
      <w:pPr>
        <w:pStyle w:val="ListBullet"/>
      </w:pPr>
      <w:r>
        <w:rPr>
          <w:rFonts w:ascii="Calibri" w:hAnsi="Calibri"/>
          <w:b w:val="0"/>
          <w:i w:val="0"/>
          <w:color w:val="222222"/>
          <w:sz w:val="22"/>
        </w:rPr>
        <w:t>stronger need for paperless customs interoperability (initiatives linking Indian and UAE platforms matter as much as berths);</w:t>
      </w:r>
    </w:p>
    <w:p>
      <w:pPr>
        <w:pStyle w:val="ListBullet"/>
      </w:pPr>
      <w:r>
        <w:rPr>
          <w:rFonts w:ascii="Calibri" w:hAnsi="Calibri"/>
          <w:b w:val="0"/>
          <w:i w:val="0"/>
          <w:color w:val="222222"/>
          <w:sz w:val="22"/>
        </w:rPr>
        <w:t>air–ocean hybrids for pharma, electronics and jewellery.</w:t>
      </w:r>
    </w:p>
    <w:p>
      <w:pPr>
        <w:spacing w:after="120" w:line="276" w:lineRule="auto"/>
      </w:pPr>
      <w:r>
        <w:rPr>
          <w:rFonts w:ascii="Calibri" w:hAnsi="Calibri"/>
          <w:b w:val="0"/>
          <w:i w:val="0"/>
          <w:color w:val="222222"/>
          <w:sz w:val="22"/>
        </w:rPr>
        <w:t xml:space="preserve">If India and the UAE pursue the stated ambition of scaling bilateral trade toward </w:t>
      </w:r>
      <w:r>
        <w:rPr>
          <w:rFonts w:ascii="Calibri" w:hAnsi="Calibri"/>
          <w:b/>
          <w:i w:val="0"/>
          <w:color w:val="222222"/>
          <w:sz w:val="22"/>
        </w:rPr>
        <w:t>US$200 billion by 2032</w:t>
      </w:r>
      <w:r>
        <w:rPr>
          <w:rFonts w:ascii="Calibri" w:hAnsi="Calibri"/>
          <w:b w:val="0"/>
          <w:i w:val="0"/>
          <w:color w:val="222222"/>
          <w:sz w:val="22"/>
        </w:rPr>
        <w:t>, this corridor becomes a structural pillar of Indian EXIM logistics—not a cyclical spike.</w:t>
      </w:r>
    </w:p>
    <w:p>
      <w:pPr>
        <w:spacing w:before="200" w:after="80"/>
      </w:pPr>
      <w:r>
        <w:rPr>
          <w:rFonts w:ascii="Calibri" w:hAnsi="Calibri"/>
          <w:b w:val="0"/>
          <w:i w:val="0"/>
          <w:color w:val="0F6C8C"/>
          <w:sz w:val="24"/>
        </w:rPr>
        <w:t>India–Europe / UK / EFTA corridor</w:t>
      </w:r>
    </w:p>
    <w:p>
      <w:pPr>
        <w:spacing w:after="120" w:line="276" w:lineRule="auto"/>
      </w:pPr>
      <w:r>
        <w:rPr>
          <w:rFonts w:ascii="Calibri" w:hAnsi="Calibri"/>
          <w:b w:val="0"/>
          <w:i w:val="0"/>
          <w:color w:val="222222"/>
          <w:sz w:val="22"/>
        </w:rPr>
        <w:t>With the UK agreement in force and the EU package concluded, India–Europe is poised for a multi-year volume build in containers, automotive-related cargo, machinery, chemicals, pharma and apparel. West-coast gateways again dominate the maritime geography, connecting into European hubs such as Rotterdam, Antwerp, Hamburg, Piraeus and Valencia.</w:t>
      </w:r>
    </w:p>
    <w:p>
      <w:pPr>
        <w:spacing w:after="120" w:line="276" w:lineRule="auto"/>
      </w:pPr>
      <w:r>
        <w:rPr>
          <w:rFonts w:ascii="Calibri" w:hAnsi="Calibri"/>
          <w:b w:val="0"/>
          <w:i w:val="0"/>
          <w:color w:val="222222"/>
          <w:sz w:val="22"/>
        </w:rPr>
        <w:t>Critical variables:</w:t>
      </w:r>
    </w:p>
    <w:p>
      <w:pPr>
        <w:pStyle w:val="ListBullet"/>
      </w:pPr>
      <w:r>
        <w:rPr>
          <w:rFonts w:ascii="Calibri" w:hAnsi="Calibri"/>
          <w:b/>
          <w:i w:val="0"/>
          <w:color w:val="222222"/>
          <w:sz w:val="22"/>
        </w:rPr>
        <w:t>Suez / Red Sea reliability</w:t>
      </w:r>
      <w:r>
        <w:rPr>
          <w:rFonts w:ascii="Calibri" w:hAnsi="Calibri"/>
          <w:b w:val="0"/>
          <w:i w:val="0"/>
          <w:color w:val="222222"/>
          <w:sz w:val="22"/>
        </w:rPr>
        <w:t xml:space="preserve"> and the cost of alternative routings;</w:t>
      </w:r>
    </w:p>
    <w:p>
      <w:pPr>
        <w:pStyle w:val="ListBullet"/>
      </w:pPr>
      <w:r>
        <w:rPr>
          <w:rFonts w:ascii="Calibri" w:hAnsi="Calibri"/>
          <w:b w:val="0"/>
          <w:i w:val="0"/>
          <w:color w:val="222222"/>
          <w:sz w:val="22"/>
        </w:rPr>
        <w:t xml:space="preserve">whether </w:t>
      </w:r>
      <w:r>
        <w:rPr>
          <w:rFonts w:ascii="Calibri" w:hAnsi="Calibri"/>
          <w:b/>
          <w:i w:val="0"/>
          <w:color w:val="222222"/>
          <w:sz w:val="22"/>
        </w:rPr>
        <w:t>IMEC</w:t>
      </w:r>
      <w:r>
        <w:rPr>
          <w:rFonts w:ascii="Calibri" w:hAnsi="Calibri"/>
          <w:b w:val="0"/>
          <w:i w:val="0"/>
          <w:color w:val="222222"/>
          <w:sz w:val="22"/>
        </w:rPr>
        <w:t xml:space="preserve"> (India–Middle East–Europe Economic Corridor) progresses from concept to bankable multimodal operations;</w:t>
      </w:r>
    </w:p>
    <w:p>
      <w:pPr>
        <w:pStyle w:val="ListBullet"/>
      </w:pPr>
      <w:r>
        <w:rPr>
          <w:rFonts w:ascii="Calibri" w:hAnsi="Calibri"/>
          <w:b w:val="0"/>
          <w:i w:val="0"/>
          <w:color w:val="222222"/>
          <w:sz w:val="22"/>
        </w:rPr>
        <w:t>inland rail connectivity from manufacturing clusters to west-coast ports via DFCs;</w:t>
      </w:r>
    </w:p>
    <w:p>
      <w:pPr>
        <w:pStyle w:val="ListBullet"/>
      </w:pPr>
      <w:r>
        <w:rPr>
          <w:rFonts w:ascii="Calibri" w:hAnsi="Calibri"/>
          <w:b w:val="0"/>
          <w:i w:val="0"/>
          <w:color w:val="222222"/>
          <w:sz w:val="22"/>
        </w:rPr>
        <w:t>cold chain and GDP-compliant pharma logistics for regulated EU/UK markets.</w:t>
      </w:r>
    </w:p>
    <w:p>
      <w:pPr>
        <w:spacing w:after="120" w:line="276" w:lineRule="auto"/>
      </w:pPr>
      <w:r>
        <w:rPr>
          <w:rFonts w:ascii="Calibri" w:hAnsi="Calibri"/>
          <w:b w:val="0"/>
          <w:i w:val="0"/>
          <w:color w:val="222222"/>
          <w:sz w:val="22"/>
        </w:rPr>
        <w:t xml:space="preserve">Shipping lines will treat India–Europe less as a residual lane and more as a </w:t>
      </w:r>
      <w:r>
        <w:rPr>
          <w:rFonts w:ascii="Calibri" w:hAnsi="Calibri"/>
          <w:b/>
          <w:i w:val="0"/>
          <w:color w:val="222222"/>
          <w:sz w:val="22"/>
        </w:rPr>
        <w:t>fleet-deployment priority</w:t>
      </w:r>
      <w:r>
        <w:rPr>
          <w:rFonts w:ascii="Calibri" w:hAnsi="Calibri"/>
          <w:b w:val="0"/>
          <w:i w:val="0"/>
          <w:color w:val="222222"/>
          <w:sz w:val="22"/>
        </w:rPr>
        <w:t>, provided landside dwell times do not cancel schedule integrity.</w:t>
      </w:r>
    </w:p>
    <w:p>
      <w:pPr>
        <w:spacing w:before="200" w:after="80"/>
      </w:pPr>
      <w:r>
        <w:rPr>
          <w:rFonts w:ascii="Calibri" w:hAnsi="Calibri"/>
          <w:b w:val="0"/>
          <w:i w:val="0"/>
          <w:color w:val="0F6C8C"/>
          <w:sz w:val="24"/>
        </w:rPr>
        <w:t>India–Australia / Oceania corridor</w:t>
      </w:r>
    </w:p>
    <w:p>
      <w:pPr>
        <w:spacing w:after="120" w:line="276" w:lineRule="auto"/>
      </w:pPr>
      <w:r>
        <w:rPr>
          <w:rFonts w:ascii="Calibri" w:hAnsi="Calibri"/>
          <w:b w:val="0"/>
          <w:i w:val="0"/>
          <w:color w:val="222222"/>
          <w:sz w:val="22"/>
        </w:rPr>
        <w:t>ECTA’s duty-free expansion supports engineering goods, textiles, pharma and selected agri/marine flows, while Australian exports (coal, agri, education-linked goods movements) reinforce two-way shipping economics. East- and south-coast ports gain relative importance. Reefer availability, empty-container positioning and seasonal agri windows will shape lane profitability as much as tariffs.</w:t>
      </w:r>
    </w:p>
    <w:p>
      <w:pPr>
        <w:spacing w:before="200" w:after="80"/>
      </w:pPr>
      <w:r>
        <w:rPr>
          <w:rFonts w:ascii="Calibri" w:hAnsi="Calibri"/>
          <w:b w:val="0"/>
          <w:i w:val="0"/>
          <w:color w:val="0F6C8C"/>
          <w:sz w:val="24"/>
        </w:rPr>
        <w:t>India–ASEAN and East Asia</w:t>
      </w:r>
    </w:p>
    <w:p>
      <w:pPr>
        <w:spacing w:after="120" w:line="276" w:lineRule="auto"/>
      </w:pPr>
      <w:r>
        <w:rPr>
          <w:rFonts w:ascii="Calibri" w:hAnsi="Calibri"/>
          <w:b w:val="0"/>
          <w:i w:val="0"/>
          <w:color w:val="222222"/>
          <w:sz w:val="22"/>
        </w:rPr>
        <w:t>Even without RCEP membership, ASEAN-facing trade remains central to electronics intermediates, machinery and regional value chains. East-coast ports, Bay of Bengal connectivity and improving inland links decide whether Indian manufacturers can plug reliably into “China+1” and ASEAN bill-of-materials networks. Rules of origin complexity is higher here; logistics providers that combine freight with compliance advisory win stickier contracts.</w:t>
      </w:r>
    </w:p>
    <w:p>
      <w:pPr>
        <w:spacing w:before="200" w:after="80"/>
      </w:pPr>
      <w:r>
        <w:rPr>
          <w:rFonts w:ascii="Calibri" w:hAnsi="Calibri"/>
          <w:b w:val="0"/>
          <w:i w:val="0"/>
          <w:color w:val="0F6C8C"/>
          <w:sz w:val="24"/>
        </w:rPr>
        <w:t>Eurasian / INSTC optionality</w:t>
      </w:r>
    </w:p>
    <w:p>
      <w:pPr>
        <w:spacing w:after="120" w:line="276" w:lineRule="auto"/>
      </w:pPr>
      <w:r>
        <w:rPr>
          <w:rFonts w:ascii="Calibri" w:hAnsi="Calibri"/>
          <w:b w:val="0"/>
          <w:i w:val="0"/>
          <w:color w:val="222222"/>
          <w:sz w:val="22"/>
        </w:rPr>
        <w:t xml:space="preserve">Discussions around India–EAEU trade and corridor readiness put the </w:t>
      </w:r>
      <w:r>
        <w:rPr>
          <w:rFonts w:ascii="Calibri" w:hAnsi="Calibri"/>
          <w:b/>
          <w:i w:val="0"/>
          <w:color w:val="222222"/>
          <w:sz w:val="22"/>
        </w:rPr>
        <w:t>International North–South Transport Corridor</w:t>
      </w:r>
      <w:r>
        <w:rPr>
          <w:rFonts w:ascii="Calibri" w:hAnsi="Calibri"/>
          <w:b w:val="0"/>
          <w:i w:val="0"/>
          <w:color w:val="222222"/>
          <w:sz w:val="22"/>
        </w:rPr>
        <w:t xml:space="preserve"> back in focus. Official and industry assessments have cited potential </w:t>
      </w:r>
      <w:r>
        <w:rPr>
          <w:rFonts w:ascii="Calibri" w:hAnsi="Calibri"/>
          <w:b/>
          <w:i w:val="0"/>
          <w:color w:val="222222"/>
          <w:sz w:val="22"/>
        </w:rPr>
        <w:t>~30% cost</w:t>
      </w:r>
      <w:r>
        <w:rPr>
          <w:rFonts w:ascii="Calibri" w:hAnsi="Calibri"/>
          <w:b w:val="0"/>
          <w:i w:val="0"/>
          <w:color w:val="222222"/>
          <w:sz w:val="22"/>
        </w:rPr>
        <w:t xml:space="preserve"> and </w:t>
      </w:r>
      <w:r>
        <w:rPr>
          <w:rFonts w:ascii="Calibri" w:hAnsi="Calibri"/>
          <w:b/>
          <w:i w:val="0"/>
          <w:color w:val="222222"/>
          <w:sz w:val="22"/>
        </w:rPr>
        <w:t>~40% transit-time</w:t>
      </w:r>
      <w:r>
        <w:rPr>
          <w:rFonts w:ascii="Calibri" w:hAnsi="Calibri"/>
          <w:b w:val="0"/>
          <w:i w:val="0"/>
          <w:color w:val="222222"/>
          <w:sz w:val="22"/>
        </w:rPr>
        <w:t xml:space="preserve"> advantages versus longer conventional routings for certain India–Europe/Eurasia movements. INSTC will not replace Suez container economics overnight, but as a resilience and bulk/container hybrid option it becomes more valuable as FTA volumes and geopolitical risk both rise.</w:t>
      </w:r>
    </w:p>
    <w:p>
      <w:pPr>
        <w:spacing w:before="280" w:after="120"/>
      </w:pPr>
      <w:r>
        <w:rPr>
          <w:rFonts w:ascii="Calibri" w:hAnsi="Calibri"/>
          <w:b w:val="0"/>
          <w:i w:val="0"/>
          <w:color w:val="1B365D"/>
          <w:sz w:val="28"/>
        </w:rPr>
        <w:t>5. The parameter scorecard: what to measure</w:t>
      </w:r>
    </w:p>
    <w:p>
      <w:pPr>
        <w:spacing w:after="120" w:line="276" w:lineRule="auto"/>
      </w:pPr>
      <w:r>
        <w:rPr>
          <w:rFonts w:ascii="Calibri" w:hAnsi="Calibri"/>
          <w:b w:val="0"/>
          <w:i w:val="0"/>
          <w:color w:val="222222"/>
          <w:sz w:val="22"/>
        </w:rPr>
        <w:t>To judge whether FTAs are delivering logistics value—not only diplomatic headlines—stakeholders should track a consistent scorecard:</w:t>
      </w:r>
    </w:p>
    <w:tbl>
      <w:tblPr>
        <w:tblStyle w:val="TableGrid"/>
        <w:tblW w:type="auto" w:w="0"/>
        <w:tblLook w:firstColumn="1" w:firstRow="1" w:lastColumn="0" w:lastRow="0" w:noHBand="0" w:noVBand="1" w:val="04A0"/>
      </w:tblPr>
      <w:tblGrid>
        <w:gridCol w:w="4680"/>
        <w:gridCol w:w="4680"/>
      </w:tblGrid>
      <w:tr>
        <w:tc>
          <w:tcPr>
            <w:tcW w:type="dxa" w:w="4680"/>
            <w:shd w:fill="1B365D" w:val="clear"/>
          </w:tcPr>
          <w:p>
            <w:r>
              <w:rPr>
                <w:rFonts w:ascii="Calibri" w:hAnsi="Calibri"/>
                <w:b/>
                <w:color w:val="FFFFFF"/>
                <w:sz w:val="18"/>
              </w:rPr>
              <w:t>Parameter</w:t>
            </w:r>
          </w:p>
        </w:tc>
        <w:tc>
          <w:tcPr>
            <w:tcW w:type="dxa" w:w="4680"/>
            <w:shd w:fill="1B365D" w:val="clear"/>
          </w:tcPr>
          <w:p>
            <w:r>
              <w:rPr>
                <w:rFonts w:ascii="Calibri" w:hAnsi="Calibri"/>
                <w:b/>
                <w:color w:val="FFFFFF"/>
                <w:sz w:val="18"/>
              </w:rPr>
              <w:t>Why it matters under FTAs</w:t>
            </w:r>
          </w:p>
        </w:tc>
      </w:tr>
      <w:tr>
        <w:tc>
          <w:tcPr>
            <w:tcW w:type="dxa" w:w="4680"/>
          </w:tcPr>
          <w:p>
            <w:r>
              <w:rPr>
                <w:rFonts w:ascii="Calibri" w:hAnsi="Calibri"/>
                <w:sz w:val="18"/>
              </w:rPr>
              <w:t>**Preference utilisation / CoO intensity**</w:t>
            </w:r>
          </w:p>
        </w:tc>
        <w:tc>
          <w:tcPr>
            <w:tcW w:type="dxa" w:w="4680"/>
          </w:tcPr>
          <w:p>
            <w:r>
              <w:rPr>
                <w:rFonts w:ascii="Calibri" w:hAnsi="Calibri"/>
                <w:sz w:val="18"/>
              </w:rPr>
              <w:t>Shows whether tariff access is actually used</w:t>
            </w:r>
          </w:p>
        </w:tc>
      </w:tr>
      <w:tr>
        <w:tc>
          <w:tcPr>
            <w:tcW w:type="dxa" w:w="4680"/>
          </w:tcPr>
          <w:p>
            <w:r>
              <w:rPr>
                <w:rFonts w:ascii="Calibri" w:hAnsi="Calibri"/>
                <w:sz w:val="18"/>
              </w:rPr>
              <w:t>**Export HS-line diversification**</w:t>
            </w:r>
          </w:p>
        </w:tc>
        <w:tc>
          <w:tcPr>
            <w:tcW w:type="dxa" w:w="4680"/>
          </w:tcPr>
          <w:p>
            <w:r>
              <w:rPr>
                <w:rFonts w:ascii="Calibri" w:hAnsi="Calibri"/>
                <w:sz w:val="18"/>
              </w:rPr>
              <w:t>Distinguishes deep market penetration from commodity spikes</w:t>
            </w:r>
          </w:p>
        </w:tc>
      </w:tr>
      <w:tr>
        <w:tc>
          <w:tcPr>
            <w:tcW w:type="dxa" w:w="4680"/>
          </w:tcPr>
          <w:p>
            <w:r>
              <w:rPr>
                <w:rFonts w:ascii="Calibri" w:hAnsi="Calibri"/>
                <w:sz w:val="18"/>
              </w:rPr>
              <w:t>**Port gateway mix (west vs east)**</w:t>
            </w:r>
          </w:p>
        </w:tc>
        <w:tc>
          <w:tcPr>
            <w:tcW w:type="dxa" w:w="4680"/>
          </w:tcPr>
          <w:p>
            <w:r>
              <w:rPr>
                <w:rFonts w:ascii="Calibri" w:hAnsi="Calibri"/>
                <w:sz w:val="18"/>
              </w:rPr>
              <w:t>Reveals corridor concentration and congestion risk</w:t>
            </w:r>
          </w:p>
        </w:tc>
      </w:tr>
      <w:tr>
        <w:tc>
          <w:tcPr>
            <w:tcW w:type="dxa" w:w="4680"/>
          </w:tcPr>
          <w:p>
            <w:r>
              <w:rPr>
                <w:rFonts w:ascii="Calibri" w:hAnsi="Calibri"/>
                <w:sz w:val="18"/>
              </w:rPr>
              <w:t>**Direct call vs transshipment share**</w:t>
            </w:r>
          </w:p>
        </w:tc>
        <w:tc>
          <w:tcPr>
            <w:tcW w:type="dxa" w:w="4680"/>
          </w:tcPr>
          <w:p>
            <w:r>
              <w:rPr>
                <w:rFonts w:ascii="Calibri" w:hAnsi="Calibri"/>
                <w:sz w:val="18"/>
              </w:rPr>
              <w:t>Proxy for lane maturity and schedule control</w:t>
            </w:r>
          </w:p>
        </w:tc>
      </w:tr>
      <w:tr>
        <w:tc>
          <w:tcPr>
            <w:tcW w:type="dxa" w:w="4680"/>
          </w:tcPr>
          <w:p>
            <w:r>
              <w:rPr>
                <w:rFonts w:ascii="Calibri" w:hAnsi="Calibri"/>
                <w:sz w:val="18"/>
              </w:rPr>
              <w:t>**Port / ICD dwell time**</w:t>
            </w:r>
          </w:p>
        </w:tc>
        <w:tc>
          <w:tcPr>
            <w:tcW w:type="dxa" w:w="4680"/>
          </w:tcPr>
          <w:p>
            <w:r>
              <w:rPr>
                <w:rFonts w:ascii="Calibri" w:hAnsi="Calibri"/>
                <w:sz w:val="18"/>
              </w:rPr>
              <w:t>Preference margins die in dwell</w:t>
            </w:r>
          </w:p>
        </w:tc>
      </w:tr>
      <w:tr>
        <w:tc>
          <w:tcPr>
            <w:tcW w:type="dxa" w:w="4680"/>
          </w:tcPr>
          <w:p>
            <w:r>
              <w:rPr>
                <w:rFonts w:ascii="Calibri" w:hAnsi="Calibri"/>
                <w:sz w:val="18"/>
              </w:rPr>
              <w:t>**Customs release time &amp; inspection rates**</w:t>
            </w:r>
          </w:p>
        </w:tc>
        <w:tc>
          <w:tcPr>
            <w:tcW w:type="dxa" w:w="4680"/>
          </w:tcPr>
          <w:p>
            <w:r>
              <w:rPr>
                <w:rFonts w:ascii="Calibri" w:hAnsi="Calibri"/>
                <w:sz w:val="18"/>
              </w:rPr>
              <w:t>Facilitation chapters succeed or fail here</w:t>
            </w:r>
          </w:p>
        </w:tc>
      </w:tr>
      <w:tr>
        <w:tc>
          <w:tcPr>
            <w:tcW w:type="dxa" w:w="4680"/>
          </w:tcPr>
          <w:p>
            <w:r>
              <w:rPr>
                <w:rFonts w:ascii="Calibri" w:hAnsi="Calibri"/>
                <w:sz w:val="18"/>
              </w:rPr>
              <w:t>**Modal split to gateway (road/rail/coastal)**</w:t>
            </w:r>
          </w:p>
        </w:tc>
        <w:tc>
          <w:tcPr>
            <w:tcW w:type="dxa" w:w="4680"/>
          </w:tcPr>
          <w:p>
            <w:r>
              <w:rPr>
                <w:rFonts w:ascii="Calibri" w:hAnsi="Calibri"/>
                <w:sz w:val="18"/>
              </w:rPr>
              <w:t>Determines cost and carbon competitiveness</w:t>
            </w:r>
          </w:p>
        </w:tc>
      </w:tr>
      <w:tr>
        <w:tc>
          <w:tcPr>
            <w:tcW w:type="dxa" w:w="4680"/>
          </w:tcPr>
          <w:p>
            <w:r>
              <w:rPr>
                <w:rFonts w:ascii="Calibri" w:hAnsi="Calibri"/>
                <w:sz w:val="18"/>
              </w:rPr>
              <w:t>**Logistics cost as % of shipment value**</w:t>
            </w:r>
          </w:p>
        </w:tc>
        <w:tc>
          <w:tcPr>
            <w:tcW w:type="dxa" w:w="4680"/>
          </w:tcPr>
          <w:p>
            <w:r>
              <w:rPr>
                <w:rFonts w:ascii="Calibri" w:hAnsi="Calibri"/>
                <w:sz w:val="18"/>
              </w:rPr>
              <w:t>Must stay below preference margin for FTA arbitrage to work</w:t>
            </w:r>
          </w:p>
        </w:tc>
      </w:tr>
      <w:tr>
        <w:tc>
          <w:tcPr>
            <w:tcW w:type="dxa" w:w="4680"/>
          </w:tcPr>
          <w:p>
            <w:r>
              <w:rPr>
                <w:rFonts w:ascii="Calibri" w:hAnsi="Calibri"/>
                <w:sz w:val="18"/>
              </w:rPr>
              <w:t>**Reefer / special-equipment availability**</w:t>
            </w:r>
          </w:p>
        </w:tc>
        <w:tc>
          <w:tcPr>
            <w:tcW w:type="dxa" w:w="4680"/>
          </w:tcPr>
          <w:p>
            <w:r>
              <w:rPr>
                <w:rFonts w:ascii="Calibri" w:hAnsi="Calibri"/>
                <w:sz w:val="18"/>
              </w:rPr>
              <w:t>Binding constraint for agri, marine, pharma</w:t>
            </w:r>
          </w:p>
        </w:tc>
      </w:tr>
      <w:tr>
        <w:tc>
          <w:tcPr>
            <w:tcW w:type="dxa" w:w="4680"/>
          </w:tcPr>
          <w:p>
            <w:r>
              <w:rPr>
                <w:rFonts w:ascii="Calibri" w:hAnsi="Calibri"/>
                <w:sz w:val="18"/>
              </w:rPr>
              <w:t>**Schedule reliability**</w:t>
            </w:r>
          </w:p>
        </w:tc>
        <w:tc>
          <w:tcPr>
            <w:tcW w:type="dxa" w:w="4680"/>
          </w:tcPr>
          <w:p>
            <w:r>
              <w:rPr>
                <w:rFonts w:ascii="Calibri" w:hAnsi="Calibri"/>
                <w:sz w:val="18"/>
              </w:rPr>
              <w:t>Drives inventory and contract logistics design</w:t>
            </w:r>
          </w:p>
        </w:tc>
      </w:tr>
      <w:tr>
        <w:tc>
          <w:tcPr>
            <w:tcW w:type="dxa" w:w="4680"/>
          </w:tcPr>
          <w:p>
            <w:r>
              <w:rPr>
                <w:rFonts w:ascii="Calibri" w:hAnsi="Calibri"/>
                <w:sz w:val="18"/>
              </w:rPr>
              <w:t>**3PL contract penetration on FTA lanes**</w:t>
            </w:r>
          </w:p>
        </w:tc>
        <w:tc>
          <w:tcPr>
            <w:tcW w:type="dxa" w:w="4680"/>
          </w:tcPr>
          <w:p>
            <w:r>
              <w:rPr>
                <w:rFonts w:ascii="Calibri" w:hAnsi="Calibri"/>
                <w:sz w:val="18"/>
              </w:rPr>
              <w:t>Indicates professionalisation of EXIM flows</w:t>
            </w:r>
          </w:p>
        </w:tc>
      </w:tr>
      <w:tr>
        <w:tc>
          <w:tcPr>
            <w:tcW w:type="dxa" w:w="4680"/>
          </w:tcPr>
          <w:p>
            <w:r>
              <w:rPr>
                <w:rFonts w:ascii="Calibri" w:hAnsi="Calibri"/>
                <w:sz w:val="18"/>
              </w:rPr>
              <w:t>**MSMEs’ share of preferential exports**</w:t>
            </w:r>
          </w:p>
        </w:tc>
        <w:tc>
          <w:tcPr>
            <w:tcW w:type="dxa" w:w="4680"/>
          </w:tcPr>
          <w:p>
            <w:r>
              <w:rPr>
                <w:rFonts w:ascii="Calibri" w:hAnsi="Calibri"/>
                <w:sz w:val="18"/>
              </w:rPr>
              <w:t>Tests inclusiveness of FTA gains</w:t>
            </w:r>
          </w:p>
        </w:tc>
      </w:tr>
    </w:tbl>
    <w:p/>
    <w:p>
      <w:pPr>
        <w:spacing w:after="120" w:line="276" w:lineRule="auto"/>
      </w:pPr>
      <w:r>
        <w:rPr>
          <w:rFonts w:ascii="Calibri" w:hAnsi="Calibri"/>
          <w:b w:val="0"/>
          <w:i w:val="0"/>
          <w:color w:val="222222"/>
          <w:sz w:val="22"/>
        </w:rPr>
        <w:t xml:space="preserve">A practical rule of thumb for exporters: </w:t>
      </w:r>
      <w:r>
        <w:rPr>
          <w:rFonts w:ascii="Calibri" w:hAnsi="Calibri"/>
          <w:b/>
          <w:i w:val="0"/>
          <w:color w:val="222222"/>
          <w:sz w:val="22"/>
        </w:rPr>
        <w:t>if logistics cost volatility exceeds the tariff preference, the FTA is commercially irrelevant on that SKU–lane pair.</w:t>
      </w:r>
    </w:p>
    <w:p>
      <w:pPr>
        <w:spacing w:before="280" w:after="120"/>
      </w:pPr>
      <w:r>
        <w:rPr>
          <w:rFonts w:ascii="Calibri" w:hAnsi="Calibri"/>
          <w:b w:val="0"/>
          <w:i w:val="0"/>
          <w:color w:val="1B365D"/>
          <w:sz w:val="28"/>
        </w:rPr>
        <w:t>6. Sector lenses: where supply chains feel FTAs first</w:t>
      </w:r>
    </w:p>
    <w:p>
      <w:pPr>
        <w:spacing w:after="120" w:line="276" w:lineRule="auto"/>
      </w:pPr>
      <w:r>
        <w:rPr>
          <w:rFonts w:ascii="Calibri" w:hAnsi="Calibri"/>
          <w:b/>
          <w:i w:val="0"/>
          <w:color w:val="222222"/>
          <w:sz w:val="22"/>
        </w:rPr>
        <w:t>Pharmaceuticals and chemicals.</w:t>
      </w:r>
      <w:r>
        <w:rPr>
          <w:rFonts w:ascii="Calibri" w:hAnsi="Calibri"/>
          <w:b w:val="0"/>
          <w:i w:val="0"/>
          <w:color w:val="222222"/>
          <w:sz w:val="22"/>
        </w:rPr>
        <w:t xml:space="preserve"> Regulated documentation, temperature control and lane reliability dominate. EU/UK/EFTA access raises the premium on GDP-compliant cold chain, airfreight contingency and batch-level traceability.</w:t>
      </w:r>
    </w:p>
    <w:p>
      <w:pPr>
        <w:spacing w:after="120" w:line="276" w:lineRule="auto"/>
      </w:pPr>
      <w:r>
        <w:rPr>
          <w:rFonts w:ascii="Calibri" w:hAnsi="Calibri"/>
          <w:b/>
          <w:i w:val="0"/>
          <w:color w:val="222222"/>
          <w:sz w:val="22"/>
        </w:rPr>
        <w:t>Textiles and apparel.</w:t>
      </w:r>
      <w:r>
        <w:rPr>
          <w:rFonts w:ascii="Calibri" w:hAnsi="Calibri"/>
          <w:b w:val="0"/>
          <w:i w:val="0"/>
          <w:color w:val="222222"/>
          <w:sz w:val="22"/>
        </w:rPr>
        <w:t xml:space="preserve"> Short buying cycles mean that ocean schedule integrity and near-port consolidation matter more than headline duty cuts. UK and EU preferences can revive labour-intensive clusters—if factory-to-port lead times compress.</w:t>
      </w:r>
    </w:p>
    <w:p>
      <w:pPr>
        <w:spacing w:after="120" w:line="276" w:lineRule="auto"/>
      </w:pPr>
      <w:r>
        <w:rPr>
          <w:rFonts w:ascii="Calibri" w:hAnsi="Calibri"/>
          <w:b/>
          <w:i w:val="0"/>
          <w:color w:val="222222"/>
          <w:sz w:val="22"/>
        </w:rPr>
        <w:t>Engineering and auto components.</w:t>
      </w:r>
      <w:r>
        <w:rPr>
          <w:rFonts w:ascii="Calibri" w:hAnsi="Calibri"/>
          <w:b w:val="0"/>
          <w:i w:val="0"/>
          <w:color w:val="222222"/>
          <w:sz w:val="22"/>
        </w:rPr>
        <w:t xml:space="preserve"> Timed deliveries, packaging standards and returnable transit packaging become part of FTA competitiveness. Europe-facing growth supports specialised breakbulk and RoRo-adjacent logistics.</w:t>
      </w:r>
    </w:p>
    <w:p>
      <w:pPr>
        <w:spacing w:after="120" w:line="276" w:lineRule="auto"/>
      </w:pPr>
      <w:r>
        <w:rPr>
          <w:rFonts w:ascii="Calibri" w:hAnsi="Calibri"/>
          <w:b/>
          <w:i w:val="0"/>
          <w:color w:val="222222"/>
          <w:sz w:val="22"/>
        </w:rPr>
        <w:t>Agriculture, food and marine.</w:t>
      </w:r>
      <w:r>
        <w:rPr>
          <w:rFonts w:ascii="Calibri" w:hAnsi="Calibri"/>
          <w:b w:val="0"/>
          <w:i w:val="0"/>
          <w:color w:val="222222"/>
          <w:sz w:val="22"/>
        </w:rPr>
        <w:t xml:space="preserve"> SPS measures often bind after tariffs fall. Reefer capacity, pack-houses, testing labs and cold warehouses are the real “market access” infrastructure.</w:t>
      </w:r>
    </w:p>
    <w:p>
      <w:pPr>
        <w:spacing w:after="120" w:line="276" w:lineRule="auto"/>
      </w:pPr>
      <w:r>
        <w:rPr>
          <w:rFonts w:ascii="Calibri" w:hAnsi="Calibri"/>
          <w:b/>
          <w:i w:val="0"/>
          <w:color w:val="222222"/>
          <w:sz w:val="22"/>
        </w:rPr>
        <w:t>Electronics and intermediates.</w:t>
      </w:r>
      <w:r>
        <w:rPr>
          <w:rFonts w:ascii="Calibri" w:hAnsi="Calibri"/>
          <w:b w:val="0"/>
          <w:i w:val="0"/>
          <w:color w:val="222222"/>
          <w:sz w:val="22"/>
        </w:rPr>
        <w:t xml:space="preserve"> ASEAN and East Asian supply webs reward firms that can manage multi-country bills of materials under strict RoO—again a compliance-plus-logistics capability.</w:t>
      </w:r>
    </w:p>
    <w:p>
      <w:pPr>
        <w:spacing w:before="280" w:after="120"/>
      </w:pPr>
      <w:r>
        <w:rPr>
          <w:rFonts w:ascii="Calibri" w:hAnsi="Calibri"/>
          <w:b w:val="0"/>
          <w:i w:val="0"/>
          <w:color w:val="1B365D"/>
          <w:sz w:val="28"/>
        </w:rPr>
        <w:t>7. Frictions that still mute FTA gains</w:t>
      </w:r>
    </w:p>
    <w:p>
      <w:pPr>
        <w:spacing w:after="120" w:line="276" w:lineRule="auto"/>
      </w:pPr>
      <w:r>
        <w:rPr>
          <w:rFonts w:ascii="Calibri" w:hAnsi="Calibri"/>
          <w:b w:val="0"/>
          <w:i w:val="0"/>
          <w:color w:val="222222"/>
          <w:sz w:val="22"/>
        </w:rPr>
        <w:t>Despite strong early numbers, several structural frictions remain:</w:t>
      </w:r>
    </w:p>
    <w:p>
      <w:pPr>
        <w:spacing w:after="120" w:line="276" w:lineRule="auto"/>
      </w:pPr>
      <w:r>
        <w:rPr>
          <w:rFonts w:ascii="Calibri" w:hAnsi="Calibri"/>
          <w:b w:val="0"/>
          <w:i w:val="0"/>
          <w:color w:val="222222"/>
          <w:sz w:val="22"/>
        </w:rPr>
        <w:t xml:space="preserve">1. </w:t>
      </w:r>
      <w:r>
        <w:rPr>
          <w:rFonts w:ascii="Calibri" w:hAnsi="Calibri"/>
          <w:b/>
          <w:i w:val="0"/>
          <w:color w:val="222222"/>
          <w:sz w:val="22"/>
        </w:rPr>
        <w:t>Landside bottlenecks</w:t>
      </w:r>
      <w:r>
        <w:rPr>
          <w:rFonts w:ascii="Calibri" w:hAnsi="Calibri"/>
          <w:b w:val="0"/>
          <w:i w:val="0"/>
          <w:color w:val="222222"/>
          <w:sz w:val="22"/>
        </w:rPr>
        <w:t xml:space="preserve"> around peak gateways can erase sailing advantages.</w:t>
      </w:r>
    </w:p>
    <w:p>
      <w:pPr>
        <w:spacing w:after="120" w:line="276" w:lineRule="auto"/>
      </w:pPr>
      <w:r>
        <w:rPr>
          <w:rFonts w:ascii="Calibri" w:hAnsi="Calibri"/>
          <w:b w:val="0"/>
          <w:i w:val="0"/>
          <w:color w:val="222222"/>
          <w:sz w:val="22"/>
        </w:rPr>
        <w:t xml:space="preserve">2. </w:t>
      </w:r>
      <w:r>
        <w:rPr>
          <w:rFonts w:ascii="Calibri" w:hAnsi="Calibri"/>
          <w:b/>
          <w:i w:val="0"/>
          <w:color w:val="222222"/>
          <w:sz w:val="22"/>
        </w:rPr>
        <w:t>Uneven state logistics capability</w:t>
      </w:r>
      <w:r>
        <w:rPr>
          <w:rFonts w:ascii="Calibri" w:hAnsi="Calibri"/>
          <w:b w:val="0"/>
          <w:i w:val="0"/>
          <w:color w:val="222222"/>
          <w:sz w:val="22"/>
        </w:rPr>
        <w:t xml:space="preserve"> means two exporters under the same FTA face different door-to-port realities.</w:t>
      </w:r>
    </w:p>
    <w:p>
      <w:pPr>
        <w:spacing w:after="120" w:line="276" w:lineRule="auto"/>
      </w:pPr>
      <w:r>
        <w:rPr>
          <w:rFonts w:ascii="Calibri" w:hAnsi="Calibri"/>
          <w:b w:val="0"/>
          <w:i w:val="0"/>
          <w:color w:val="222222"/>
          <w:sz w:val="22"/>
        </w:rPr>
        <w:t xml:space="preserve">3. </w:t>
      </w:r>
      <w:r>
        <w:rPr>
          <w:rFonts w:ascii="Calibri" w:hAnsi="Calibri"/>
          <w:b/>
          <w:i w:val="0"/>
          <w:color w:val="222222"/>
          <w:sz w:val="22"/>
        </w:rPr>
        <w:t>Non-tariff barriers</w:t>
      </w:r>
      <w:r>
        <w:rPr>
          <w:rFonts w:ascii="Calibri" w:hAnsi="Calibri"/>
          <w:b w:val="0"/>
          <w:i w:val="0"/>
          <w:color w:val="222222"/>
          <w:sz w:val="22"/>
        </w:rPr>
        <w:t>—standards, licensing, SPS—can outweigh tariff cuts.</w:t>
      </w:r>
    </w:p>
    <w:p>
      <w:pPr>
        <w:spacing w:after="120" w:line="276" w:lineRule="auto"/>
      </w:pPr>
      <w:r>
        <w:rPr>
          <w:rFonts w:ascii="Calibri" w:hAnsi="Calibri"/>
          <w:b w:val="0"/>
          <w:i w:val="0"/>
          <w:color w:val="222222"/>
          <w:sz w:val="22"/>
        </w:rPr>
        <w:t xml:space="preserve">4. </w:t>
      </w:r>
      <w:r>
        <w:rPr>
          <w:rFonts w:ascii="Calibri" w:hAnsi="Calibri"/>
          <w:b/>
          <w:i w:val="0"/>
          <w:color w:val="222222"/>
          <w:sz w:val="22"/>
        </w:rPr>
        <w:t>Documentation asymmetry</w:t>
      </w:r>
      <w:r>
        <w:rPr>
          <w:rFonts w:ascii="Calibri" w:hAnsi="Calibri"/>
          <w:b w:val="0"/>
          <w:i w:val="0"/>
          <w:color w:val="222222"/>
          <w:sz w:val="22"/>
        </w:rPr>
        <w:t xml:space="preserve"> between large exporters and MSMEs widens utilisation gaps.</w:t>
      </w:r>
    </w:p>
    <w:p>
      <w:pPr>
        <w:spacing w:after="120" w:line="276" w:lineRule="auto"/>
      </w:pPr>
      <w:r>
        <w:rPr>
          <w:rFonts w:ascii="Calibri" w:hAnsi="Calibri"/>
          <w:b w:val="0"/>
          <w:i w:val="0"/>
          <w:color w:val="222222"/>
          <w:sz w:val="22"/>
        </w:rPr>
        <w:t xml:space="preserve">5. </w:t>
      </w:r>
      <w:r>
        <w:rPr>
          <w:rFonts w:ascii="Calibri" w:hAnsi="Calibri"/>
          <w:b/>
          <w:i w:val="0"/>
          <w:color w:val="222222"/>
          <w:sz w:val="22"/>
        </w:rPr>
        <w:t>Geopolitical route shocks</w:t>
      </w:r>
      <w:r>
        <w:rPr>
          <w:rFonts w:ascii="Calibri" w:hAnsi="Calibri"/>
          <w:b w:val="0"/>
          <w:i w:val="0"/>
          <w:color w:val="222222"/>
          <w:sz w:val="22"/>
        </w:rPr>
        <w:t xml:space="preserve"> (Red Sea and chokepoints) raise freight and insurance, compressing preference value.</w:t>
      </w:r>
    </w:p>
    <w:p>
      <w:pPr>
        <w:spacing w:after="120" w:line="276" w:lineRule="auto"/>
      </w:pPr>
      <w:r>
        <w:rPr>
          <w:rFonts w:ascii="Calibri" w:hAnsi="Calibri"/>
          <w:b w:val="0"/>
          <w:i w:val="0"/>
          <w:color w:val="222222"/>
          <w:sz w:val="22"/>
        </w:rPr>
        <w:t xml:space="preserve">6. </w:t>
      </w:r>
      <w:r>
        <w:rPr>
          <w:rFonts w:ascii="Calibri" w:hAnsi="Calibri"/>
          <w:b/>
          <w:i w:val="0"/>
          <w:color w:val="222222"/>
          <w:sz w:val="22"/>
        </w:rPr>
        <w:t>FTL/spot behaviour in domestic haulage</w:t>
      </w:r>
      <w:r>
        <w:rPr>
          <w:rFonts w:ascii="Calibri" w:hAnsi="Calibri"/>
          <w:b w:val="0"/>
          <w:i w:val="0"/>
          <w:color w:val="222222"/>
          <w:sz w:val="22"/>
        </w:rPr>
        <w:t xml:space="preserve"> can make EXIM first-mile unpredictable even when mainline ocean capacity exists.</w:t>
      </w:r>
    </w:p>
    <w:p>
      <w:pPr>
        <w:spacing w:after="120" w:line="276" w:lineRule="auto"/>
      </w:pPr>
      <w:r>
        <w:rPr>
          <w:rFonts w:ascii="Calibri" w:hAnsi="Calibri"/>
          <w:b w:val="0"/>
          <w:i w:val="0"/>
          <w:color w:val="222222"/>
          <w:sz w:val="22"/>
        </w:rPr>
        <w:t>FTAs amplify efficient corridors; they also expose weak ones.</w:t>
      </w:r>
    </w:p>
    <w:p>
      <w:pPr>
        <w:spacing w:before="280" w:after="120"/>
      </w:pPr>
      <w:r>
        <w:rPr>
          <w:rFonts w:ascii="Calibri" w:hAnsi="Calibri"/>
          <w:b w:val="0"/>
          <w:i w:val="0"/>
          <w:color w:val="1B365D"/>
          <w:sz w:val="28"/>
        </w:rPr>
        <w:t>8. Future outlook: 2026–2035</w:t>
      </w:r>
    </w:p>
    <w:p>
      <w:pPr>
        <w:spacing w:before="200" w:after="80"/>
      </w:pPr>
      <w:r>
        <w:rPr>
          <w:rFonts w:ascii="Calibri" w:hAnsi="Calibri"/>
          <w:b w:val="0"/>
          <w:i w:val="0"/>
          <w:color w:val="0F6C8C"/>
          <w:sz w:val="24"/>
        </w:rPr>
        <w:t>Base case</w:t>
      </w:r>
    </w:p>
    <w:p>
      <w:pPr>
        <w:spacing w:after="120" w:line="276" w:lineRule="auto"/>
      </w:pPr>
      <w:r>
        <w:rPr>
          <w:rFonts w:ascii="Calibri" w:hAnsi="Calibri"/>
          <w:b w:val="0"/>
          <w:i w:val="0"/>
          <w:color w:val="222222"/>
          <w:sz w:val="22"/>
        </w:rPr>
        <w:t>India’s FTA network continues to deepen utilisation on Gulf, UK/Europe and Australia lanes. West-coast container throughput and CFS/warehouse demand rise steadily. CoO digitisation improves. Logistics cost as a share of GDP drifts down gradually as DFCs, multimodal terminals and port process standardisation mature. Organised 3PLs gain share on preferential EXIM lanes.</w:t>
      </w:r>
    </w:p>
    <w:p>
      <w:pPr>
        <w:spacing w:before="200" w:after="80"/>
      </w:pPr>
      <w:r>
        <w:rPr>
          <w:rFonts w:ascii="Calibri" w:hAnsi="Calibri"/>
          <w:b w:val="0"/>
          <w:i w:val="0"/>
          <w:color w:val="0F6C8C"/>
          <w:sz w:val="24"/>
        </w:rPr>
        <w:t>Upside case</w:t>
      </w:r>
    </w:p>
    <w:p>
      <w:pPr>
        <w:spacing w:after="120" w:line="276" w:lineRule="auto"/>
      </w:pPr>
      <w:r>
        <w:rPr>
          <w:rFonts w:ascii="Calibri" w:hAnsi="Calibri"/>
          <w:b w:val="0"/>
          <w:i w:val="0"/>
          <w:color w:val="222222"/>
          <w:sz w:val="22"/>
        </w:rPr>
        <w:t xml:space="preserve">India–EU implementation, stronger UK/EFTA utilisation, progress on IMEC and more reliable INSTC options create a </w:t>
      </w:r>
      <w:r>
        <w:rPr>
          <w:rFonts w:ascii="Calibri" w:hAnsi="Calibri"/>
          <w:b/>
          <w:i w:val="0"/>
          <w:color w:val="222222"/>
          <w:sz w:val="22"/>
        </w:rPr>
        <w:t>diversified Europe-facing portfolio</w:t>
      </w:r>
      <w:r>
        <w:rPr>
          <w:rFonts w:ascii="Calibri" w:hAnsi="Calibri"/>
          <w:b w:val="0"/>
          <w:i w:val="0"/>
          <w:color w:val="222222"/>
          <w:sz w:val="22"/>
        </w:rPr>
        <w:t xml:space="preserve"> (Suez + Gulf landbridge + North–South). Preferential trade supports near-port manufacturing and export-oriented industrial parks rated for connectivity and digital readiness. India becomes a standard call on more mainline services, reducing dependence on hub-and-spoke delay.</w:t>
      </w:r>
    </w:p>
    <w:p>
      <w:pPr>
        <w:spacing w:before="200" w:after="80"/>
      </w:pPr>
      <w:r>
        <w:rPr>
          <w:rFonts w:ascii="Calibri" w:hAnsi="Calibri"/>
          <w:b w:val="0"/>
          <w:i w:val="0"/>
          <w:color w:val="0F6C8C"/>
          <w:sz w:val="24"/>
        </w:rPr>
        <w:t>Downside case</w:t>
      </w:r>
    </w:p>
    <w:p>
      <w:pPr>
        <w:spacing w:after="120" w:line="276" w:lineRule="auto"/>
      </w:pPr>
      <w:r>
        <w:rPr>
          <w:rFonts w:ascii="Calibri" w:hAnsi="Calibri"/>
          <w:b w:val="0"/>
          <w:i w:val="0"/>
          <w:color w:val="222222"/>
          <w:sz w:val="22"/>
        </w:rPr>
        <w:t>Geopolitical disruption, slow corridor bankability, and persistent dwell/N TB frictions keep preference margins theoretical. Exporters over-index on a few Gulf commodities; MSME utilisation stalls; shipping lines redeploy capacity to more predictable trades.</w:t>
      </w:r>
    </w:p>
    <w:p>
      <w:pPr>
        <w:spacing w:before="200" w:after="80"/>
      </w:pPr>
      <w:r>
        <w:rPr>
          <w:rFonts w:ascii="Calibri" w:hAnsi="Calibri"/>
          <w:b w:val="0"/>
          <w:i w:val="0"/>
          <w:color w:val="0F6C8C"/>
          <w:sz w:val="24"/>
        </w:rPr>
        <w:t>What will differentiate winners</w:t>
      </w:r>
    </w:p>
    <w:p>
      <w:pPr>
        <w:pStyle w:val="ListBullet"/>
      </w:pPr>
      <w:r>
        <w:rPr>
          <w:rFonts w:ascii="Calibri" w:hAnsi="Calibri"/>
          <w:b/>
          <w:i w:val="0"/>
          <w:color w:val="222222"/>
          <w:sz w:val="22"/>
        </w:rPr>
        <w:t>FTA-aware network design:</w:t>
      </w:r>
      <w:r>
        <w:rPr>
          <w:rFonts w:ascii="Calibri" w:hAnsi="Calibri"/>
          <w:b w:val="0"/>
          <w:i w:val="0"/>
          <w:color w:val="222222"/>
          <w:sz w:val="22"/>
        </w:rPr>
        <w:t xml:space="preserve"> SKU–lane matrices that compare preference margin with door-to-door cost and variability.</w:t>
      </w:r>
    </w:p>
    <w:p>
      <w:pPr>
        <w:pStyle w:val="ListBullet"/>
      </w:pPr>
      <w:r>
        <w:rPr>
          <w:rFonts w:ascii="Calibri" w:hAnsi="Calibri"/>
          <w:b/>
          <w:i w:val="0"/>
          <w:color w:val="222222"/>
          <w:sz w:val="22"/>
        </w:rPr>
        <w:t>Compliance embedded in logistics:</w:t>
      </w:r>
      <w:r>
        <w:rPr>
          <w:rFonts w:ascii="Calibri" w:hAnsi="Calibri"/>
          <w:b w:val="0"/>
          <w:i w:val="0"/>
          <w:color w:val="222222"/>
          <w:sz w:val="22"/>
        </w:rPr>
        <w:t xml:space="preserve"> origin, classification and documentation inside the execution stack.</w:t>
      </w:r>
    </w:p>
    <w:p>
      <w:pPr>
        <w:pStyle w:val="ListBullet"/>
      </w:pPr>
      <w:r>
        <w:rPr>
          <w:rFonts w:ascii="Calibri" w:hAnsi="Calibri"/>
          <w:b/>
          <w:i w:val="0"/>
          <w:color w:val="222222"/>
          <w:sz w:val="22"/>
        </w:rPr>
        <w:t>Multimodal discipline:</w:t>
      </w:r>
      <w:r>
        <w:rPr>
          <w:rFonts w:ascii="Calibri" w:hAnsi="Calibri"/>
          <w:b w:val="0"/>
          <w:i w:val="0"/>
          <w:color w:val="222222"/>
          <w:sz w:val="22"/>
        </w:rPr>
        <w:t xml:space="preserve"> rail and coastal options for gateway haul to protect margins.</w:t>
      </w:r>
    </w:p>
    <w:p>
      <w:pPr>
        <w:pStyle w:val="ListBullet"/>
      </w:pPr>
      <w:r>
        <w:rPr>
          <w:rFonts w:ascii="Calibri" w:hAnsi="Calibri"/>
          <w:b/>
          <w:i w:val="0"/>
          <w:color w:val="222222"/>
          <w:sz w:val="22"/>
        </w:rPr>
        <w:t>Cold chain and quality logistics</w:t>
      </w:r>
      <w:r>
        <w:rPr>
          <w:rFonts w:ascii="Calibri" w:hAnsi="Calibri"/>
          <w:b w:val="0"/>
          <w:i w:val="0"/>
          <w:color w:val="222222"/>
          <w:sz w:val="22"/>
        </w:rPr>
        <w:t xml:space="preserve"> for regulated and perishable growth segments.</w:t>
      </w:r>
    </w:p>
    <w:p>
      <w:pPr>
        <w:pStyle w:val="ListBullet"/>
      </w:pPr>
      <w:r>
        <w:rPr>
          <w:rFonts w:ascii="Calibri" w:hAnsi="Calibri"/>
          <w:b/>
          <w:i w:val="0"/>
          <w:color w:val="222222"/>
          <w:sz w:val="22"/>
        </w:rPr>
        <w:t>Data visibility:</w:t>
      </w:r>
      <w:r>
        <w:rPr>
          <w:rFonts w:ascii="Calibri" w:hAnsi="Calibri"/>
          <w:b w:val="0"/>
          <w:i w:val="0"/>
          <w:color w:val="222222"/>
          <w:sz w:val="22"/>
        </w:rPr>
        <w:t xml:space="preserve"> ULIP-linked and shipper-forwarder platforms that make exceptions manageable.</w:t>
      </w:r>
    </w:p>
    <w:p>
      <w:pPr>
        <w:spacing w:before="280" w:after="120"/>
      </w:pPr>
      <w:r>
        <w:rPr>
          <w:rFonts w:ascii="Calibri" w:hAnsi="Calibri"/>
          <w:b w:val="0"/>
          <w:i w:val="0"/>
          <w:color w:val="1B365D"/>
          <w:sz w:val="28"/>
        </w:rPr>
        <w:t>9. A practical agenda for government and industry</w:t>
      </w:r>
    </w:p>
    <w:p>
      <w:pPr>
        <w:spacing w:after="120" w:line="276" w:lineRule="auto"/>
      </w:pPr>
      <w:r>
        <w:rPr>
          <w:rFonts w:ascii="Calibri" w:hAnsi="Calibri"/>
          <w:b/>
          <w:i w:val="0"/>
          <w:color w:val="222222"/>
          <w:sz w:val="22"/>
        </w:rPr>
        <w:t>For government</w:t>
      </w:r>
    </w:p>
    <w:p>
      <w:pPr>
        <w:pStyle w:val="ListBullet"/>
      </w:pPr>
      <w:r>
        <w:rPr>
          <w:rFonts w:ascii="Calibri" w:hAnsi="Calibri"/>
          <w:b w:val="0"/>
          <w:i w:val="0"/>
          <w:color w:val="222222"/>
          <w:sz w:val="22"/>
        </w:rPr>
        <w:t xml:space="preserve">Publish an annual </w:t>
      </w:r>
      <w:r>
        <w:rPr>
          <w:rFonts w:ascii="Calibri" w:hAnsi="Calibri"/>
          <w:b/>
          <w:i w:val="0"/>
          <w:color w:val="222222"/>
          <w:sz w:val="22"/>
        </w:rPr>
        <w:t>FTA–Logistics Scorecard</w:t>
      </w:r>
      <w:r>
        <w:rPr>
          <w:rFonts w:ascii="Calibri" w:hAnsi="Calibri"/>
          <w:b w:val="0"/>
          <w:i w:val="0"/>
          <w:color w:val="222222"/>
          <w:sz w:val="22"/>
        </w:rPr>
        <w:t xml:space="preserve"> (utilisation, dwell, gateway mix, MSME share, lane reliability).</w:t>
      </w:r>
    </w:p>
    <w:p>
      <w:pPr>
        <w:pStyle w:val="ListBullet"/>
      </w:pPr>
      <w:r>
        <w:rPr>
          <w:rFonts w:ascii="Calibri" w:hAnsi="Calibri"/>
          <w:b w:val="0"/>
          <w:i w:val="0"/>
          <w:color w:val="222222"/>
          <w:sz w:val="22"/>
        </w:rPr>
        <w:t>Align Sagarmala, DFC and Gati Shakti prioritisation with high-growth FTA corridors.</w:t>
      </w:r>
    </w:p>
    <w:p>
      <w:pPr>
        <w:pStyle w:val="ListBullet"/>
      </w:pPr>
      <w:r>
        <w:rPr>
          <w:rFonts w:ascii="Calibri" w:hAnsi="Calibri"/>
          <w:b w:val="0"/>
          <w:i w:val="0"/>
          <w:color w:val="222222"/>
          <w:sz w:val="22"/>
        </w:rPr>
        <w:t>Accelerate paperless CoO, mutual recognition and customs interoperability with priority partners.</w:t>
      </w:r>
    </w:p>
    <w:p>
      <w:pPr>
        <w:pStyle w:val="ListBullet"/>
      </w:pPr>
      <w:r>
        <w:rPr>
          <w:rFonts w:ascii="Calibri" w:hAnsi="Calibri"/>
          <w:b w:val="0"/>
          <w:i w:val="0"/>
          <w:color w:val="222222"/>
          <w:sz w:val="22"/>
        </w:rPr>
        <w:t>Invest in reefer ecosystems and testing/SPS capacity as market-access infrastructure.</w:t>
      </w:r>
    </w:p>
    <w:p>
      <w:pPr>
        <w:pStyle w:val="ListBullet"/>
      </w:pPr>
      <w:r>
        <w:rPr>
          <w:rFonts w:ascii="Calibri" w:hAnsi="Calibri"/>
          <w:b w:val="0"/>
          <w:i w:val="0"/>
          <w:color w:val="222222"/>
          <w:sz w:val="22"/>
        </w:rPr>
        <w:t>Use trade facilitation chapters as operating reforms, not legal text alone.</w:t>
      </w:r>
    </w:p>
    <w:p>
      <w:pPr>
        <w:spacing w:after="120" w:line="276" w:lineRule="auto"/>
      </w:pPr>
      <w:r>
        <w:rPr>
          <w:rFonts w:ascii="Calibri" w:hAnsi="Calibri"/>
          <w:b/>
          <w:i w:val="0"/>
          <w:color w:val="222222"/>
          <w:sz w:val="22"/>
        </w:rPr>
        <w:t>For shippers and logistics providers</w:t>
      </w:r>
    </w:p>
    <w:p>
      <w:pPr>
        <w:pStyle w:val="ListBullet"/>
      </w:pPr>
      <w:r>
        <w:rPr>
          <w:rFonts w:ascii="Calibri" w:hAnsi="Calibri"/>
          <w:b w:val="0"/>
          <w:i w:val="0"/>
          <w:color w:val="222222"/>
          <w:sz w:val="22"/>
        </w:rPr>
        <w:t>Build preference–cost dashboards at SKU and lane level.</w:t>
      </w:r>
    </w:p>
    <w:p>
      <w:pPr>
        <w:pStyle w:val="ListBullet"/>
      </w:pPr>
      <w:r>
        <w:rPr>
          <w:rFonts w:ascii="Calibri" w:hAnsi="Calibri"/>
          <w:b w:val="0"/>
          <w:i w:val="0"/>
          <w:color w:val="222222"/>
          <w:sz w:val="22"/>
        </w:rPr>
        <w:t>Pre-qualify alternate gateways and routings for Europe/Gulf risk scenarios.</w:t>
      </w:r>
    </w:p>
    <w:p>
      <w:pPr>
        <w:pStyle w:val="ListBullet"/>
      </w:pPr>
      <w:r>
        <w:rPr>
          <w:rFonts w:ascii="Calibri" w:hAnsi="Calibri"/>
          <w:b w:val="0"/>
          <w:i w:val="0"/>
          <w:color w:val="222222"/>
          <w:sz w:val="22"/>
        </w:rPr>
        <w:t>Treat RoO and CoO management as a core supply-chain process.</w:t>
      </w:r>
    </w:p>
    <w:p>
      <w:pPr>
        <w:pStyle w:val="ListBullet"/>
      </w:pPr>
      <w:r>
        <w:rPr>
          <w:rFonts w:ascii="Calibri" w:hAnsi="Calibri"/>
          <w:b w:val="0"/>
          <w:i w:val="0"/>
          <w:color w:val="222222"/>
          <w:sz w:val="22"/>
        </w:rPr>
        <w:t>Design inventory policies around schedule reliability, not only mean transit time.</w:t>
      </w:r>
    </w:p>
    <w:p>
      <w:pPr>
        <w:pStyle w:val="ListBullet"/>
      </w:pPr>
      <w:r>
        <w:rPr>
          <w:rFonts w:ascii="Calibri" w:hAnsi="Calibri"/>
          <w:b w:val="0"/>
          <w:i w:val="0"/>
          <w:color w:val="222222"/>
          <w:sz w:val="22"/>
        </w:rPr>
        <w:t>Partner early on near-port and bonded capacity where bilateral trade targets imply multi-year volume.</w:t>
      </w:r>
    </w:p>
    <w:p>
      <w:pPr>
        <w:spacing w:before="280" w:after="120"/>
      </w:pPr>
      <w:r>
        <w:rPr>
          <w:rFonts w:ascii="Calibri" w:hAnsi="Calibri"/>
          <w:b w:val="0"/>
          <w:i w:val="0"/>
          <w:color w:val="1B365D"/>
          <w:sz w:val="28"/>
        </w:rPr>
        <w:t>10. Conclusion</w:t>
      </w:r>
    </w:p>
    <w:p>
      <w:pPr>
        <w:spacing w:after="120" w:line="276" w:lineRule="auto"/>
      </w:pPr>
      <w:r>
        <w:rPr>
          <w:rFonts w:ascii="Calibri" w:hAnsi="Calibri"/>
          <w:b w:val="0"/>
          <w:i w:val="0"/>
          <w:color w:val="222222"/>
          <w:sz w:val="22"/>
        </w:rPr>
        <w:t>India’s free trade agreements are redrawing the commercial map of EXIM. The UAE corridor already shows what success looks like: rising exports, broader product penetration and heavy preference utilisation. Australia, EFTA, the UK and a future EU implementation extend that logic across the Indo-Pacific and Europe. Yet the strategic lesson is blunt.</w:t>
      </w:r>
    </w:p>
    <w:p>
      <w:pPr>
        <w:spacing w:after="120" w:line="276" w:lineRule="auto"/>
      </w:pPr>
      <w:r>
        <w:rPr>
          <w:rFonts w:ascii="Calibri" w:hAnsi="Calibri"/>
          <w:b/>
          <w:i w:val="0"/>
          <w:color w:val="222222"/>
          <w:sz w:val="22"/>
        </w:rPr>
        <w:t>Tariffs open doors; logistics moves cargo through them.</w:t>
      </w:r>
    </w:p>
    <w:p>
      <w:pPr>
        <w:spacing w:after="120" w:line="276" w:lineRule="auto"/>
      </w:pPr>
      <w:r>
        <w:rPr>
          <w:rFonts w:ascii="Calibri" w:hAnsi="Calibri"/>
          <w:b w:val="0"/>
          <w:i w:val="0"/>
          <w:color w:val="222222"/>
          <w:sz w:val="22"/>
        </w:rPr>
        <w:t>The countries, companies and corridors that win the next decade will be those that treat FTAs as end-to-end supply-chain programmes—integrating ports, rail, warehousing, customs digitisation, cold chain and origin compliance into one operating system. If India can pair its expanding FTA portfolio with reliable, cost-competitive trade lanes, preferential access will compound into durable export competitiveness. If not, market access will remain a spreadsheet advantage that never fully reaches the customer.</w:t>
      </w:r>
    </w:p>
    <w:p>
      <w:pPr>
        <w:spacing w:before="200" w:after="80"/>
      </w:pPr>
      <w:r>
        <w:rPr>
          <w:rFonts w:ascii="Calibri" w:hAnsi="Calibri"/>
          <w:b w:val="0"/>
          <w:i w:val="0"/>
          <w:color w:val="0F6C8C"/>
          <w:sz w:val="24"/>
        </w:rPr>
        <w:t>Suggested citation note</w:t>
      </w:r>
    </w:p>
    <w:p>
      <w:pPr>
        <w:spacing w:after="120" w:line="276" w:lineRule="auto"/>
      </w:pPr>
      <w:r>
        <w:rPr>
          <w:rFonts w:ascii="Calibri" w:hAnsi="Calibri"/>
          <w:b w:val="0"/>
          <w:i w:val="0"/>
          <w:color w:val="222222"/>
          <w:sz w:val="22"/>
        </w:rPr>
        <w:t>Figures cited on bilateral trade, Certificates of Origin and agreement coverage draw on recent Government of India commerce/PIB briefings and related official updates (including FY25–FY26 FTA performance summaries). Logistics cost estimates refer to DPIIT–NCAER assessment for 2023–24. Corridor performance claims for INSTC/IMEC are based on publicly cited planning estimates and should be treated as indicative until fully operationalised.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