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 Influence of LLM-Generated Content on User Cognitive Load</w:t>
      </w:r>
    </w:p>
    <w:p>
      <w:pPr>
        <w:jc w:val="center"/>
      </w:pPr>
      <w:r>
        <w:rPr>
          <w:b/>
          <w:sz w:val="36"/>
        </w:rPr>
        <w:t>and Decision-Making in Cybersecurity Contexts</w:t>
      </w:r>
    </w:p>
    <w:p>
      <w:pPr>
        <w:jc w:val="center"/>
      </w:pPr>
      <w:r>
        <w:rPr>
          <w:sz w:val="28"/>
        </w:rPr>
        <w:t>Master's Thesis with PhD Research Trajectory</w:t>
      </w:r>
    </w:p>
    <w:p>
      <w:pPr>
        <w:jc w:val="center"/>
      </w:pPr>
      <w:r>
        <w:rPr>
          <w:sz w:val="28"/>
        </w:rPr>
        <w:t>Ojasvi Ojasvi</w:t>
      </w:r>
    </w:p>
    <w:p>
      <w:pPr>
        <w:jc w:val="center"/>
      </w:pPr>
      <w:r>
        <w:rPr>
          <w:sz w:val="24"/>
        </w:rPr>
        <w:t>November 2025</w:t>
      </w:r>
    </w:p>
    <w:p>
      <w:r>
        <w:br w:type="page"/>
      </w:r>
    </w:p>
    <w:p>
      <w:pPr>
        <w:pStyle w:val="Heading1"/>
      </w:pPr>
      <w:r>
        <w:t>Table of Contents</w:t>
      </w:r>
    </w:p>
    <w:p>
      <w:r>
        <w:t>(Auto-generated in Microsoft Word by right-clicking and selecting "Update Field")</w:t>
      </w:r>
    </w:p>
    <w:p>
      <w:r>
        <w:br w:type="page"/>
      </w:r>
    </w:p>
    <w:p>
      <w:pPr>
        <w:pStyle w:val="Heading1"/>
      </w:pPr>
      <w:r>
        <w:t>Executive Summary</w:t>
      </w:r>
    </w:p>
    <w:p>
      <w:r>
        <w:t>This thesis investigates how Large Language Models (LLMs) influence cognitive load and decision-making processes in cybersecurity contexts, with specific focus on cybersecurity trainees and students. The research addresses a critical gap at the intersection of artificial intelligence, human-computer interaction, and cybersecurity education. As organizations increasingly integrate LLMs into security workflows, understanding their cognitive and behavioral impacts becomes essential for developing effective training protocols and safe AI integration strategies.</w:t>
      </w:r>
    </w:p>
    <w:p>
      <w:r>
        <w:t>The master's research establishes foundational empirical evidence on LLM-generated dark patterns and their effects on novice security practitioners. This work is designed to naturally extend into a comprehensive PhD research program that examines the broader ecosystem of AI-mediated security decision-making, develops intervention frameworks, and produces evidence-based guidelines for responsible AI integration in cybersecurity training and practice.</w:t>
      </w:r>
    </w:p>
    <w:p>
      <w:r>
        <w:br w:type="page"/>
      </w:r>
    </w:p>
    <w:p>
      <w:pPr>
        <w:pStyle w:val="Heading1"/>
      </w:pPr>
      <w:r>
        <w:t>Part I: Master's Thesis Foundation</w:t>
      </w:r>
    </w:p>
    <w:p>
      <w:pPr>
        <w:pStyle w:val="Heading2"/>
      </w:pPr>
      <w:r>
        <w:t>1. Introduction</w:t>
      </w:r>
    </w:p>
    <w:p>
      <w:pPr>
        <w:pStyle w:val="Heading3"/>
      </w:pPr>
      <w:r>
        <w:t>1.1 Research Context</w:t>
      </w:r>
    </w:p>
    <w:p>
      <w:r>
        <w:t>Large Language Models have rapidly evolved from experimental systems to practical tools integrated across professional domains. In cybersecurity, LLMs are increasingly used for threat analysis, code review, policy interpretation, and security advisory functions. However, this integration occurs without comprehensive understanding of how these systems influence the cognitive processes and decision-making patterns of security practitioners, particularly those in training phases.</w:t>
      </w:r>
    </w:p>
    <w:p>
      <w:r>
        <w:t>Recent literature reveals concerning patterns: LLMs can exhibit cognitive biases, generate persuasive but incorrect information, and produce subtle manipulative patterns—termed "dark patterns." When cybersecurity trainees rely on these systems during high-stakes decision-making scenarios, the implications extend beyond individual errors to systemic security vulnerabilities.</w:t>
      </w:r>
    </w:p>
    <w:p>
      <w:pPr>
        <w:pStyle w:val="Heading3"/>
      </w:pPr>
      <w:r>
        <w:t>1.2 Research Significance</w:t>
      </w:r>
    </w:p>
    <w:p>
      <w:r>
        <w:t>This research addresses three critical gaps:</w:t>
      </w:r>
    </w:p>
    <w:p>
      <w:pPr>
        <w:pStyle w:val="ListBullet"/>
      </w:pPr>
      <w:r>
        <w:rPr>
          <w:b w:val="0"/>
        </w:rPr>
        <w:t>Limited empirical evidence on how LLM-generated content affects cognitive load during cybersecurity tasks</w:t>
      </w:r>
      <w:r>
        <w:t xml:space="preserve"> – While studies examine general AI reliance, cybersecurity contexts involve unique stressors including time pressure, high-stakes consequences, and technical complexity</w:t>
      </w:r>
    </w:p>
    <w:p>
      <w:pPr>
        <w:pStyle w:val="ListBullet"/>
      </w:pPr>
      <w:r>
        <w:rPr>
          <w:b w:val="0"/>
        </w:rPr>
        <w:t>Insufficient understanding of dark patterns in LLM outputs specific to security domains</w:t>
      </w:r>
      <w:r>
        <w:t xml:space="preserve"> – Existing taxonomies of AI dark patterns lack cybersecurity-specific categorization and impact assessment</w:t>
      </w:r>
    </w:p>
    <w:p>
      <w:pPr>
        <w:pStyle w:val="ListBullet"/>
      </w:pPr>
      <w:r>
        <w:rPr>
          <w:b w:val="0"/>
        </w:rPr>
        <w:t>Absence of targeted interventions for cybersecurity education</w:t>
      </w:r>
      <w:r>
        <w:t xml:space="preserve"> – Training programs lack evidence-based guidelines for integrating LLMs while maintaining critical thinking and security protocol adherence</w:t>
      </w:r>
    </w:p>
    <w:p>
      <w:pPr>
        <w:pStyle w:val="Heading3"/>
      </w:pPr>
      <w:r>
        <w:t>1.3 Master's Thesis Scope</w:t>
      </w:r>
    </w:p>
    <w:p>
      <w:r>
        <w:t>The master's research focuses on establishing foundational empirical evidence through controlled experiments with cybersecurity trainees and students. This phase prioritizes:</w:t>
      </w:r>
    </w:p>
    <w:p>
      <w:pPr>
        <w:pStyle w:val="ListNumber"/>
      </w:pPr>
      <w:r>
        <w:t>Identifying and categorizing LLM-generated dark patterns in cybersecurity contexts</w:t>
      </w:r>
    </w:p>
    <w:p>
      <w:pPr>
        <w:pStyle w:val="ListNumber"/>
      </w:pPr>
      <w:r>
        <w:t>Measuring cognitive load effects through physiological indicators (pupil dilation) and task performance metrics</w:t>
      </w:r>
    </w:p>
    <w:p>
      <w:pPr>
        <w:pStyle w:val="ListNumber"/>
      </w:pPr>
      <w:r>
        <w:t>Documenting behavioral responses including security protocol adherence and risk-taking patterns</w:t>
      </w:r>
    </w:p>
    <w:p>
      <w:pPr>
        <w:pStyle w:val="ListNumber"/>
      </w:pPr>
      <w:r>
        <w:t>Comparing susceptibility patterns between cybersecurity trainees and general populations</w:t>
      </w:r>
    </w:p>
    <w:p>
      <w:r>
        <w:br w:type="page"/>
      </w:r>
    </w:p>
    <w:p>
      <w:pPr>
        <w:pStyle w:val="Heading2"/>
      </w:pPr>
      <w:r>
        <w:t>2. Research Questions</w:t>
      </w:r>
    </w:p>
    <w:p>
      <w:r>
        <w:t>The master's thesis investigates eight primary research questions, organized into three thematic clusters:</w:t>
      </w:r>
    </w:p>
    <w:p>
      <w:pPr>
        <w:pStyle w:val="Heading3"/>
      </w:pPr>
      <w:r>
        <w:t>2.1 LLM Output Characterization</w:t>
      </w:r>
    </w:p>
    <w:p>
      <w:r>
        <w:rPr>
          <w:b/>
        </w:rPr>
        <w:t>RQ1: What types of dark patterns emerge in LLM-generated content for cybersecurity queries?</w:t>
      </w:r>
    </w:p>
    <w:p>
      <w:r>
        <w:t>This question establishes a taxonomy specific to cybersecurity applications, examining linguistic manipulation, persuasive techniques, and deceptive framing patterns that may compromise security decision-making.</w:t>
      </w:r>
    </w:p>
    <w:p>
      <w:r>
        <w:rPr>
          <w:b/>
        </w:rPr>
        <w:t>RQ2: How do LLMs respond to different categories of cybersecurity questions?</w:t>
      </w:r>
    </w:p>
    <w:p>
      <w:r>
        <w:t>Analysis of response patterns across threat assessment, policy interpretation, technical troubleshooting, and risk evaluation scenarios to identify consistency, accuracy, and potential manipulation patterns.</w:t>
      </w:r>
    </w:p>
    <w:p>
      <w:pPr>
        <w:pStyle w:val="Heading3"/>
      </w:pPr>
      <w:r>
        <w:t>2.2 Cognitive and Behavioral Effects</w:t>
      </w:r>
    </w:p>
    <w:p>
      <w:r>
        <w:rPr>
          <w:b/>
        </w:rPr>
        <w:t>RQ3: Does cognitive load affect users' interaction patterns with generative AI models?</w:t>
      </w:r>
    </w:p>
    <w:p>
      <w:r>
        <w:t>Investigation of how task complexity and mental workload influence reliance on LLM suggestions, query formulation strategies, and verification behaviors.</w:t>
      </w:r>
    </w:p>
    <w:p>
      <w:r>
        <w:rPr>
          <w:b/>
        </w:rPr>
        <w:t>RQ4: How do dark patterns affect user cognition in cybersecurity contexts?</w:t>
      </w:r>
    </w:p>
    <w:p>
      <w:r>
        <w:t>Measurement of mental effort, decision confidence, cognitive bias manifestation, and security judgment quality when exposed to various dark pattern categories.</w:t>
      </w:r>
    </w:p>
    <w:p>
      <w:r>
        <w:rPr>
          <w:b/>
        </w:rPr>
        <w:t>RQ5: Do these cognitive effects translate to increased cybersecurity risk behaviors?</w:t>
      </w:r>
    </w:p>
    <w:p>
      <w:r>
        <w:t>Quantification of specific behavioral risks:</w:t>
      </w:r>
    </w:p>
    <w:p>
      <w:pPr>
        <w:pStyle w:val="ListBullet"/>
      </w:pPr>
      <w:r>
        <w:t>Risky link-clicking behavior in simulated phishing scenarios</w:t>
      </w:r>
    </w:p>
    <w:p>
      <w:pPr>
        <w:pStyle w:val="ListBullet"/>
      </w:pPr>
      <w:r>
        <w:t>Acceptance of incorrect or insecure security advice</w:t>
      </w:r>
    </w:p>
    <w:p>
      <w:pPr>
        <w:pStyle w:val="ListBullet"/>
      </w:pPr>
      <w:r>
        <w:t>Oversharing of sensitive information in AI interactions</w:t>
      </w:r>
    </w:p>
    <w:p>
      <w:r>
        <w:rPr>
          <w:b/>
        </w:rPr>
        <w:t>RQ6: How do cognitive load, stress, and multitasking affect user accuracy during cybersecurity tasks?</w:t>
      </w:r>
    </w:p>
    <w:p>
      <w:r>
        <w:t>Analysis of decision quality degradation under varying workload conditions, examining the interaction between environmental stressors and AI reliance patterns.</w:t>
      </w:r>
    </w:p>
    <w:p>
      <w:pPr>
        <w:pStyle w:val="Heading3"/>
      </w:pPr>
      <w:r>
        <w:t>2.3 Population-Specific Factors</w:t>
      </w:r>
    </w:p>
    <w:p>
      <w:r>
        <w:rPr>
          <w:b/>
        </w:rPr>
        <w:t>RQ7: Are cybersecurity trainees more resistant to LLM influence than general users?</w:t>
      </w:r>
    </w:p>
    <w:p>
      <w:r>
        <w:t>Comparative analysis of critical evaluation skills, verification behaviors, and susceptibility to persuasive AI content between cybersecurity students and non-specialist populations.</w:t>
      </w:r>
    </w:p>
    <w:p>
      <w:r>
        <w:rPr>
          <w:b/>
        </w:rPr>
        <w:t>RQ8: Do LLM suggestions lead trainees to bypass established security protocols?</w:t>
      </w:r>
    </w:p>
    <w:p>
      <w:r>
        <w:t>Investigation of protocol adherence when AI recommendations conflict with standard procedures, including documentation requirements, verification steps, and escalation protocols.</w:t>
      </w:r>
    </w:p>
    <w:p>
      <w:r>
        <w:br w:type="page"/>
      </w:r>
    </w:p>
    <w:p>
      <w:pPr>
        <w:pStyle w:val="Heading2"/>
      </w:pPr>
      <w:r>
        <w:t>3. Methodology</w:t>
      </w:r>
    </w:p>
    <w:p>
      <w:pPr>
        <w:pStyle w:val="Heading3"/>
      </w:pPr>
      <w:r>
        <w:t>3.1 Research Design</w:t>
      </w:r>
    </w:p>
    <w:p>
      <w:r>
        <w:t>Mixed-methods experimental design combining quantitative physiological measurements, behavioral tracking, and qualitative analysis. The study employs a 2x3 factorial design comparing cybersecurity trainees versus general users across three cognitive load conditions (low, moderate, high).</w:t>
      </w:r>
    </w:p>
    <w:p>
      <w:pPr>
        <w:pStyle w:val="Heading3"/>
      </w:pPr>
      <w:r>
        <w:t>3.2 Participants</w:t>
      </w:r>
    </w:p>
    <w:p>
      <w:r>
        <w:t>Target sample: N=120 participants divided into two cohorts:</w:t>
      </w:r>
    </w:p>
    <w:p>
      <w:pPr>
        <w:pStyle w:val="ListBullet"/>
      </w:pPr>
      <w:r>
        <w:rPr>
          <w:b/>
        </w:rPr>
        <w:t>Cybersecurity trainees (n=60):</w:t>
      </w:r>
      <w:r>
        <w:t xml:space="preserve"> Students enrolled in cybersecurity programs or employees in cybersecurity training programs (0-2 years experience)</w:t>
      </w:r>
    </w:p>
    <w:p>
      <w:pPr>
        <w:pStyle w:val="ListBullet"/>
      </w:pPr>
      <w:r>
        <w:rPr>
          <w:b/>
        </w:rPr>
        <w:t>General users (n=60):</w:t>
      </w:r>
      <w:r>
        <w:t xml:space="preserve"> Individuals with basic computer literacy but no specialized cybersecurity training</w:t>
      </w:r>
    </w:p>
    <w:p>
      <w:pPr>
        <w:pStyle w:val="Heading3"/>
      </w:pPr>
      <w:r>
        <w:t>3.3 Experimental Tasks</w:t>
      </w:r>
    </w:p>
    <w:p>
      <w:r>
        <w:t>Participants complete a series of cybersecurity decision-making scenarios while interacting with LLMs. Tasks are designed to simulate realistic security contexts:</w:t>
      </w:r>
    </w:p>
    <w:p>
      <w:pPr>
        <w:pStyle w:val="ListNumber"/>
      </w:pPr>
      <w:r>
        <w:t>Phishing detection: Evaluating emails and links with LLM assistance</w:t>
      </w:r>
    </w:p>
    <w:p>
      <w:pPr>
        <w:pStyle w:val="ListNumber"/>
      </w:pPr>
      <w:r>
        <w:t>Security policy interpretation: Determining appropriate responses to policy queries</w:t>
      </w:r>
    </w:p>
    <w:p>
      <w:pPr>
        <w:pStyle w:val="ListNumber"/>
      </w:pPr>
      <w:r>
        <w:t>Vulnerability assessment: Analyzing code snippets or system configurations</w:t>
      </w:r>
    </w:p>
    <w:p>
      <w:pPr>
        <w:pStyle w:val="ListNumber"/>
      </w:pPr>
      <w:r>
        <w:t>Incident response: Making time-sensitive security decisions</w:t>
      </w:r>
    </w:p>
    <w:p>
      <w:pPr>
        <w:pStyle w:val="Heading3"/>
      </w:pPr>
      <w:r>
        <w:t>3.4 Cognitive Load Manipulation</w:t>
      </w:r>
    </w:p>
    <w:p>
      <w:r>
        <w:t>Cognitive load is manipulated through task complexity, time pressure, and secondary task demands:</w:t>
      </w:r>
    </w:p>
    <w:p>
      <w:pPr>
        <w:pStyle w:val="ListBullet"/>
      </w:pPr>
      <w:r>
        <w:rPr>
          <w:b/>
        </w:rPr>
        <w:t>Low load:</w:t>
      </w:r>
      <w:r>
        <w:t xml:space="preserve"> Single task, adequate time, clear instructions</w:t>
      </w:r>
    </w:p>
    <w:p>
      <w:pPr>
        <w:pStyle w:val="ListBullet"/>
      </w:pPr>
      <w:r>
        <w:rPr>
          <w:b/>
        </w:rPr>
        <w:t>Moderate load:</w:t>
      </w:r>
      <w:r>
        <w:t xml:space="preserve"> Time constraints, ambiguous information</w:t>
      </w:r>
    </w:p>
    <w:p>
      <w:pPr>
        <w:pStyle w:val="ListBullet"/>
      </w:pPr>
      <w:r>
        <w:rPr>
          <w:b/>
        </w:rPr>
        <w:t>High load:</w:t>
      </w:r>
      <w:r>
        <w:t xml:space="preserve"> Multitasking requirements, strict time limits, incomplete information</w:t>
      </w:r>
    </w:p>
    <w:p>
      <w:pPr>
        <w:pStyle w:val="Heading3"/>
      </w:pPr>
      <w:r>
        <w:t>3.5 Measurement Instruments</w:t>
      </w:r>
    </w:p>
    <w:p>
      <w:r>
        <w:rPr>
          <w:b/>
        </w:rPr>
        <w:t>Cognitive Load:</w:t>
      </w:r>
    </w:p>
    <w:p>
      <w:pPr>
        <w:pStyle w:val="ListBullet"/>
      </w:pPr>
      <w:r>
        <w:t>Physiological: Pupil dilation measured via eye-tracking (primary indicator)</w:t>
      </w:r>
    </w:p>
    <w:p>
      <w:pPr>
        <w:pStyle w:val="ListBullet"/>
      </w:pPr>
      <w:r>
        <w:t>Self-report: NASA-TLX workload assessment</w:t>
      </w:r>
    </w:p>
    <w:p>
      <w:pPr>
        <w:pStyle w:val="ListBullet"/>
      </w:pPr>
      <w:r>
        <w:t>Behavioral: Task completion time, response latency patterns</w:t>
      </w:r>
    </w:p>
    <w:p>
      <w:r>
        <w:rPr>
          <w:b/>
        </w:rPr>
        <w:t>Decision-Making Quality:</w:t>
      </w:r>
    </w:p>
    <w:p>
      <w:pPr>
        <w:pStyle w:val="ListBullet"/>
      </w:pPr>
      <w:r>
        <w:t>Accuracy scores on security judgments</w:t>
      </w:r>
    </w:p>
    <w:p>
      <w:pPr>
        <w:pStyle w:val="ListBullet"/>
      </w:pPr>
      <w:r>
        <w:t>Risk behavior quantification (link clicks, data sharing, protocol deviations)</w:t>
      </w:r>
    </w:p>
    <w:p>
      <w:pPr>
        <w:pStyle w:val="ListBullet"/>
      </w:pPr>
      <w:r>
        <w:t>Decision confidence ratings</w:t>
      </w:r>
    </w:p>
    <w:p>
      <w:r>
        <w:rPr>
          <w:b/>
        </w:rPr>
        <w:t>LLM Interaction Patterns:</w:t>
      </w:r>
    </w:p>
    <w:p>
      <w:pPr>
        <w:pStyle w:val="ListBullet"/>
      </w:pPr>
      <w:r>
        <w:t>Query formulation analysis</w:t>
      </w:r>
    </w:p>
    <w:p>
      <w:pPr>
        <w:pStyle w:val="ListBullet"/>
      </w:pPr>
      <w:r>
        <w:t>Verification behavior tracking</w:t>
      </w:r>
    </w:p>
    <w:p>
      <w:pPr>
        <w:pStyle w:val="ListBullet"/>
      </w:pPr>
      <w:r>
        <w:t>Suggestion acceptance/rejection rates</w:t>
      </w:r>
    </w:p>
    <w:p>
      <w:pPr>
        <w:pStyle w:val="Heading3"/>
      </w:pPr>
      <w:r>
        <w:t>3.6 Dark Pattern Analysis</w:t>
      </w:r>
    </w:p>
    <w:p>
      <w:r>
        <w:t>LLM outputs are systematically coded for dark patterns using a cybersecurity-specific taxonomy developed through literature review and pilot testing. Categories include linguistic manipulation (emotional appeals, urgency framing), epistemic patterns (false certainty, authority claims), and behavioral nudges (default suggestions, option framing).</w:t>
      </w:r>
    </w:p>
    <w:p>
      <w:pPr>
        <w:pStyle w:val="Heading3"/>
      </w:pPr>
      <w:r>
        <w:t>3.7 Ethical Considerations</w:t>
      </w:r>
    </w:p>
    <w:p>
      <w:r>
        <w:t>All participants provide informed consent with clear explanation that LLM outputs may contain inaccurate or manipulative content. Debriefing sessions educate participants on identified dark patterns. No real security systems are accessed during the study. The research protocol undergoes institutional review board approval with specific attention to psychological stress protocols and data privacy protections.</w:t>
      </w:r>
    </w:p>
    <w:p>
      <w:r>
        <w:br w:type="page"/>
      </w:r>
    </w:p>
    <w:p>
      <w:pPr>
        <w:pStyle w:val="Heading2"/>
      </w:pPr>
      <w:r>
        <w:t>4. Literature Review</w:t>
      </w:r>
    </w:p>
    <w:p>
      <w:r>
        <w:t>The research draws on three interconnected bodies of literature: cognitive load theory and decision-making under stress, dark patterns in AI systems, and cybersecurity education and training effectiveness.</w:t>
      </w:r>
    </w:p>
    <w:p>
      <w:pPr>
        <w:pStyle w:val="Heading3"/>
      </w:pPr>
      <w:r>
        <w:t>4.1 Cognitive Load and AI-Mediated Decision-Making</w:t>
      </w:r>
    </w:p>
    <w:p>
      <w:r>
        <w:t>Stadler et al. (2024) demonstrate that LLMs reduce mental effort in student scientific inquiry but compromise depth of engagement. This "cognitive ease" phenomenon raises concerns for cybersecurity contexts where surface-level analysis can miss critical threats. Their findings suggest LLM assistance may create an illusion of understanding while reducing critical evaluation.</w:t>
      </w:r>
    </w:p>
    <w:p>
      <w:r>
        <w:t>Bo et al. (2025) examine appropriate reliance on LLMs, identifying conditions under which users over-rely or under-utilize AI assistance. Their intervention framework provides a foundation for developing calibration strategies, though their work lacks domain-specific application to high-stakes security decisions.</w:t>
      </w:r>
    </w:p>
    <w:p>
      <w:pPr>
        <w:pStyle w:val="Heading3"/>
      </w:pPr>
      <w:r>
        <w:t>4.2 Dark Patterns in LLM Systems</w:t>
      </w:r>
    </w:p>
    <w:p>
      <w:r>
        <w:t>Kran et al. (2025) introduce DarkBench, a comprehensive benchmark for identifying dark patterns in LLM outputs. Their taxonomy covers deceptive framing, emotional manipulation, and false scarcity—patterns particularly concerning in security contexts where emotional appeals can override procedural safeguards.</w:t>
      </w:r>
    </w:p>
    <w:p>
      <w:r>
        <w:t>Zhang et al. (2025) provide a taxonomy of harmful algorithmic behaviors in human-AI relationships, highlighting how companionship dynamics can lead to over-trust and reduced critical evaluation. For cybersecurity trainees developing professional judgment, these relational patterns may undermine the skepticism essential to security work.</w:t>
      </w:r>
    </w:p>
    <w:p>
      <w:r>
        <w:t>Chen et al. (2025) reveal that LLMs spontaneously generate dark patterns in e-commerce web designs, suggesting these manipulative techniques emerge from training data patterns rather than explicit programming. This finding implies dark patterns may appear in any domain where training data contains persuasive or deceptive content.</w:t>
      </w:r>
    </w:p>
    <w:p>
      <w:pPr>
        <w:pStyle w:val="Heading3"/>
      </w:pPr>
      <w:r>
        <w:t>4.3 Cognitive Biases in LLMs</w:t>
      </w:r>
    </w:p>
    <w:p>
      <w:r>
        <w:t>Echterhoff et al. (2024) document systematic cognitive biases in LLM decision-making, including anchoring, framing effects, and confirmation bias. When users interact with biased AI systems, these biases can amplify human cognitive limitations rather than compensating for them.</w:t>
      </w:r>
    </w:p>
    <w:p>
      <w:r>
        <w:t>Koo et al. (2024) benchmark cognitive biases when LLMs function as evaluators, finding that models exhibit distinct bias patterns that vary by task type and model architecture. For cybersecurity applications where LLMs evaluate threats or code, understanding these bias patterns becomes critical for reliable assessment.</w:t>
      </w:r>
    </w:p>
    <w:p>
      <w:pPr>
        <w:pStyle w:val="Heading3"/>
      </w:pPr>
      <w:r>
        <w:t>4.4 Information Diversity and Echo Chambers</w:t>
      </w:r>
    </w:p>
    <w:p>
      <w:r>
        <w:t>Sharma et al. (2024) demonstrate that LLM-powered search systems reduce information diversity, creating "generative echo chambers" where users encounter limited perspectives. In cybersecurity, where threat landscapes evolve rapidly and require diverse information sources, echo chamber effects could leave practitioners vulnerable to novel attack vectors.</w:t>
      </w:r>
    </w:p>
    <w:p>
      <w:pPr>
        <w:pStyle w:val="Heading3"/>
      </w:pPr>
      <w:r>
        <w:t>4.5 Persuasion and Manipulation Capabilities</w:t>
      </w:r>
    </w:p>
    <w:p>
      <w:r>
        <w:t>Liu et al. (2023) provide empirical evidence that LLMs function as effective persuaders, capable of changing user attitudes and behaviors through strategic language use. Their ethical analysis highlights risks when persuasive capabilities operate without user awareness—a particular concern for security trainees who may not recognize when AI outputs shift from informative to persuasive modes.</w:t>
      </w:r>
    </w:p>
    <w:p>
      <w:r>
        <w:t>Mozes et al. (2022) catalog illicit use cases for LLMs, including social engineering attack generation and malware documentation. This dual-use nature means the same systems used for security training could generate content that undermines security practices.</w:t>
      </w:r>
    </w:p>
    <w:p>
      <w:pPr>
        <w:pStyle w:val="Heading3"/>
      </w:pPr>
      <w:r>
        <w:t>4.6 LLM Agents and Interface Manipulation</w:t>
      </w:r>
    </w:p>
    <w:p>
      <w:r>
        <w:t>Tang et al. (2025) examine LLM agent susceptibility to manipulative interfaces, finding that autonomous AI agents can be deceived by interface dark patterns in ways that compound human vulnerabilities. This research suggests that LLM-human systems may exhibit emergent vulnerabilities beyond those of either component alone.</w:t>
      </w:r>
    </w:p>
    <w:p>
      <w:r>
        <w:t>Shi et al. (2025) investigate user perception and response to dark patterns in LLMs, finding that users struggle to identify manipulative techniques even when explicitly warned. Their work suggests that awareness alone may be insufficient—system-level interventions and interface design changes may be necessary.</w:t>
      </w:r>
    </w:p>
    <w:p>
      <w:pPr>
        <w:pStyle w:val="Heading3"/>
      </w:pPr>
      <w:r>
        <w:t>4.7 Research Gaps</w:t>
      </w:r>
    </w:p>
    <w:p>
      <w:r>
        <w:t>While existing research establishes that LLMs exhibit dark patterns, cognitive biases, and persuasive capabilities, and that users often struggle with appropriate reliance, several gaps remain:</w:t>
      </w:r>
    </w:p>
    <w:p>
      <w:pPr>
        <w:pStyle w:val="ListBullet"/>
      </w:pPr>
      <w:r>
        <w:t>No studies specifically examine cybersecurity decision-making contexts</w:t>
      </w:r>
    </w:p>
    <w:p>
      <w:pPr>
        <w:pStyle w:val="ListBullet"/>
      </w:pPr>
      <w:r>
        <w:t>Limited research on how domain expertise moderates LLM influence</w:t>
      </w:r>
    </w:p>
    <w:p>
      <w:pPr>
        <w:pStyle w:val="ListBullet"/>
      </w:pPr>
      <w:r>
        <w:t>Insufficient integration of physiological cognitive load measures with behavioral outcomes</w:t>
      </w:r>
    </w:p>
    <w:p>
      <w:pPr>
        <w:pStyle w:val="ListBullet"/>
      </w:pPr>
      <w:r>
        <w:t>Lack of intervention frameworks specific to security training environments</w:t>
      </w:r>
    </w:p>
    <w:p>
      <w:r>
        <w:t>This master's thesis addresses these gaps by providing domain-specific empirical evidence and establishing a foundation for intervention development in the subsequent PhD research phase.</w:t>
      </w:r>
    </w:p>
    <w:p>
      <w:r>
        <w:br w:type="page"/>
      </w:r>
    </w:p>
    <w:p>
      <w:pPr>
        <w:pStyle w:val="Heading2"/>
      </w:pPr>
      <w:r>
        <w:t>5. Expected Contributions</w:t>
      </w:r>
    </w:p>
    <w:p>
      <w:r>
        <w:t>The master's thesis is designed to produce concrete, actionable contributions that establish credibility for PhD continuation:</w:t>
      </w:r>
    </w:p>
    <w:p>
      <w:pPr>
        <w:pStyle w:val="Heading3"/>
      </w:pPr>
      <w:r>
        <w:t>5.1 Empirical Contributions</w:t>
      </w:r>
    </w:p>
    <w:p>
      <w:pPr>
        <w:pStyle w:val="ListBullet"/>
      </w:pPr>
      <w:r>
        <w:rPr>
          <w:b/>
        </w:rPr>
        <w:t>Cybersecurity-specific dark pattern taxonomy:</w:t>
      </w:r>
      <w:r>
        <w:t xml:space="preserve"> First systematic categorization of LLM dark patterns in security contexts, with prevalence data and severity ratings</w:t>
      </w:r>
    </w:p>
    <w:p>
      <w:pPr>
        <w:pStyle w:val="ListBullet"/>
      </w:pPr>
      <w:r>
        <w:rPr>
          <w:b/>
        </w:rPr>
        <w:t>Cognitive load impact quantification:</w:t>
      </w:r>
      <w:r>
        <w:t xml:space="preserve"> Physiological and behavioral evidence linking LLM use to cognitive load changes in security decision-making</w:t>
      </w:r>
    </w:p>
    <w:p>
      <w:pPr>
        <w:pStyle w:val="ListBullet"/>
      </w:pPr>
      <w:r>
        <w:rPr>
          <w:b/>
        </w:rPr>
        <w:t>Comparative vulnerability analysis:</w:t>
      </w:r>
      <w:r>
        <w:t xml:space="preserve"> Empirical data on whether security training provides protection against LLM manipulation</w:t>
      </w:r>
    </w:p>
    <w:p>
      <w:pPr>
        <w:pStyle w:val="Heading3"/>
      </w:pPr>
      <w:r>
        <w:t>5.2 Methodological Contributions</w:t>
      </w:r>
    </w:p>
    <w:p>
      <w:pPr>
        <w:pStyle w:val="ListBullet"/>
      </w:pPr>
      <w:r>
        <w:rPr>
          <w:b/>
        </w:rPr>
        <w:t>Validated experimental protocols:</w:t>
      </w:r>
      <w:r>
        <w:t xml:space="preserve"> Reusable methods for assessing AI influence in security training contexts</w:t>
      </w:r>
    </w:p>
    <w:p>
      <w:pPr>
        <w:pStyle w:val="ListBullet"/>
      </w:pPr>
      <w:r>
        <w:rPr>
          <w:b/>
        </w:rPr>
        <w:t>Integrated measurement framework:</w:t>
      </w:r>
      <w:r>
        <w:t xml:space="preserve"> Combined physiological, behavioral, and self-report metrics for holistic assessment</w:t>
      </w:r>
    </w:p>
    <w:p>
      <w:pPr>
        <w:pStyle w:val="Heading3"/>
      </w:pPr>
      <w:r>
        <w:t>5.3 Practical Contributions</w:t>
      </w:r>
    </w:p>
    <w:p>
      <w:pPr>
        <w:pStyle w:val="ListBullet"/>
      </w:pPr>
      <w:r>
        <w:rPr>
          <w:b/>
        </w:rPr>
        <w:t>Risk assessment framework:</w:t>
      </w:r>
      <w:r>
        <w:t xml:space="preserve"> Evidence-based identification of high-risk LLM integration scenarios</w:t>
      </w:r>
    </w:p>
    <w:p>
      <w:pPr>
        <w:pStyle w:val="ListBullet"/>
      </w:pPr>
      <w:r>
        <w:rPr>
          <w:b/>
        </w:rPr>
        <w:t>Training implications:</w:t>
      </w:r>
      <w:r>
        <w:t xml:space="preserve"> Specific recommendations for cybersecurity education programs regarding LLM integration</w:t>
      </w:r>
    </w:p>
    <w:p>
      <w:r>
        <w:br w:type="page"/>
      </w:r>
    </w:p>
    <w:p>
      <w:pPr>
        <w:pStyle w:val="Heading1"/>
      </w:pPr>
      <w:r>
        <w:t>Part II: PhD Research Trajectory</w:t>
      </w:r>
    </w:p>
    <w:p>
      <w:pPr>
        <w:pStyle w:val="Heading2"/>
      </w:pPr>
      <w:r>
        <w:t>6. PhD Research Vision</w:t>
      </w:r>
    </w:p>
    <w:p>
      <w:r>
        <w:t>The PhD program extends the master's empirical foundation into a comprehensive research agenda addressing three interconnected challenges: understanding the full ecosystem of AI-mediated security decision-making, developing and validating intervention frameworks, and producing transferable knowledge for responsible AI integration across security-critical domains.</w:t>
      </w:r>
    </w:p>
    <w:p>
      <w:pPr>
        <w:pStyle w:val="Heading3"/>
      </w:pPr>
      <w:r>
        <w:t>6.1 Core PhD Research Questions</w:t>
      </w:r>
    </w:p>
    <w:p>
      <w:r>
        <w:t>The PhD research is organized around four primary questions that build naturally from the master's work:</w:t>
      </w:r>
    </w:p>
    <w:p>
      <w:r>
        <w:rPr>
          <w:b/>
        </w:rPr>
        <w:t>PhD-RQ1: How do different LLM architectures, training approaches, and deployment contexts influence dark pattern generation and cognitive effects?</w:t>
      </w:r>
    </w:p>
    <w:p>
      <w:r>
        <w:t>The master's research establishes that dark patterns exist; the PhD investigates their origins and moderating factors. This includes comparative analysis across model families, fine-tuning approaches, and prompting strategies to identify design choices that minimize harmful patterns.</w:t>
      </w:r>
    </w:p>
    <w:p>
      <w:r>
        <w:rPr>
          <w:b/>
        </w:rPr>
        <w:t>PhD-RQ2: What intervention strategies effectively mitigate LLM-induced cognitive and behavioral risks without eliminating productivity benefits?</w:t>
      </w:r>
    </w:p>
    <w:p>
      <w:r>
        <w:t>Building on identified vulnerabilities, this strand develops and tests interventions at multiple levels: interface design, algorithmic modifications, training protocols, and organizational policies. Success criteria include maintained decision accuracy, appropriate reliance calibration, and preserved critical thinking skills.</w:t>
      </w:r>
    </w:p>
    <w:p>
      <w:r>
        <w:rPr>
          <w:b/>
        </w:rPr>
        <w:t>PhD-RQ3: How do long-term interactions with LLMs affect the development of security expertise and professional judgment?</w:t>
      </w:r>
    </w:p>
    <w:p>
      <w:r>
        <w:t>The master's research provides snapshot evidence; the PhD conducts longitudinal studies examining skill development trajectories, knowledge retention, and expertise formation in AI-augmented vs. traditional training environments. This addresses whether LLM integration creates dependency that impedes professional development.</w:t>
      </w:r>
    </w:p>
    <w:p>
      <w:r>
        <w:rPr>
          <w:b/>
        </w:rPr>
        <w:t>PhD-RQ4: Can insights from cybersecurity contexts generalize to other high-stakes AI-mediated decision-making domains?</w:t>
      </w:r>
    </w:p>
    <w:p>
      <w:r>
        <w:t>The final research strand examines transferability to medical diagnosis, legal analysis, financial risk assessment, and crisis management. This produces broader impact and establishes cybersecurity as a valuable model domain for studying AI-human collaboration in critical contexts.</w:t>
      </w:r>
    </w:p>
    <w:p>
      <w:r>
        <w:br w:type="page"/>
      </w:r>
    </w:p>
    <w:p>
      <w:pPr>
        <w:pStyle w:val="Heading2"/>
      </w:pPr>
      <w:r>
        <w:t>7. PhD Research Phases</w:t>
      </w:r>
    </w:p>
    <w:p>
      <w:r>
        <w:t>The PhD program spans approximately three years following master's completion, organized into four overlapping phases:</w:t>
      </w:r>
    </w:p>
    <w:p>
      <w:pPr>
        <w:pStyle w:val="Heading3"/>
      </w:pPr>
      <w:r>
        <w:t>7.1 Phase 1: Ecosystem Mapping (Months 1-12)</w:t>
      </w:r>
    </w:p>
    <w:p>
      <w:r>
        <w:rPr>
          <w:b/>
        </w:rPr>
        <w:t>Objectives:</w:t>
      </w:r>
    </w:p>
    <w:p>
      <w:pPr>
        <w:pStyle w:val="ListBullet"/>
      </w:pPr>
      <w:r>
        <w:t>Characterize dark pattern variations across LLM architectures and configurations</w:t>
      </w:r>
    </w:p>
    <w:p>
      <w:pPr>
        <w:pStyle w:val="ListBullet"/>
      </w:pPr>
      <w:r>
        <w:t>Identify technical and contextual factors that amplify or reduce cognitive effects</w:t>
      </w:r>
    </w:p>
    <w:p>
      <w:pPr>
        <w:pStyle w:val="ListBullet"/>
      </w:pPr>
      <w:r>
        <w:t>Extend findings beyond novice trainees to experienced practitioners</w:t>
      </w:r>
    </w:p>
    <w:p>
      <w:r>
        <w:rPr>
          <w:b/>
        </w:rPr>
        <w:t>Methods:</w:t>
      </w:r>
    </w:p>
    <w:p>
      <w:pPr>
        <w:pStyle w:val="ListBullet"/>
      </w:pPr>
      <w:r>
        <w:t>Large-scale comparative study across multiple LLM families (GPT-4, Claude, Gemini, Llama, etc.)</w:t>
      </w:r>
    </w:p>
    <w:p>
      <w:pPr>
        <w:pStyle w:val="ListBullet"/>
      </w:pPr>
      <w:r>
        <w:t>Systematic prompt engineering experiments to identify configuration-pattern relationships</w:t>
      </w:r>
    </w:p>
    <w:p>
      <w:pPr>
        <w:pStyle w:val="ListBullet"/>
      </w:pPr>
      <w:r>
        <w:t>Field studies with practicing security professionals (SOC analysts, penetration testers, security architects)</w:t>
      </w:r>
    </w:p>
    <w:p>
      <w:pPr>
        <w:pStyle w:val="ListBullet"/>
      </w:pPr>
      <w:r>
        <w:t>Analysis of real-world LLM deployment patterns in security organizations</w:t>
      </w:r>
    </w:p>
    <w:p>
      <w:r>
        <w:rPr>
          <w:b/>
        </w:rPr>
        <w:t>Expected outputs:</w:t>
      </w:r>
    </w:p>
    <w:p>
      <w:pPr>
        <w:pStyle w:val="ListBullet"/>
      </w:pPr>
      <w:r>
        <w:t>Comprehensive model comparison paper (target: CHI or USENIX Security)</w:t>
      </w:r>
    </w:p>
    <w:p>
      <w:pPr>
        <w:pStyle w:val="ListBullet"/>
      </w:pPr>
      <w:r>
        <w:t>Expertise moderation analysis (target: Journal of Cybersecurity)</w:t>
      </w:r>
    </w:p>
    <w:p>
      <w:pPr>
        <w:pStyle w:val="ListBullet"/>
      </w:pPr>
      <w:r>
        <w:t>Technical report on deployment risk factors</w:t>
      </w:r>
    </w:p>
    <w:p>
      <w:pPr>
        <w:pStyle w:val="Heading3"/>
      </w:pPr>
      <w:r>
        <w:t>7.2 Phase 2: Intervention Development (Months 6-18)</w:t>
      </w:r>
    </w:p>
    <w:p>
      <w:r>
        <w:rPr>
          <w:b/>
        </w:rPr>
        <w:t>Objectives:</w:t>
      </w:r>
    </w:p>
    <w:p>
      <w:pPr>
        <w:pStyle w:val="ListBullet"/>
      </w:pPr>
      <w:r>
        <w:t>Design multi-level intervention framework addressing individual, interface, and organizational factors</w:t>
      </w:r>
    </w:p>
    <w:p>
      <w:pPr>
        <w:pStyle w:val="ListBullet"/>
      </w:pPr>
      <w:r>
        <w:t>Develop prototype systems implementing key interventions</w:t>
      </w:r>
    </w:p>
    <w:p>
      <w:pPr>
        <w:pStyle w:val="ListBullet"/>
      </w:pPr>
      <w:r>
        <w:t>Conduct initial efficacy testing</w:t>
      </w:r>
    </w:p>
    <w:p>
      <w:r>
        <w:rPr>
          <w:b/>
        </w:rPr>
        <w:t>Intervention categories:</w:t>
      </w:r>
    </w:p>
    <w:p>
      <w:r>
        <w:rPr>
          <w:b/>
        </w:rPr>
        <w:t>Interface-level interventions:</w:t>
      </w:r>
    </w:p>
    <w:p>
      <w:pPr>
        <w:pStyle w:val="ListBullet"/>
      </w:pPr>
      <w:r>
        <w:t>Uncertainty visualization showing confidence bounds and alternative possibilities</w:t>
      </w:r>
    </w:p>
    <w:p>
      <w:pPr>
        <w:pStyle w:val="ListBullet"/>
      </w:pPr>
      <w:r>
        <w:t>Cognitive forcing functions requiring explicit evaluation before accepting suggestions</w:t>
      </w:r>
    </w:p>
    <w:p>
      <w:pPr>
        <w:pStyle w:val="ListBullet"/>
      </w:pPr>
      <w:r>
        <w:t>Provenance tracking displaying information sources and reasoning chains</w:t>
      </w:r>
    </w:p>
    <w:p>
      <w:pPr>
        <w:pStyle w:val="ListBullet"/>
      </w:pPr>
      <w:r>
        <w:t>Dark pattern detection alerts flagging potentially manipulative content</w:t>
      </w:r>
    </w:p>
    <w:p>
      <w:r>
        <w:rPr>
          <w:b/>
        </w:rPr>
        <w:t>Algorithmic interventions:</w:t>
      </w:r>
    </w:p>
    <w:p>
      <w:pPr>
        <w:pStyle w:val="ListBullet"/>
      </w:pPr>
      <w:r>
        <w:t>Response diversity promotion presenting multiple perspectives</w:t>
      </w:r>
    </w:p>
    <w:p>
      <w:pPr>
        <w:pStyle w:val="ListBullet"/>
      </w:pPr>
      <w:r>
        <w:t>Adversarial viewpoint generation challenging user assumptions</w:t>
      </w:r>
    </w:p>
    <w:p>
      <w:pPr>
        <w:pStyle w:val="ListBullet"/>
      </w:pPr>
      <w:r>
        <w:t>Metacognitive prompting encouraging reflection on decision processes</w:t>
      </w:r>
    </w:p>
    <w:p>
      <w:r>
        <w:rPr>
          <w:b/>
        </w:rPr>
        <w:t>Training interventions:</w:t>
      </w:r>
    </w:p>
    <w:p>
      <w:pPr>
        <w:pStyle w:val="ListBullet"/>
      </w:pPr>
      <w:r>
        <w:t>Critical AI literacy curricula teaching pattern recognition and verification strategies</w:t>
      </w:r>
    </w:p>
    <w:p>
      <w:pPr>
        <w:pStyle w:val="ListBullet"/>
      </w:pPr>
      <w:r>
        <w:t>Calibration exercises developing appropriate reliance through feedback</w:t>
      </w:r>
    </w:p>
    <w:p>
      <w:pPr>
        <w:pStyle w:val="ListBullet"/>
      </w:pPr>
      <w:r>
        <w:t>Scenario-based practice with explicit dark pattern exposure and analysis</w:t>
      </w:r>
    </w:p>
    <w:p>
      <w:r>
        <w:rPr>
          <w:b/>
        </w:rPr>
        <w:t>Expected outputs:</w:t>
      </w:r>
    </w:p>
    <w:p>
      <w:pPr>
        <w:pStyle w:val="ListBullet"/>
      </w:pPr>
      <w:r>
        <w:t>Intervention framework paper (target: ACM Transactions on Computer-Human Interaction)</w:t>
      </w:r>
    </w:p>
    <w:p>
      <w:pPr>
        <w:pStyle w:val="ListBullet"/>
      </w:pPr>
      <w:r>
        <w:t>Prototype system demonstrations (target: CHI or USENIX Security demonstrations track)</w:t>
      </w:r>
    </w:p>
    <w:p>
      <w:pPr>
        <w:pStyle w:val="ListBullet"/>
      </w:pPr>
      <w:r>
        <w:t>Training curriculum materials for practitioner use</w:t>
      </w:r>
    </w:p>
    <w:p>
      <w:pPr>
        <w:pStyle w:val="Heading3"/>
      </w:pPr>
      <w:r>
        <w:t>7.3 Phase 3: Longitudinal Validation (Months 12-30)</w:t>
      </w:r>
    </w:p>
    <w:p>
      <w:r>
        <w:rPr>
          <w:b/>
        </w:rPr>
        <w:t>Objectives:</w:t>
      </w:r>
    </w:p>
    <w:p>
      <w:pPr>
        <w:pStyle w:val="ListBullet"/>
      </w:pPr>
      <w:r>
        <w:t>Test intervention effectiveness in authentic training environments</w:t>
      </w:r>
    </w:p>
    <w:p>
      <w:pPr>
        <w:pStyle w:val="ListBullet"/>
      </w:pPr>
      <w:r>
        <w:t>Examine long-term effects on skill development and expert judgment</w:t>
      </w:r>
    </w:p>
    <w:p>
      <w:pPr>
        <w:pStyle w:val="ListBullet"/>
      </w:pPr>
      <w:r>
        <w:t>Identify unintended consequences and adaptation strategies</w:t>
      </w:r>
    </w:p>
    <w:p>
      <w:r>
        <w:rPr>
          <w:b/>
        </w:rPr>
        <w:t>Study designs:</w:t>
      </w:r>
    </w:p>
    <w:p>
      <w:r>
        <w:rPr>
          <w:b/>
        </w:rPr>
        <w:t>Field deployment study:</w:t>
      </w:r>
    </w:p>
    <w:p>
      <w:pPr>
        <w:pStyle w:val="ListBullet"/>
      </w:pPr>
      <w:r>
        <w:t>Partner with cybersecurity training programs to deploy interventions</w:t>
      </w:r>
    </w:p>
    <w:p>
      <w:pPr>
        <w:pStyle w:val="ListBullet"/>
      </w:pPr>
      <w:r>
        <w:t>12-month tracking of student cohorts through training progression</w:t>
      </w:r>
    </w:p>
    <w:p>
      <w:pPr>
        <w:pStyle w:val="ListBullet"/>
      </w:pPr>
      <w:r>
        <w:t>Comparison of intervention vs. control groups on certification exam performance, job placement, and instructor evaluations</w:t>
      </w:r>
    </w:p>
    <w:p>
      <w:r>
        <w:rPr>
          <w:b/>
        </w:rPr>
        <w:t>Professional development study:</w:t>
      </w:r>
    </w:p>
    <w:p>
      <w:pPr>
        <w:pStyle w:val="ListBullet"/>
      </w:pPr>
      <w:r>
        <w:t>Longitudinal case studies following security professionals adopting LLM tools</w:t>
      </w:r>
    </w:p>
    <w:p>
      <w:pPr>
        <w:pStyle w:val="ListBullet"/>
      </w:pPr>
      <w:r>
        <w:t>Quarterly assessments of decision quality, critical thinking patterns, and domain knowledge</w:t>
      </w:r>
    </w:p>
    <w:p>
      <w:pPr>
        <w:pStyle w:val="ListBullet"/>
      </w:pPr>
      <w:r>
        <w:t>Analysis of expertise trajectory compared to historical norms</w:t>
      </w:r>
    </w:p>
    <w:p>
      <w:r>
        <w:rPr>
          <w:b/>
        </w:rPr>
        <w:t>Expected outputs:</w:t>
      </w:r>
    </w:p>
    <w:p>
      <w:pPr>
        <w:pStyle w:val="ListBullet"/>
      </w:pPr>
      <w:r>
        <w:t>Intervention efficacy paper (target: Journal of Cybersecurity Education, Research and Practice)</w:t>
      </w:r>
    </w:p>
    <w:p>
      <w:pPr>
        <w:pStyle w:val="ListBullet"/>
      </w:pPr>
      <w:r>
        <w:t>Long-term effects analysis (target: Cognitive Science or Applied Cognitive Psychology)</w:t>
      </w:r>
    </w:p>
    <w:p>
      <w:pPr>
        <w:pStyle w:val="ListBullet"/>
      </w:pPr>
      <w:r>
        <w:t>Best practices guide for organizations deploying LLMs in security contexts</w:t>
      </w:r>
    </w:p>
    <w:p>
      <w:pPr>
        <w:pStyle w:val="Heading3"/>
      </w:pPr>
      <w:r>
        <w:t>7.4 Phase 4: Cross-Domain Translation (Months 24-36)</w:t>
      </w:r>
    </w:p>
    <w:p>
      <w:r>
        <w:rPr>
          <w:b/>
        </w:rPr>
        <w:t>Objectives:</w:t>
      </w:r>
    </w:p>
    <w:p>
      <w:pPr>
        <w:pStyle w:val="ListBullet"/>
      </w:pPr>
      <w:r>
        <w:t>Test framework generalizability across high-stakes decision domains</w:t>
      </w:r>
    </w:p>
    <w:p>
      <w:pPr>
        <w:pStyle w:val="ListBullet"/>
      </w:pPr>
      <w:r>
        <w:t>Identify domain-specific vs. universal patterns</w:t>
      </w:r>
    </w:p>
    <w:p>
      <w:pPr>
        <w:pStyle w:val="ListBullet"/>
      </w:pPr>
      <w:r>
        <w:t>Develop transferable design principles</w:t>
      </w:r>
    </w:p>
    <w:p>
      <w:r>
        <w:rPr>
          <w:b/>
        </w:rPr>
        <w:t>Target domains:</w:t>
      </w:r>
    </w:p>
    <w:p>
      <w:pPr>
        <w:pStyle w:val="ListBullet"/>
      </w:pPr>
      <w:r>
        <w:rPr>
          <w:b/>
        </w:rPr>
        <w:t>Medical diagnosis:</w:t>
      </w:r>
      <w:r>
        <w:t xml:space="preserve"> Clinical decision support with differential diagnosis generation</w:t>
      </w:r>
    </w:p>
    <w:p>
      <w:pPr>
        <w:pStyle w:val="ListBullet"/>
      </w:pPr>
      <w:r>
        <w:rPr>
          <w:b/>
        </w:rPr>
        <w:t>Legal analysis:</w:t>
      </w:r>
      <w:r>
        <w:t xml:space="preserve"> Case research and precedent interpretation</w:t>
      </w:r>
    </w:p>
    <w:p>
      <w:pPr>
        <w:pStyle w:val="ListBullet"/>
      </w:pPr>
      <w:r>
        <w:rPr>
          <w:b/>
        </w:rPr>
        <w:t>Financial risk assessment:</w:t>
      </w:r>
      <w:r>
        <w:t xml:space="preserve"> Investment analysis and fraud detection</w:t>
      </w:r>
    </w:p>
    <w:p>
      <w:pPr>
        <w:pStyle w:val="ListBullet"/>
      </w:pPr>
      <w:r>
        <w:rPr>
          <w:b/>
        </w:rPr>
        <w:t>Crisis management:</w:t>
      </w:r>
      <w:r>
        <w:t xml:space="preserve"> Emergency response planning and resource allocation</w:t>
      </w:r>
    </w:p>
    <w:p>
      <w:r>
        <w:rPr>
          <w:b/>
        </w:rPr>
        <w:t>Comparative analysis approach:</w:t>
      </w:r>
    </w:p>
    <w:p>
      <w:pPr>
        <w:pStyle w:val="ListBullet"/>
      </w:pPr>
      <w:r>
        <w:t>Adapt master's experimental protocols to each domain</w:t>
      </w:r>
    </w:p>
    <w:p>
      <w:pPr>
        <w:pStyle w:val="ListBullet"/>
      </w:pPr>
      <w:r>
        <w:t>Conduct parallel studies with domain-specific expert populations</w:t>
      </w:r>
    </w:p>
    <w:p>
      <w:pPr>
        <w:pStyle w:val="ListBullet"/>
      </w:pPr>
      <w:r>
        <w:t>Cross-domain meta-analysis identifying universal vs. context-dependent patterns</w:t>
      </w:r>
    </w:p>
    <w:p>
      <w:r>
        <w:rPr>
          <w:b/>
        </w:rPr>
        <w:t>Expected outputs:</w:t>
      </w:r>
    </w:p>
    <w:p>
      <w:pPr>
        <w:pStyle w:val="ListBullet"/>
      </w:pPr>
      <w:r>
        <w:t>Cross-domain comparison paper (target: Nature Human Behaviour or PNAS)</w:t>
      </w:r>
    </w:p>
    <w:p>
      <w:pPr>
        <w:pStyle w:val="ListBullet"/>
      </w:pPr>
      <w:r>
        <w:t>General framework paper (target: ACM Computing Surveys)</w:t>
      </w:r>
    </w:p>
    <w:p>
      <w:pPr>
        <w:pStyle w:val="ListBullet"/>
      </w:pPr>
      <w:r>
        <w:t>Policy brief for regulatory bodies</w:t>
      </w:r>
    </w:p>
    <w:p>
      <w:r>
        <w:br w:type="page"/>
      </w:r>
    </w:p>
    <w:p>
      <w:pPr>
        <w:pStyle w:val="Heading2"/>
      </w:pPr>
      <w:r>
        <w:t>8. Integration and Timeline</w:t>
      </w:r>
    </w:p>
    <w:p>
      <w:pPr>
        <w:pStyle w:val="Heading3"/>
      </w:pPr>
      <w:r>
        <w:t>8.1 Master's to PhD Transition</w:t>
      </w:r>
    </w:p>
    <w:p>
      <w:r>
        <w:t>The transition from master's to PhD is designed to be seamless, with master's thesis completion occurring in November 2025 and PhD enrollment beginning January 2026. The intervening period allows for:</w:t>
      </w:r>
    </w:p>
    <w:p>
      <w:pPr>
        <w:pStyle w:val="ListBullet"/>
      </w:pPr>
      <w:r>
        <w:t>Master's thesis defense and publication preparation</w:t>
      </w:r>
    </w:p>
    <w:p>
      <w:pPr>
        <w:pStyle w:val="ListBullet"/>
      </w:pPr>
      <w:r>
        <w:t>PhD program applications and funding proposals</w:t>
      </w:r>
    </w:p>
    <w:p>
      <w:pPr>
        <w:pStyle w:val="ListBullet"/>
      </w:pPr>
      <w:r>
        <w:t>Partnership development with training organizations for PhD field studies</w:t>
      </w:r>
    </w:p>
    <w:p>
      <w:pPr>
        <w:pStyle w:val="ListBullet"/>
      </w:pPr>
      <w:r>
        <w:t>Preliminary work on Phase 1 literature review and research planning</w:t>
      </w:r>
    </w:p>
    <w:p>
      <w:pPr>
        <w:pStyle w:val="Heading3"/>
      </w:pPr>
      <w:r>
        <w:t>8.2 Integrated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Timeline</w:t>
            </w:r>
          </w:p>
        </w:tc>
        <w:tc>
          <w:tcPr>
            <w:tcW w:type="dxa" w:w="2880"/>
            <w:shd w:fill="4472C4"/>
          </w:tcPr>
          <w:p>
            <w:r>
              <w:rPr>
                <w:b/>
                <w:color w:val="FFFFFF"/>
              </w:rPr>
              <w:t>Phase</w:t>
            </w:r>
          </w:p>
        </w:tc>
        <w:tc>
          <w:tcPr>
            <w:tcW w:type="dxa" w:w="2880"/>
            <w:shd w:fill="4472C4"/>
          </w:tcPr>
          <w:p>
            <w:r>
              <w:rPr>
                <w:b/>
                <w:color w:val="FFFFFF"/>
              </w:rPr>
              <w:t>Key Activities</w:t>
            </w:r>
          </w:p>
        </w:tc>
      </w:tr>
      <w:tr>
        <w:tc>
          <w:tcPr>
            <w:tcW w:type="dxa" w:w="2880"/>
          </w:tcPr>
          <w:p>
            <w:r>
              <w:t>Nov 2025</w:t>
            </w:r>
          </w:p>
        </w:tc>
        <w:tc>
          <w:tcPr>
            <w:tcW w:type="dxa" w:w="2880"/>
          </w:tcPr>
          <w:p>
            <w:r>
              <w:rPr>
                <w:b/>
              </w:rPr>
              <w:t>Master's Completion</w:t>
            </w:r>
          </w:p>
        </w:tc>
        <w:tc>
          <w:tcPr>
            <w:tcW w:type="dxa" w:w="2880"/>
          </w:tcPr>
          <w:p>
            <w:r>
              <w:t>Thesis defense, initial publication preparation</w:t>
            </w:r>
          </w:p>
        </w:tc>
      </w:tr>
      <w:tr>
        <w:tc>
          <w:tcPr>
            <w:tcW w:type="dxa" w:w="2880"/>
          </w:tcPr>
          <w:p>
            <w:r>
              <w:t>Dec–Jan 2026</w:t>
            </w:r>
          </w:p>
        </w:tc>
        <w:tc>
          <w:tcPr>
            <w:tcW w:type="dxa" w:w="2880"/>
          </w:tcPr>
          <w:p>
            <w:r>
              <w:rPr>
                <w:b/>
              </w:rPr>
              <w:t>Transition Period</w:t>
            </w:r>
          </w:p>
        </w:tc>
        <w:tc>
          <w:tcPr>
            <w:tcW w:type="dxa" w:w="2880"/>
          </w:tcPr>
          <w:p>
            <w:r>
              <w:t>PhD applications, funding proposals, partnership development</w:t>
            </w:r>
          </w:p>
        </w:tc>
      </w:tr>
      <w:tr>
        <w:tc>
          <w:tcPr>
            <w:tcW w:type="dxa" w:w="2880"/>
          </w:tcPr>
          <w:p>
            <w:r>
              <w:t>Jan–Dec 2026</w:t>
            </w:r>
          </w:p>
        </w:tc>
        <w:tc>
          <w:tcPr>
            <w:tcW w:type="dxa" w:w="2880"/>
          </w:tcPr>
          <w:p>
            <w:r>
              <w:rPr>
                <w:b/>
              </w:rPr>
              <w:t>PhD Year 1: Ecosystem Mapping</w:t>
            </w:r>
          </w:p>
        </w:tc>
        <w:tc>
          <w:tcPr>
            <w:tcW w:type="dxa" w:w="2880"/>
          </w:tcPr>
          <w:p>
            <w:r>
              <w:t>Multi-model comparison studies, field studies with practitioners</w:t>
            </w:r>
          </w:p>
        </w:tc>
      </w:tr>
      <w:tr>
        <w:tc>
          <w:tcPr>
            <w:tcW w:type="dxa" w:w="2880"/>
          </w:tcPr>
          <w:p>
            <w:r>
              <w:t>Jun–Dec 2026</w:t>
            </w:r>
          </w:p>
        </w:tc>
        <w:tc>
          <w:tcPr>
            <w:tcW w:type="dxa" w:w="2880"/>
          </w:tcPr>
          <w:p>
            <w:r>
              <w:rPr>
                <w:b/>
              </w:rPr>
              <w:t>Phase 2 Begins: Intervention Development</w:t>
            </w:r>
          </w:p>
        </w:tc>
        <w:tc>
          <w:tcPr>
            <w:tcW w:type="dxa" w:w="2880"/>
          </w:tcPr>
          <w:p>
            <w:r>
              <w:t>Framework design, prototype development</w:t>
            </w:r>
          </w:p>
        </w:tc>
      </w:tr>
      <w:tr>
        <w:tc>
          <w:tcPr>
            <w:tcW w:type="dxa" w:w="2880"/>
          </w:tcPr>
          <w:p>
            <w:r>
              <w:t>Jan–Dec 2027</w:t>
            </w:r>
          </w:p>
        </w:tc>
        <w:tc>
          <w:tcPr>
            <w:tcW w:type="dxa" w:w="2880"/>
          </w:tcPr>
          <w:p>
            <w:r>
              <w:rPr>
                <w:b/>
              </w:rPr>
              <w:t>PhD Year 2: Intervention Development &amp; Initial Validation</w:t>
            </w:r>
          </w:p>
        </w:tc>
        <w:tc>
          <w:tcPr>
            <w:tcW w:type="dxa" w:w="2880"/>
          </w:tcPr>
          <w:p>
            <w:r>
              <w:t>Complete intervention framework, begin longitudinal studies</w:t>
            </w:r>
          </w:p>
        </w:tc>
      </w:tr>
      <w:tr>
        <w:tc>
          <w:tcPr>
            <w:tcW w:type="dxa" w:w="2880"/>
          </w:tcPr>
          <w:p>
            <w:r>
              <w:t>Jan–Jun 2027</w:t>
            </w:r>
          </w:p>
        </w:tc>
        <w:tc>
          <w:tcPr>
            <w:tcW w:type="dxa" w:w="2880"/>
          </w:tcPr>
          <w:p>
            <w:r>
              <w:rPr>
                <w:b/>
              </w:rPr>
              <w:t>Phase 3 Begins: Longitudinal Validation</w:t>
            </w:r>
          </w:p>
        </w:tc>
        <w:tc>
          <w:tcPr>
            <w:tcW w:type="dxa" w:w="2880"/>
          </w:tcPr>
          <w:p>
            <w:r>
              <w:t>Field deployment in training programs, 12-month tracking begins</w:t>
            </w:r>
          </w:p>
        </w:tc>
      </w:tr>
      <w:tr>
        <w:tc>
          <w:tcPr>
            <w:tcW w:type="dxa" w:w="2880"/>
          </w:tcPr>
          <w:p>
            <w:r>
              <w:t>Jan–Dec 2028</w:t>
            </w:r>
          </w:p>
        </w:tc>
        <w:tc>
          <w:tcPr>
            <w:tcW w:type="dxa" w:w="2880"/>
          </w:tcPr>
          <w:p>
            <w:r>
              <w:rPr>
                <w:b/>
              </w:rPr>
              <w:t>PhD Year 3: Longitudinal Analysis &amp; Cross-Domain Translation</w:t>
            </w:r>
          </w:p>
        </w:tc>
        <w:tc>
          <w:tcPr>
            <w:tcW w:type="dxa" w:w="2880"/>
          </w:tcPr>
          <w:p>
            <w:r>
              <w:t>Complete longitudinal studies, cross-domain comparative research</w:t>
            </w:r>
          </w:p>
        </w:tc>
      </w:tr>
      <w:tr>
        <w:tc>
          <w:tcPr>
            <w:tcW w:type="dxa" w:w="2880"/>
          </w:tcPr>
          <w:p>
            <w:r>
              <w:t>Jan–Jun 2028</w:t>
            </w:r>
          </w:p>
        </w:tc>
        <w:tc>
          <w:tcPr>
            <w:tcW w:type="dxa" w:w="2880"/>
          </w:tcPr>
          <w:p>
            <w:r>
              <w:rPr>
                <w:b/>
              </w:rPr>
              <w:t>Phase 4 Begins: Cross-Domain Translation</w:t>
            </w:r>
          </w:p>
        </w:tc>
        <w:tc>
          <w:tcPr>
            <w:tcW w:type="dxa" w:w="2880"/>
          </w:tcPr>
          <w:p>
            <w:r>
              <w:t>Medical, legal, financial domain studies initiated</w:t>
            </w:r>
          </w:p>
        </w:tc>
      </w:tr>
      <w:tr>
        <w:tc>
          <w:tcPr>
            <w:tcW w:type="dxa" w:w="2880"/>
          </w:tcPr>
          <w:p>
            <w:r>
              <w:t>Jul–Dec 2028</w:t>
            </w:r>
          </w:p>
        </w:tc>
        <w:tc>
          <w:tcPr>
            <w:tcW w:type="dxa" w:w="2880"/>
          </w:tcPr>
          <w:p>
            <w:r>
              <w:rPr>
                <w:b/>
              </w:rPr>
              <w:t>Dissertation Completion</w:t>
            </w:r>
          </w:p>
        </w:tc>
        <w:tc>
          <w:tcPr>
            <w:tcW w:type="dxa" w:w="2880"/>
          </w:tcPr>
          <w:p>
            <w:r>
              <w:t>Final analyses, writing, defense preparation</w:t>
            </w:r>
          </w:p>
        </w:tc>
      </w:tr>
    </w:tbl>
    <w:p>
      <w:pPr>
        <w:pStyle w:val="Heading3"/>
      </w:pPr>
      <w:r>
        <w:t>8.3 Publication Strategy</w:t>
      </w:r>
    </w:p>
    <w:p>
      <w:r>
        <w:t>A strategic publication plan ensures continuous progress visibility and builds academic reputation:</w:t>
      </w:r>
    </w:p>
    <w:p>
      <w:r>
        <w:rPr>
          <w:b/>
        </w:rPr>
        <w:t>Master's Phase Publications:</w:t>
      </w:r>
    </w:p>
    <w:p>
      <w:pPr>
        <w:pStyle w:val="ListBullet"/>
      </w:pPr>
      <w:r>
        <w:t>Workshop paper on dark pattern taxonomy (CHI 2026 workshops)</w:t>
      </w:r>
    </w:p>
    <w:p>
      <w:pPr>
        <w:pStyle w:val="ListBullet"/>
      </w:pPr>
      <w:r>
        <w:t>Conference paper on cognitive load findings (SOUPS 2026 or CHI 2027)</w:t>
      </w:r>
    </w:p>
    <w:p>
      <w:r>
        <w:rPr>
          <w:b/>
        </w:rPr>
        <w:t>PhD Years 1-2 Publications:</w:t>
      </w:r>
    </w:p>
    <w:p>
      <w:pPr>
        <w:pStyle w:val="ListBullet"/>
      </w:pPr>
      <w:r>
        <w:t>Model comparison study (USENIX Security or IEEE S&amp;P)</w:t>
      </w:r>
    </w:p>
    <w:p>
      <w:pPr>
        <w:pStyle w:val="ListBullet"/>
      </w:pPr>
      <w:r>
        <w:t>Expertise moderation analysis (Journal of Cybersecurity)</w:t>
      </w:r>
    </w:p>
    <w:p>
      <w:pPr>
        <w:pStyle w:val="ListBullet"/>
      </w:pPr>
      <w:r>
        <w:t>Intervention framework paper (ACM TOCHI)</w:t>
      </w:r>
    </w:p>
    <w:p>
      <w:r>
        <w:rPr>
          <w:b/>
        </w:rPr>
        <w:t>PhD Year 3 Publications:</w:t>
      </w:r>
    </w:p>
    <w:p>
      <w:pPr>
        <w:pStyle w:val="ListBullet"/>
      </w:pPr>
      <w:r>
        <w:t>Longitudinal validation study (Cognitive Science)</w:t>
      </w:r>
    </w:p>
    <w:p>
      <w:pPr>
        <w:pStyle w:val="ListBullet"/>
      </w:pPr>
      <w:r>
        <w:t>Cross-domain comparison (Nature Human Behaviour)</w:t>
      </w:r>
    </w:p>
    <w:p>
      <w:pPr>
        <w:pStyle w:val="ListBullet"/>
      </w:pPr>
      <w:r>
        <w:t>Comprehensive framework review (ACM Computing Surveys)</w:t>
      </w:r>
    </w:p>
    <w:p>
      <w:r>
        <w:br w:type="page"/>
      </w:r>
    </w:p>
    <w:p>
      <w:pPr>
        <w:pStyle w:val="Heading2"/>
      </w:pPr>
      <w:r>
        <w:t>9. Expected Impact</w:t>
      </w:r>
    </w:p>
    <w:p>
      <w:pPr>
        <w:pStyle w:val="Heading3"/>
      </w:pPr>
      <w:r>
        <w:t>9.1 Scientific Impact</w:t>
      </w:r>
    </w:p>
    <w:p>
      <w:r>
        <w:t>This research program bridges multiple disciplines—human-computer interaction, cognitive science, cybersecurity, and artificial intelligence—producing integrative knowledge that advances each field:</w:t>
      </w:r>
    </w:p>
    <w:p>
      <w:pPr>
        <w:pStyle w:val="ListBullet"/>
      </w:pPr>
      <w:r>
        <w:rPr>
          <w:b/>
        </w:rPr>
        <w:t>HCI:</w:t>
      </w:r>
      <w:r>
        <w:t xml:space="preserve"> Novel interaction design principles for high-stakes AI-human collaboration</w:t>
      </w:r>
    </w:p>
    <w:p>
      <w:pPr>
        <w:pStyle w:val="ListBullet"/>
      </w:pPr>
      <w:r>
        <w:rPr>
          <w:b/>
        </w:rPr>
        <w:t>Cognitive Science:</w:t>
      </w:r>
      <w:r>
        <w:t xml:space="preserve"> Evidence on how AI augmentation affects expertise development and professional judgment</w:t>
      </w:r>
    </w:p>
    <w:p>
      <w:pPr>
        <w:pStyle w:val="ListBullet"/>
      </w:pPr>
      <w:r>
        <w:rPr>
          <w:b/>
        </w:rPr>
        <w:t>Cybersecurity:</w:t>
      </w:r>
      <w:r>
        <w:t xml:space="preserve"> Evidence-based practices for integrating AI tools while maintaining security posture</w:t>
      </w:r>
    </w:p>
    <w:p>
      <w:pPr>
        <w:pStyle w:val="ListBullet"/>
      </w:pPr>
      <w:r>
        <w:rPr>
          <w:b/>
        </w:rPr>
        <w:t>AI Safety:</w:t>
      </w:r>
      <w:r>
        <w:t xml:space="preserve"> Frameworks for identifying and mitigating subtle harms in AI systems</w:t>
      </w:r>
    </w:p>
    <w:p>
      <w:pPr>
        <w:pStyle w:val="Heading3"/>
      </w:pPr>
      <w:r>
        <w:t>9.2 Educational Impact</w:t>
      </w:r>
    </w:p>
    <w:p>
      <w:r>
        <w:t>The research directly informs cybersecurity education reform at a critical juncture. As institutions rapidly adopt AI tools, evidence-based guidance prevents counterproductive integration approaches. Expected educational impacts include:</w:t>
      </w:r>
    </w:p>
    <w:p>
      <w:pPr>
        <w:pStyle w:val="ListBullet"/>
      </w:pPr>
      <w:r>
        <w:t>Curriculum frameworks balancing AI productivity benefits with critical thinking development</w:t>
      </w:r>
    </w:p>
    <w:p>
      <w:pPr>
        <w:pStyle w:val="ListBullet"/>
      </w:pPr>
      <w:r>
        <w:t>Assessment methods that evaluate AI-mediated performance appropriately</w:t>
      </w:r>
    </w:p>
    <w:p>
      <w:pPr>
        <w:pStyle w:val="ListBullet"/>
      </w:pPr>
      <w:r>
        <w:t>Training materials preparing students for responsible AI tool use</w:t>
      </w:r>
    </w:p>
    <w:p>
      <w:pPr>
        <w:pStyle w:val="ListBullet"/>
      </w:pPr>
      <w:r>
        <w:t>Certification program updates reflecting AI-augmented practice realities</w:t>
      </w:r>
    </w:p>
    <w:p>
      <w:pPr>
        <w:pStyle w:val="Heading3"/>
      </w:pPr>
      <w:r>
        <w:t>9.3 Industry Impact</w:t>
      </w:r>
    </w:p>
    <w:p>
      <w:r>
        <w:t>Security organizations face pressure to adopt AI tools for efficiency while maintaining rigorous security standards. This research provides:</w:t>
      </w:r>
    </w:p>
    <w:p>
      <w:pPr>
        <w:pStyle w:val="ListBullet"/>
      </w:pPr>
      <w:r>
        <w:t>Risk assessment frameworks for AI integration in security operations</w:t>
      </w:r>
    </w:p>
    <w:p>
      <w:pPr>
        <w:pStyle w:val="ListBullet"/>
      </w:pPr>
      <w:r>
        <w:t>Deployment guidelines balancing productivity and security</w:t>
      </w:r>
    </w:p>
    <w:p>
      <w:pPr>
        <w:pStyle w:val="ListBullet"/>
      </w:pPr>
      <w:r>
        <w:t>Metrics for monitoring AI tool impact on team performance</w:t>
      </w:r>
    </w:p>
    <w:p>
      <w:pPr>
        <w:pStyle w:val="ListBullet"/>
      </w:pPr>
      <w:r>
        <w:t>Training protocols for professional development in AI-augmented environments</w:t>
      </w:r>
    </w:p>
    <w:p>
      <w:pPr>
        <w:pStyle w:val="Heading3"/>
      </w:pPr>
      <w:r>
        <w:t>9.4 Policy Impact</w:t>
      </w:r>
    </w:p>
    <w:p>
      <w:r>
        <w:t>As governments develop AI governance frameworks, evidence from high-stakes domains becomes particularly valuable. This research can inform:</w:t>
      </w:r>
    </w:p>
    <w:p>
      <w:pPr>
        <w:pStyle w:val="ListBullet"/>
      </w:pPr>
      <w:r>
        <w:t>Regulatory standards for AI deployment in critical infrastructure protection</w:t>
      </w:r>
    </w:p>
    <w:p>
      <w:pPr>
        <w:pStyle w:val="ListBullet"/>
      </w:pPr>
      <w:r>
        <w:t>Professional certification requirements for AI-augmented security practice</w:t>
      </w:r>
    </w:p>
    <w:p>
      <w:pPr>
        <w:pStyle w:val="ListBullet"/>
      </w:pPr>
      <w:r>
        <w:t>Safety standards for AI systems used in security contexts</w:t>
      </w:r>
    </w:p>
    <w:p>
      <w:pPr>
        <w:pStyle w:val="ListBullet"/>
      </w:pPr>
      <w:r>
        <w:t>Educational accreditation criteria incorporating AI literacy</w:t>
      </w:r>
    </w:p>
    <w:p>
      <w:r>
        <w:br w:type="page"/>
      </w:r>
    </w:p>
    <w:p>
      <w:pPr>
        <w:pStyle w:val="Heading2"/>
      </w:pPr>
      <w:r>
        <w:t>10. Feasibility and Resources</w:t>
      </w:r>
    </w:p>
    <w:p>
      <w:pPr>
        <w:pStyle w:val="Heading3"/>
      </w:pPr>
      <w:r>
        <w:t>10.1 Technical Infrastructure</w:t>
      </w:r>
    </w:p>
    <w:p>
      <w:r>
        <w:rPr>
          <w:b/>
        </w:rPr>
        <w:t>Required resources:</w:t>
      </w:r>
    </w:p>
    <w:p>
      <w:pPr>
        <w:pStyle w:val="ListBullet"/>
      </w:pPr>
      <w:r>
        <w:rPr>
          <w:b/>
        </w:rPr>
        <w:t>Eye-tracking equipment:</w:t>
      </w:r>
      <w:r>
        <w:t xml:space="preserve"> High-frequency eye tracker for pupil dilation measurement (available through university labs or ~$30,000 equipment budget)</w:t>
      </w:r>
    </w:p>
    <w:p>
      <w:pPr>
        <w:pStyle w:val="ListBullet"/>
      </w:pPr>
      <w:r>
        <w:rPr>
          <w:b/>
        </w:rPr>
        <w:t>Computing infrastructure:</w:t>
      </w:r>
      <w:r>
        <w:t xml:space="preserve"> API access to multiple LLM providers for comparative studies (estimated $10,000-15,000 annually)</w:t>
      </w:r>
    </w:p>
    <w:p>
      <w:pPr>
        <w:pStyle w:val="ListBullet"/>
      </w:pPr>
      <w:r>
        <w:rPr>
          <w:b/>
        </w:rPr>
        <w:t>Experimental platform:</w:t>
      </w:r>
      <w:r>
        <w:t xml:space="preserve"> Custom software for stimulus presentation and response recording (development effort or existing frameworks like PsychoPy)</w:t>
      </w:r>
    </w:p>
    <w:p>
      <w:pPr>
        <w:pStyle w:val="ListBullet"/>
      </w:pPr>
      <w:r>
        <w:rPr>
          <w:b/>
        </w:rPr>
        <w:t>Data storage and analysis:</w:t>
      </w:r>
      <w:r>
        <w:t xml:space="preserve"> Secure systems for handling experimental data with appropriate privacy protections</w:t>
      </w:r>
    </w:p>
    <w:p>
      <w:pPr>
        <w:pStyle w:val="Heading3"/>
      </w:pPr>
      <w:r>
        <w:t>10.2 Collaborative Partnerships</w:t>
      </w:r>
    </w:p>
    <w:p>
      <w:r>
        <w:t>Success requires partnerships across multiple sectors:</w:t>
      </w:r>
    </w:p>
    <w:p>
      <w:pPr>
        <w:pStyle w:val="ListBullet"/>
      </w:pPr>
      <w:r>
        <w:rPr>
          <w:b/>
        </w:rPr>
        <w:t>Academic partners:</w:t>
      </w:r>
      <w:r>
        <w:t xml:space="preserve"> Cybersecurity training programs for participant recruitment and field deployment</w:t>
      </w:r>
    </w:p>
    <w:p>
      <w:pPr>
        <w:pStyle w:val="ListBullet"/>
      </w:pPr>
      <w:r>
        <w:rPr>
          <w:b/>
        </w:rPr>
        <w:t>Industry partners:</w:t>
      </w:r>
      <w:r>
        <w:t xml:space="preserve"> Security organizations for professional population studies and real-world validation</w:t>
      </w:r>
    </w:p>
    <w:p>
      <w:pPr>
        <w:pStyle w:val="ListBullet"/>
      </w:pPr>
      <w:r>
        <w:rPr>
          <w:b/>
        </w:rPr>
        <w:t>Technology partners:</w:t>
      </w:r>
      <w:r>
        <w:t xml:space="preserve"> LLM providers for technical collaboration on intervention development</w:t>
      </w:r>
    </w:p>
    <w:p>
      <w:pPr>
        <w:pStyle w:val="ListBullet"/>
      </w:pPr>
      <w:r>
        <w:rPr>
          <w:b/>
        </w:rPr>
        <w:t>Cross-domain experts:</w:t>
      </w:r>
      <w:r>
        <w:t xml:space="preserve"> Medical, legal, and financial domain specialists for Phase 4 translation studies</w:t>
      </w:r>
    </w:p>
    <w:p>
      <w:pPr>
        <w:pStyle w:val="Heading3"/>
      </w:pPr>
      <w:r>
        <w:t>10.3 Funding Strategy</w:t>
      </w:r>
    </w:p>
    <w:p>
      <w:r>
        <w:t>The research is positioned to attract funding from multiple sources:</w:t>
      </w:r>
    </w:p>
    <w:p>
      <w:r>
        <w:rPr>
          <w:b/>
        </w:rPr>
        <w:t>Master's Phase:</w:t>
      </w:r>
    </w:p>
    <w:p>
      <w:pPr>
        <w:pStyle w:val="ListBullet"/>
      </w:pPr>
      <w:r>
        <w:t>University research grants</w:t>
      </w:r>
    </w:p>
    <w:p>
      <w:pPr>
        <w:pStyle w:val="ListBullet"/>
      </w:pPr>
      <w:r>
        <w:t>National cybersecurity education initiatives</w:t>
      </w:r>
    </w:p>
    <w:p>
      <w:r>
        <w:rPr>
          <w:b/>
        </w:rPr>
        <w:t>PhD Phase:</w:t>
      </w:r>
    </w:p>
    <w:p>
      <w:pPr>
        <w:pStyle w:val="ListBullet"/>
      </w:pPr>
      <w:r>
        <w:t>National Science Foundation (NSF) Secure and Trustworthy Cyberspace program</w:t>
      </w:r>
    </w:p>
    <w:p>
      <w:pPr>
        <w:pStyle w:val="ListBullet"/>
      </w:pPr>
      <w:r>
        <w:t>European Research Council (ERC) grants</w:t>
      </w:r>
    </w:p>
    <w:p>
      <w:pPr>
        <w:pStyle w:val="ListBullet"/>
      </w:pPr>
      <w:r>
        <w:t>Industry-sponsored research agreements</w:t>
      </w:r>
    </w:p>
    <w:p>
      <w:pPr>
        <w:pStyle w:val="ListBullet"/>
      </w:pPr>
      <w:r>
        <w:t>AI safety research funding (OpenAI, Anthropic, etc.)</w:t>
      </w:r>
    </w:p>
    <w:p>
      <w:pPr>
        <w:pStyle w:val="Heading3"/>
      </w:pPr>
      <w:r>
        <w:t>10.4 Risk Mitigation</w:t>
      </w:r>
    </w:p>
    <w:p>
      <w:r>
        <w:t>Several potential risks are addressed through proactive planning:</w:t>
      </w:r>
    </w:p>
    <w:p>
      <w:pPr>
        <w:pStyle w:val="ListBullet"/>
      </w:pPr>
      <w:r>
        <w:rPr>
          <w:b/>
        </w:rPr>
        <w:t>Participant recruitment challenges:</w:t>
      </w:r>
      <w:r>
        <w:t xml:space="preserve"> Multiple recruitment channels including academic programs, professional associations, and online communities</w:t>
      </w:r>
    </w:p>
    <w:p>
      <w:pPr>
        <w:pStyle w:val="ListBullet"/>
      </w:pPr>
      <w:r>
        <w:rPr>
          <w:b/>
        </w:rPr>
        <w:t>LLM technology evolution:</w:t>
      </w:r>
      <w:r>
        <w:t xml:space="preserve"> Research framework focuses on generalizable patterns rather than model-specific behaviors</w:t>
      </w:r>
    </w:p>
    <w:p>
      <w:pPr>
        <w:pStyle w:val="ListBullet"/>
      </w:pPr>
      <w:r>
        <w:rPr>
          <w:b/>
        </w:rPr>
        <w:t>Intervention efficacy uncertainty:</w:t>
      </w:r>
      <w:r>
        <w:t xml:space="preserve"> Multiple intervention approaches tested in parallel with clear success criteria</w:t>
      </w:r>
    </w:p>
    <w:p>
      <w:pPr>
        <w:pStyle w:val="ListBullet"/>
      </w:pPr>
      <w:r>
        <w:rPr>
          <w:b/>
        </w:rPr>
        <w:t>Cross-domain translation challenges:</w:t>
      </w:r>
      <w:r>
        <w:t xml:space="preserve"> Phase 4 designed as exploration rather than definitive validation, with cybersecurity findings still valuable if translation is limited</w:t>
      </w:r>
    </w:p>
    <w:p>
      <w:r>
        <w:br w:type="page"/>
      </w:r>
    </w:p>
    <w:p>
      <w:pPr>
        <w:pStyle w:val="Heading2"/>
      </w:pPr>
      <w:r>
        <w:t>11. Conclusion</w:t>
      </w:r>
    </w:p>
    <w:p>
      <w:r>
        <w:t>This integrated master's-to-PhD research program addresses a critical challenge at the intersection of artificial intelligence and cybersecurity: understanding and mitigating the cognitive and behavioral risks of LLM integration in security decision-making. The work is both timely and necessary, as organizations rapidly adopt AI tools without evidence-based guidelines for responsible deployment.</w:t>
      </w:r>
    </w:p>
    <w:p>
      <w:r>
        <w:t>The master's thesis establishes foundational empirical evidence through controlled experiments examining dark patterns, cognitive load effects, and behavioral outcomes in cybersecurity trainees. This phase produces concrete contributions—taxonomies, measurement protocols, risk assessments—that stand independently while creating a natural foundation for expanded investigation.</w:t>
      </w:r>
    </w:p>
    <w:p>
      <w:r>
        <w:t>The PhD research builds systematically on this foundation, progressing from ecosystem characterization through intervention development and longitudinal validation to cross-domain translation. This progression produces increasingly impactful knowledge: from understanding the problem through solving it in the target domain to enabling broader application across critical decision contexts.</w:t>
      </w:r>
    </w:p>
    <w:p>
      <w:r>
        <w:t>The research program's significance extends beyond academic contribution. Cybersecurity education programs need evidence-based guidance now, as LLM adoption accelerates. Security organizations require frameworks for responsible AI integration. Policymakers need empirical foundations for AI governance in critical infrastructure protection. This work provides actionable knowledge at each stage, ensuring practical impact alongside theoretical advancement.</w:t>
      </w:r>
    </w:p>
    <w:p>
      <w:r>
        <w:t>Methodologically, the program demonstrates rigor through physiological measurement integration, longitudinal tracking, and cross-domain validation. The publication strategy ensures continuous visibility and feedback from multiple research communities. Partnership development creates sustainable access to specialized populations and deployment contexts.</w:t>
      </w:r>
    </w:p>
    <w:p>
      <w:r>
        <w:t>Perhaps most importantly, this research program addresses a fundamental question about human expertise in the age of AI: Can we harness powerful AI capabilities while preserving and developing the critical thinking skills essential to security practice? The answer has implications far beyond cybersecurity, touching every domain where professional judgment matters and AI assistance grows increasingly sophisticated.</w:t>
      </w:r>
    </w:p>
    <w:p>
      <w:r>
        <w:t>By establishing cybersecurity as a model domain for studying AI-human collaboration in high-stakes contexts, this work contributes to broader conversations about responsible AI development, human-centered AI design, and the future of expert work. The path from master's empirical foundation through PhD comprehensive investigation represents both personal academic progression and necessary scientific advancement at a critical moment in AI technology deployment.</w:t>
      </w:r>
    </w:p>
    <w:p>
      <w:r>
        <w:br w:type="page"/>
      </w:r>
    </w:p>
    <w:p>
      <w:pPr>
        <w:pStyle w:val="Heading2"/>
      </w:pPr>
      <w:r>
        <w:t>References</w:t>
      </w:r>
    </w:p>
    <w:p>
      <w:pPr>
        <w:spacing w:after="240"/>
      </w:pPr>
      <w:r>
        <w:t>Bo, J. Y., Wan, S., &amp; Anderson, A. (2025, April). To rely or not to rely? Evaluating interventions for appropriate reliance on large language models. In Proceedings of the 2025 CHI Conference on Human Factors in Computing Systems (pp. 1–23).</w:t>
      </w:r>
    </w:p>
    <w:p>
      <w:pPr>
        <w:spacing w:after="240"/>
      </w:pPr>
      <w:r>
        <w:t>Chen, Z., Shen, J., &amp; Vaccaro, K. (2025). Hidden Darkness in LLM-Generated Designs: Exploring Dark Patterns in Ecommerce Web Components Generated by LLMs. arXiv preprint arXiv:2502.13499.</w:t>
      </w:r>
    </w:p>
    <w:p>
      <w:pPr>
        <w:spacing w:after="240"/>
      </w:pPr>
      <w:r>
        <w:t>Echterhoff, J. M., Liu, Y., Alessa, A., McAuley, J., &amp; He, Z. (2024, November). Cognitive bias in decision-making with LLMs. In Findings of the Association for Computational Linguistics: EMNLP 2024 (pp. 12640–12653).</w:t>
      </w:r>
    </w:p>
    <w:p>
      <w:pPr>
        <w:spacing w:after="240"/>
      </w:pPr>
      <w:r>
        <w:t>Koo, R., Lee, M., Raheja, V., Park, J. I., Kim, Z. M., &amp; Kang, D. (2024, August). Benchmarking cognitive biases in large language models as evaluators. In Findings of the Association for Computational Linguistics: ACL 2024 (pp. 517–545).</w:t>
      </w:r>
    </w:p>
    <w:p>
      <w:pPr>
        <w:spacing w:after="240"/>
      </w:pPr>
      <w:r>
        <w:t>Kran, E., Nguyen, H. M., Kundu, A., Jawhar, S., Park, J., &amp; Jurewicz, M. M. (2025). DarkBench: Benchmarking dark patterns in large language models. arXiv preprint arXiv:2503.10728.</w:t>
      </w:r>
    </w:p>
    <w:p>
      <w:pPr>
        <w:spacing w:after="240"/>
      </w:pPr>
      <w:r>
        <w:t>Liu, M., Xu, Z., Zhang, X., An, H., Qadir, S., Zhang, Q., Wisniewski, P., Cho, J., Lee, S. W., Jia, R., &amp; Huang, L. (2023). LLM Can Be a Dangerous Persuader: Empirical Study of Persuasion Safety in Large Language Models.</w:t>
      </w:r>
    </w:p>
    <w:p>
      <w:pPr>
        <w:spacing w:after="240"/>
      </w:pPr>
      <w:r>
        <w:t>Mozes, M., He, X., Kleinberg, B., &amp; Griffin, L. D. (2022). Use of LLMs for Illicit Purposes: Threats, Prevention Measures, and Vulnerabilities.</w:t>
      </w:r>
    </w:p>
    <w:p>
      <w:pPr>
        <w:spacing w:after="240"/>
      </w:pPr>
      <w:r>
        <w:t>Sharma, N., Liao, Q. V., &amp; Xiao, Z. (2024, May). Generative echo chamber? Effect of LLM-powered search systems on diverse information seeking. In Proceedings of the 2024 CHI Conference on Human Factors in Computing Systems (pp. 1–17).</w:t>
      </w:r>
    </w:p>
    <w:p>
      <w:pPr>
        <w:spacing w:after="240"/>
      </w:pPr>
      <w:r>
        <w:t>Shi, Y., Xiao, Q., Hu, Q., Shen, H., &amp; Shen, H. (2025). The siren song of LLMs: How users perceive and respond to dark patterns in large language models. arXiv preprint arXiv:2509.10830.</w:t>
      </w:r>
    </w:p>
    <w:p>
      <w:pPr>
        <w:spacing w:after="240"/>
      </w:pPr>
      <w:r>
        <w:t>Stadler, M., Bannert, M., &amp; Sailer, M. (2024). Cognitive ease at a cost: LLMs reduce mental effort but compromise depth in student scientific inquiry. Computers in Human Behavior, 160, 108386.</w:t>
      </w:r>
    </w:p>
    <w:p>
      <w:pPr>
        <w:spacing w:after="240"/>
      </w:pPr>
      <w:r>
        <w:t>Tang, J., Chen, C., Li, J., Zhang, Z., Guo, B., Khalilov, I., ... &amp; Li, T. J. J. (2025). Dark patterns meet GUI agents: LLM agent susceptibility to manipulative interfaces and the role of human oversight. arXiv preprint arXiv:2509.10723.</w:t>
      </w:r>
    </w:p>
    <w:p>
      <w:pPr>
        <w:spacing w:after="240"/>
      </w:pPr>
      <w:r>
        <w:t>Zhang, R., Li, H., Meng, H., Zhan, J., Gan, H., &amp; Lee, Y. C. (2025, April). The dark side of AI companionship: A taxonomy of harmful algorithmic behaviors in human-AI relationships. In Proceedings of the 2025 CHI Conference on Human Factors in Computing Systems (pp. 1–17).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