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Optima" w:cs="Optima" w:eastAsia="Optima" w:hAnsi="Optima"/>
          <w:b/>
          <w:bCs/>
          <w:color w:val="0A1F33"/>
          <w:sz w:val="56"/>
          <w:szCs w:val="56"/>
        </w:rPr>
        <w:t xml:space="preserve">A Comparative Benchmark of Semantic, Statistical, and Structural Retrieval Paradigms for Retrieval-Augmented Generation over SEC 10-K Filings</w:t>
      </w:r>
    </w:p>
    <w:p>
      <w:pPr>
        <w:spacing w:after="800" w:before="300"/>
        <w:jc w:val="center"/>
      </w:pPr>
      <w:r>
        <w:rPr>
          <w:rFonts w:ascii="Optima" w:cs="Optima" w:eastAsia="Optima" w:hAnsi="Optima"/>
          <w:i/>
          <w:iCs/>
          <w:color w:val="15406B"/>
          <w:sz w:val="28"/>
          <w:szCs w:val="28"/>
        </w:rPr>
        <w:t xml:space="preserve">Design and Specification Proposal, COMP702 M.Sc. Project (2025/26)</w:t>
      </w:r>
    </w:p>
    <w:p>
      <w:pPr>
        <w:spacing w:before="1600"/>
      </w:pPr>
    </w:p>
    <w:p>
      <w:pPr>
        <w:spacing w:after="60"/>
        <w:jc w:val="center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Submitted by</w:t>
      </w:r>
    </w:p>
    <w:p>
      <w:pPr>
        <w:spacing w:after="60"/>
        <w:jc w:val="center"/>
      </w:pPr>
      <w:r>
        <w:rPr>
          <w:rFonts w:ascii="Optima" w:cs="Optima" w:eastAsia="Optima" w:hAnsi="Optima"/>
          <w:b/>
          <w:bCs/>
          <w:color w:val="1A1D21"/>
          <w:sz w:val="24"/>
          <w:szCs w:val="24"/>
        </w:rPr>
        <w:t xml:space="preserve">Ojaswi Athghara</w:t>
      </w:r>
    </w:p>
    <w:p>
      <w:pPr>
        <w:spacing w:after="500"/>
        <w:jc w:val="center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(Student ID 201959096)</w:t>
      </w:r>
    </w:p>
    <w:p>
      <w:pPr>
        <w:spacing w:after="60"/>
        <w:jc w:val="center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under the supervision of</w:t>
      </w:r>
    </w:p>
    <w:p>
      <w:pPr>
        <w:spacing w:after="1600"/>
        <w:jc w:val="center"/>
      </w:pPr>
      <w:r>
        <w:rPr>
          <w:rFonts w:ascii="Optima" w:cs="Optima" w:eastAsia="Optima" w:hAnsi="Optima"/>
          <w:b/>
          <w:bCs/>
          <w:color w:val="1A1D21"/>
          <w:sz w:val="24"/>
          <w:szCs w:val="24"/>
        </w:rPr>
        <w:t xml:space="preserve">Blaine Keetch</w:t>
      </w:r>
    </w:p>
    <w:p>
      <w:pPr>
        <w:spacing w:before="2000"/>
      </w:pPr>
    </w:p>
    <w:p>
      <w:pPr>
        <w:spacing w:after="40"/>
        <w:jc w:val="center"/>
      </w:pPr>
      <w:r>
        <w:rPr>
          <w:rFonts w:ascii="Optima" w:cs="Optima" w:eastAsia="Optima" w:hAnsi="Optima"/>
          <w:b/>
          <w:bCs/>
          <w:color w:val="0A1F33"/>
          <w:sz w:val="22"/>
          <w:szCs w:val="22"/>
        </w:rPr>
        <w:t xml:space="preserve">SCHOOL OF COMPUTER SCIENCE AND INFORMATICS</w:t>
      </w:r>
    </w:p>
    <w:p>
      <w:pPr>
        <w:jc w:val="center"/>
      </w:pPr>
      <w:r>
        <w:rPr>
          <w:rFonts w:ascii="Optima" w:cs="Optima" w:eastAsia="Optima" w:hAnsi="Optima"/>
          <w:b/>
          <w:bCs/>
          <w:color w:val="0A1F33"/>
          <w:sz w:val="22"/>
          <w:szCs w:val="22"/>
        </w:rPr>
        <w:t xml:space="preserve">UNIVERSITY OF LIVERPOOL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17" w:right="1417" w:bottom="1417" w:left="1417" w:header="708" w:footer="708" w:gutter="0"/>
          <w:pgNumType/>
          <w:titlePg/>
          <w:docGrid w:linePitch="360"/>
        </w:sectPr>
      </w:pPr>
    </w:p>
    <w:p>
      <w:pPr>
        <w:pStyle w:val="Heading1"/>
        <w:spacing w:after="200" w:before="0"/>
      </w:pPr>
      <w:r>
        <w:rPr>
          <w:rFonts w:ascii="Optima" w:cs="Optima" w:eastAsia="Optima" w:hAnsi="Optima"/>
          <w:b/>
          <w:bCs/>
          <w:color w:val="0A1F33"/>
          <w:sz w:val="32"/>
          <w:szCs w:val="32"/>
        </w:rPr>
        <w:t xml:space="preserve">Statement of Ethical Compliance: A0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b/>
          <w:bCs/>
          <w:color w:val="1A1D21"/>
          <w:sz w:val="22"/>
          <w:szCs w:val="22"/>
        </w:rPr>
        <w:t xml:space="preserve">Data Category: 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A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b/>
          <w:bCs/>
          <w:color w:val="1A1D21"/>
          <w:sz w:val="22"/>
          <w:szCs w:val="22"/>
        </w:rPr>
        <w:t xml:space="preserve">Participant Category: 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0</w:t>
      </w:r>
    </w:p>
    <w:p>
      <w:pPr>
        <w:spacing w:after="160" w:before="16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I confirm that I have read the ethical guidelines and will follow them during this project. This project uses only publicly available, non-personal United States SEC 10-K corporate filings sourced from SEC EDGAR; it involves no human participants and no personal data of any kind.</w:t>
      </w:r>
    </w:p>
    <w:p>
      <w:r>
        <w:br w:type="page"/>
      </w:r>
    </w:p>
    <w:p>
      <w:pPr>
        <w:pStyle w:val="Heading1"/>
        <w:spacing w:after="200" w:before="0"/>
      </w:pPr>
      <w:r>
        <w:rPr>
          <w:rFonts w:ascii="Optima" w:cs="Optima" w:eastAsia="Optima" w:hAnsi="Optima"/>
          <w:b/>
          <w:bCs/>
          <w:color w:val="0A1F33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Optima" w:cs="Optima" w:eastAsia="Optima" w:hAnsi="Optima"/>
          <w:b/>
          <w:bCs/>
          <w:color w:val="0A1F33"/>
          <w:sz w:val="36"/>
          <w:szCs w:val="36"/>
        </w:rPr>
        <w:t xml:space="preserve">1. Project Description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Retrieval-Augmented Generation (RAG) systems answer questions by pairing a retriever that selects relevant evidence from a corpus with a language model that generates a grounded answer (Lewis </w:t>
      </w:r>
      <w:r>
        <w:rPr>
          <w:rFonts w:ascii="Optima" w:cs="Optima" w:eastAsia="Optima" w:hAnsi="Optima"/>
          <w:i/>
          <w:iCs/>
          <w:color w:val="1A1D21"/>
          <w:sz w:val="22"/>
          <w:szCs w:val="22"/>
        </w:rPr>
        <w:t xml:space="preserve">et al.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, 2020). Most RAG benchmarks target encyclopaedic or open-domain text; far less is known about how different retrieval paradigms behave on dense, table-heavy financial disclosures such as SEC 10-K filings, where an answer may sit inside a single cell of a multi-row table rather than a sentence of prose (Chen </w:t>
      </w:r>
      <w:r>
        <w:rPr>
          <w:rFonts w:ascii="Optima" w:cs="Optima" w:eastAsia="Optima" w:hAnsi="Optima"/>
          <w:i/>
          <w:iCs/>
          <w:color w:val="1A1D21"/>
          <w:sz w:val="22"/>
          <w:szCs w:val="22"/>
        </w:rPr>
        <w:t xml:space="preserve">et al.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, 2021). This project builds and benchmarks three complete RAG pipelines, a semantic (dense vector) retriever, a statistical (BM25) retriever, and a structural (hierarchical summary-tree) retriever, against a 140-query, human-anchored benchmark spanning direct and inferential questions over both narrative text and financial tables, to establish where each paradigm succeeds and where it degrades.</w:t>
      </w:r>
    </w:p>
    <w:p>
      <w:pPr>
        <w:pStyle w:val="Heading1"/>
        <w:spacing w:after="160" w:before="360"/>
      </w:pPr>
      <w:r>
        <w:rPr>
          <w:rFonts w:ascii="Optima" w:cs="Optima" w:eastAsia="Optima" w:hAnsi="Optima"/>
          <w:b/>
          <w:bCs/>
          <w:color w:val="0A1F33"/>
          <w:sz w:val="36"/>
          <w:szCs w:val="36"/>
        </w:rPr>
        <w:t xml:space="preserve">2. Aims and Requirements</w:t>
      </w:r>
    </w:p>
    <w:p>
      <w:pPr>
        <w:pStyle w:val="Heading2"/>
        <w:spacing w:after="120" w:before="220"/>
      </w:pPr>
      <w:r>
        <w:rPr>
          <w:rFonts w:ascii="Optima" w:cs="Optima" w:eastAsia="Optima" w:hAnsi="Optima"/>
          <w:b/>
          <w:bCs/>
          <w:color w:val="15406B"/>
          <w:sz w:val="28"/>
          <w:szCs w:val="28"/>
        </w:rPr>
        <w:t xml:space="preserve">2.1 Aims</w:t>
      </w:r>
    </w:p>
    <w:p>
      <w:pPr>
        <w:pStyle w:val="ListParagraph"/>
        <w:numPr>
          <w:ilvl w:val="0"/>
          <w:numId w:val="2"/>
        </w:numPr>
        <w:spacing w:after="10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Design and implement three architecturally distinct RAG retrieval pipelines (semantic, statistical, structural) sharing one evaluation harness, so that performance differences are attributable to retrieval strategy rather than to generation.</w:t>
      </w:r>
    </w:p>
    <w:p>
      <w:pPr>
        <w:pStyle w:val="ListParagraph"/>
        <w:numPr>
          <w:ilvl w:val="0"/>
          <w:numId w:val="2"/>
        </w:numPr>
        <w:spacing w:after="10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Construct an adversarially verified, human-anchored benchmark of 140 questions, stratified across four query types (direct/implicit retrieval over text/table content), grounded in real SEC 10-K filings.</w:t>
      </w:r>
    </w:p>
    <w:p>
      <w:pPr>
        <w:pStyle w:val="ListParagraph"/>
        <w:numPr>
          <w:ilvl w:val="0"/>
          <w:numId w:val="2"/>
        </w:numPr>
        <w:spacing w:after="10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Quantify each pipeline’s retrieval accuracy, answer quality, and computational efficiency, and identify the conditions under which each paradigm degrades.</w:t>
      </w:r>
    </w:p>
    <w:p>
      <w:pPr>
        <w:pStyle w:val="Heading2"/>
        <w:spacing w:after="120" w:before="220"/>
      </w:pPr>
      <w:r>
        <w:rPr>
          <w:rFonts w:ascii="Optima" w:cs="Optima" w:eastAsia="Optima" w:hAnsi="Optima"/>
          <w:b/>
          <w:bCs/>
          <w:color w:val="15406B"/>
          <w:sz w:val="28"/>
          <w:szCs w:val="28"/>
        </w:rPr>
        <w:t xml:space="preserve">2.2 Requirements: Essential</w:t>
      </w:r>
    </w:p>
    <w:p>
      <w:pPr>
        <w:pStyle w:val="ListParagraph"/>
        <w:numPr>
          <w:ilvl w:val="0"/>
          <w:numId w:val="2"/>
        </w:numPr>
        <w:spacing w:after="10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Parse SEC 10-K filings into metadata-enriched, atomic text/table nodes without bisecting tables.</w:t>
      </w:r>
    </w:p>
    <w:p>
      <w:pPr>
        <w:pStyle w:val="ListParagraph"/>
        <w:numPr>
          <w:ilvl w:val="0"/>
          <w:numId w:val="2"/>
        </w:numPr>
        <w:spacing w:after="10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Implement P1 (dense embeddings with a cross-encoder reranker), P2 (Okapi BM25), and P3 (hierarchical summary-tree) retrievers sharing one answering model.</w:t>
      </w:r>
    </w:p>
    <w:p>
      <w:pPr>
        <w:pStyle w:val="ListParagraph"/>
        <w:numPr>
          <w:ilvl w:val="0"/>
          <w:numId w:val="2"/>
        </w:numPr>
        <w:spacing w:after="10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Generate and adversarially verify a 140-query benchmark with node-level ground-truth citations.</w:t>
      </w:r>
    </w:p>
    <w:p>
      <w:pPr>
        <w:pStyle w:val="ListParagraph"/>
        <w:numPr>
          <w:ilvl w:val="0"/>
          <w:numId w:val="2"/>
        </w:numPr>
        <w:spacing w:after="10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Validate an automated LLM judge against human scores before using it to grade the full benchmark.</w:t>
      </w:r>
    </w:p>
    <w:p>
      <w:pPr>
        <w:pStyle w:val="ListParagraph"/>
        <w:numPr>
          <w:ilvl w:val="0"/>
          <w:numId w:val="2"/>
        </w:numPr>
        <w:spacing w:after="10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Persist all queries, retrieved evidence, and scores in a relational (SQLite) store with crash-safe resume.</w:t>
      </w:r>
    </w:p>
    <w:p>
      <w:pPr>
        <w:pStyle w:val="Heading2"/>
        <w:spacing w:after="120" w:before="220"/>
      </w:pPr>
      <w:r>
        <w:rPr>
          <w:rFonts w:ascii="Optima" w:cs="Optima" w:eastAsia="Optima" w:hAnsi="Optima"/>
          <w:b/>
          <w:bCs/>
          <w:color w:val="15406B"/>
          <w:sz w:val="28"/>
          <w:szCs w:val="28"/>
        </w:rPr>
        <w:t xml:space="preserve">2.3 Requirements: Desirable</w:t>
      </w:r>
    </w:p>
    <w:p>
      <w:pPr>
        <w:pStyle w:val="ListParagraph"/>
        <w:numPr>
          <w:ilvl w:val="0"/>
          <w:numId w:val="2"/>
        </w:numPr>
        <w:spacing w:after="10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Extend the comparison with a metadata pre-filter or hybrid-fusion ablation (reserved future-scope pipelines).</w:t>
      </w:r>
    </w:p>
    <w:p>
      <w:pPr>
        <w:pStyle w:val="ListParagraph"/>
        <w:numPr>
          <w:ilvl w:val="0"/>
          <w:numId w:val="2"/>
        </w:numPr>
        <w:spacing w:after="10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Visualise per-quadrant performance gaps in a comparison view for the dissertation write-up.</w:t>
      </w:r>
    </w:p>
    <w:p>
      <w:pPr>
        <w:pStyle w:val="Heading1"/>
        <w:spacing w:after="160" w:before="360"/>
      </w:pPr>
      <w:r>
        <w:rPr>
          <w:rFonts w:ascii="Optima" w:cs="Optima" w:eastAsia="Optima" w:hAnsi="Optima"/>
          <w:b/>
          <w:bCs/>
          <w:color w:val="0A1F33"/>
          <w:sz w:val="36"/>
          <w:szCs w:val="36"/>
        </w:rPr>
        <w:t xml:space="preserve">3. Key Literature and Background Reading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Lewis </w:t>
      </w:r>
      <w:r>
        <w:rPr>
          <w:rFonts w:ascii="Optima" w:cs="Optima" w:eastAsia="Optima" w:hAnsi="Optima"/>
          <w:i/>
          <w:iCs/>
          <w:color w:val="1A1D21"/>
          <w:sz w:val="22"/>
          <w:szCs w:val="22"/>
        </w:rPr>
        <w:t xml:space="preserve">et al.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 (2020) framed answer generation grounded in retrieved evidence as a way of reducing hallucination relative to purely parametric generation, and this Retrieval-Augmented Generation framing motivates the project’s overall design: a retriever supplies evidence, and one shared answerer consumes it.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On the statistical side, Robertson and Zaragoza (2009) formalised the probabilistic relevance framework that underlies BM25, which remains a strong, fully deterministic retrieval baseline and forms this project’s P2 pipeline. On the semantic side, Karpukhin </w:t>
      </w:r>
      <w:r>
        <w:rPr>
          <w:rFonts w:ascii="Optima" w:cs="Optima" w:eastAsia="Optima" w:hAnsi="Optima"/>
          <w:i/>
          <w:iCs/>
          <w:color w:val="1A1D21"/>
          <w:sz w:val="22"/>
          <w:szCs w:val="22"/>
        </w:rPr>
        <w:t xml:space="preserve">et al.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 (2020) showed that learned dense bi-encoder retrieval can outperform BM25 by 9–19% absolute on open-domain question answering, while Nogueira and Cho (2019) showed that adding a cross-encoder reranking stage over an initial candidate set materially improves precision; together these findings motivate the project’s P1 embed-then-rerank design. The embedding and reranker models used for P1 draw on the BGE family released by Xiao </w:t>
      </w:r>
      <w:r>
        <w:rPr>
          <w:rFonts w:ascii="Optima" w:cs="Optima" w:eastAsia="Optima" w:hAnsi="Optima"/>
          <w:i/>
          <w:iCs/>
          <w:color w:val="1A1D21"/>
          <w:sz w:val="22"/>
          <w:szCs w:val="22"/>
        </w:rPr>
        <w:t xml:space="preserve">et al.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 (2023).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Sarthi </w:t>
      </w:r>
      <w:r>
        <w:rPr>
          <w:rFonts w:ascii="Optima" w:cs="Optima" w:eastAsia="Optima" w:hAnsi="Optima"/>
          <w:i/>
          <w:iCs/>
          <w:color w:val="1A1D21"/>
          <w:sz w:val="22"/>
          <w:szCs w:val="22"/>
        </w:rPr>
        <w:t xml:space="preserve">et al.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 (2024) introduced RAPTOR, which recursively clusters and summarises text into a retrievable tree; this is the architectural basis for the project’s P3 structural pipeline, although their evaluation, like most RAG literature, is conducted on narrative rather than tabular text.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The domain challenge that motivates this project is well documented: Chen </w:t>
      </w:r>
      <w:r>
        <w:rPr>
          <w:rFonts w:ascii="Optima" w:cs="Optima" w:eastAsia="Optima" w:hAnsi="Optima"/>
          <w:i/>
          <w:iCs/>
          <w:color w:val="1A1D21"/>
          <w:sz w:val="22"/>
          <w:szCs w:val="22"/>
        </w:rPr>
        <w:t xml:space="preserve">et al.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 (2021) introduced FinQA and showed that even strong pre-trained models fall far short of expert humans at multi-step numerical reasoning over financial tables, which is why the benchmark constructed here explicitly stratifies table-heavy query quadrants. Liu </w:t>
      </w:r>
      <w:r>
        <w:rPr>
          <w:rFonts w:ascii="Optima" w:cs="Optima" w:eastAsia="Optima" w:hAnsi="Optima"/>
          <w:i/>
          <w:iCs/>
          <w:color w:val="1A1D21"/>
          <w:sz w:val="22"/>
          <w:szCs w:val="22"/>
        </w:rPr>
        <w:t xml:space="preserve">et al.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 (2024) further showed that model accuracy degrades when relevant evidence sits in the middle of a long context, which is the argument for retrieval-based context selection over naive full-document stuffing.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Finally, on evaluation methodology, Zheng </w:t>
      </w:r>
      <w:r>
        <w:rPr>
          <w:rFonts w:ascii="Optima" w:cs="Optima" w:eastAsia="Optima" w:hAnsi="Optima"/>
          <w:i/>
          <w:iCs/>
          <w:color w:val="1A1D21"/>
          <w:sz w:val="22"/>
          <w:szCs w:val="22"/>
        </w:rPr>
        <w:t xml:space="preserve">et al.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 (2023) showed that a strong LLM judge can reach over 80% agreement with human preference judgements, the same threshold this project adopts as its judge-validation gate before trusting an automated judge to grade the full benchmark.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None of the studies above evaluate all three retrieval paradigms side by side on a single financial-filing benchmark stratified by both query type and content modality (text versus table); this is the specific gap the present project addresses.</w:t>
      </w:r>
    </w:p>
    <w:p>
      <w:pPr>
        <w:pStyle w:val="Heading1"/>
        <w:spacing w:after="160" w:before="360"/>
      </w:pPr>
      <w:r>
        <w:rPr>
          <w:rFonts w:ascii="Optima" w:cs="Optima" w:eastAsia="Optima" w:hAnsi="Optima"/>
          <w:b/>
          <w:bCs/>
          <w:color w:val="0A1F33"/>
          <w:sz w:val="36"/>
          <w:szCs w:val="36"/>
        </w:rPr>
        <w:t xml:space="preserve">4. Development and Implementation Summary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The system is implemented in Python 3, using LlamaIndex as a common retrieval and orchestration backbone so that all three pipelines expose the same retriever interface. Generation, dataset critique, and judging are performed by open-source instruction models served free of charge via Groq (rate-limited rather than billed, so the implementation has zero recurring spend). Embeddings (</w:t>
      </w:r>
      <w:r>
        <w:rPr>
          <w:rFonts w:ascii="Optima" w:cs="Optima" w:eastAsia="Optima" w:hAnsi="Optima"/>
          <w:i/>
          <w:iCs/>
          <w:color w:val="1A1D21"/>
          <w:sz w:val="22"/>
          <w:szCs w:val="22"/>
        </w:rPr>
        <w:t xml:space="preserve">BAAI/bge-small-en-v1.5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) and reranking (</w:t>
      </w:r>
      <w:r>
        <w:rPr>
          <w:rFonts w:ascii="Optima" w:cs="Optima" w:eastAsia="Optima" w:hAnsi="Optima"/>
          <w:i/>
          <w:iCs/>
          <w:color w:val="1A1D21"/>
          <w:sz w:val="22"/>
          <w:szCs w:val="22"/>
        </w:rPr>
        <w:t xml:space="preserve">BAAI/bge-reranker-base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) run locally on CPU.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ChromaDB provides the local vector store for P1, </w:t>
      </w:r>
      <w:r>
        <w:rPr>
          <w:rFonts w:ascii="Optima" w:cs="Optima" w:eastAsia="Optima" w:hAnsi="Optima"/>
          <w:i/>
          <w:iCs/>
          <w:color w:val="1A1D21"/>
          <w:sz w:val="22"/>
          <w:szCs w:val="22"/>
        </w:rPr>
        <w:t xml:space="preserve">rank_bm25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 provides the keyword index for P2, and a cached LlamaIndex SummaryIndex provides the structural pipeline for P3. A single SQLite database, run in Write-Ahead Logging mode, is the sole state store; every benchmark run commits immediately, so a crash resumes from the last written row rather than re-spending free-tier quota. Asynchronous worker pools, bounded by a semaphore and wrapped in an exponential-backoff retry layer, keep concurrent API calls within Groq’s free-tier rate limits.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SEC EDGAR 10-K Filings (public, free)</w:t>
            </w:r>
          </w:p>
        </w:tc>
      </w:tr>
      <w:tr>
        <w:tc>
          <w:tcPr>
            <w:tcW w:type="dxa" w:w="9072"/>
            <w:tcBorders>
              <w:top w:val="none"/>
              <w:left w:val="none"/>
              <w:bottom w:val="none"/>
              <w:right w:val="none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4494F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0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DCE6E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A1F33"/>
                <w:sz w:val="18"/>
                <w:szCs w:val="18"/>
              </w:rPr>
              <w:t xml:space="preserve">Ingestion &amp; Parsing: LlamaParse → metadata-enriched Node Store (SQLite)</w:t>
            </w:r>
          </w:p>
        </w:tc>
      </w:tr>
      <w:tr>
        <w:tc>
          <w:tcPr>
            <w:tcW w:type="dxa" w:w="9072"/>
            <w:tcBorders>
              <w:top w:val="none"/>
              <w:left w:val="none"/>
              <w:bottom w:val="none"/>
              <w:right w:val="none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4494F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072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0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24"/>
              <w:gridCol w:w="3024"/>
              <w:gridCol w:w="3024"/>
            </w:tblGrid>
            <w:tr>
              <w:tc>
                <w:tcPr>
                  <w:tcW w:type="dxa" w:w="3024"/>
                  <w:tcBorders>
                    <w:top w:val="single" w:color="B7BCC2" w:sz="4"/>
                    <w:left w:val="single" w:color="B7BCC2" w:sz="4"/>
                    <w:bottom w:val="single" w:color="B7BCC2" w:sz="4"/>
                    <w:right w:val="single" w:color="B7BCC2" w:sz="4"/>
                  </w:tcBorders>
                  <w:shd w:fill="3B4F7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P1: Vector
(bge embeddings + reranker, ChromaDB)</w:t>
                  </w:r>
                </w:p>
              </w:tc>
              <w:tc>
                <w:tcPr>
                  <w:tcW w:type="dxa" w:w="3024"/>
                  <w:tcBorders>
                    <w:top w:val="single" w:color="B7BCC2" w:sz="4"/>
                    <w:left w:val="single" w:color="B7BCC2" w:sz="4"/>
                    <w:bottom w:val="single" w:color="B7BCC2" w:sz="4"/>
                    <w:right w:val="single" w:color="B7BCC2" w:sz="4"/>
                  </w:tcBorders>
                  <w:shd w:fill="3B4F7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P2: BM25
(rank_bm25, custom tokenizer)</w:t>
                  </w:r>
                </w:p>
              </w:tc>
              <w:tc>
                <w:tcPr>
                  <w:tcW w:type="dxa" w:w="3024"/>
                  <w:tcBorders>
                    <w:top w:val="single" w:color="B7BCC2" w:sz="4"/>
                    <w:left w:val="single" w:color="B7BCC2" w:sz="4"/>
                    <w:bottom w:val="single" w:color="B7BCC2" w:sz="4"/>
                    <w:right w:val="single" w:color="B7BCC2" w:sz="4"/>
                  </w:tcBorders>
                  <w:shd w:fill="3B4F7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P3: Structural
(cached LLM summary tree)</w:t>
                  </w:r>
                </w:p>
              </w:tc>
            </w:tr>
          </w:tbl>
          <w:p/>
        </w:tc>
      </w:tr>
      <w:tr>
        <w:tc>
          <w:tcPr>
            <w:tcW w:type="dxa" w:w="9072"/>
            <w:tcBorders>
              <w:top w:val="none"/>
              <w:left w:val="none"/>
              <w:bottom w:val="none"/>
              <w:right w:val="none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4494F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0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DCE6E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A1F33"/>
                <w:sz w:val="18"/>
                <w:szCs w:val="18"/>
              </w:rPr>
              <w:t xml:space="preserve">Shared Answerer: Llama 3.3 70B (temperature = 0)</w:t>
            </w:r>
          </w:p>
        </w:tc>
      </w:tr>
      <w:tr>
        <w:tc>
          <w:tcPr>
            <w:tcW w:type="dxa" w:w="9072"/>
            <w:tcBorders>
              <w:top w:val="none"/>
              <w:left w:val="none"/>
              <w:bottom w:val="none"/>
              <w:right w:val="none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4494F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0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DCE6E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A1F33"/>
                <w:sz w:val="18"/>
                <w:szCs w:val="18"/>
              </w:rPr>
              <w:t xml:space="preserve">LLM Judge (Qwen3-32b, validated &gt;80% human agreement) + Deterministic Code Metrics</w:t>
            </w:r>
          </w:p>
        </w:tc>
      </w:tr>
      <w:tr>
        <w:tc>
          <w:tcPr>
            <w:tcW w:type="dxa" w:w="9072"/>
            <w:tcBorders>
              <w:top w:val="none"/>
              <w:left w:val="none"/>
              <w:bottom w:val="none"/>
              <w:right w:val="none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4494F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0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Results Store (SQLite) → Analysis &amp; Comparison</w:t>
            </w:r>
          </w:p>
        </w:tc>
      </w:tr>
    </w:tbl>
    <w:p>
      <w:pPr>
        <w:spacing w:after="220" w:before="80"/>
        <w:jc w:val="center"/>
      </w:pPr>
      <w:r>
        <w:rPr>
          <w:rFonts w:ascii="Calibri" w:cs="Calibri" w:eastAsia="Calibri" w:hAnsi="Calibri"/>
          <w:i/>
          <w:iCs/>
          <w:color w:val="44494F"/>
          <w:sz w:val="19"/>
          <w:szCs w:val="19"/>
        </w:rPr>
        <w:t xml:space="preserve">Figure 04.01: High-Level Pipeline Architecture</w:t>
      </w:r>
    </w:p>
    <w:p>
      <w:pPr>
        <w:pStyle w:val="Heading1"/>
        <w:spacing w:after="160" w:before="360"/>
      </w:pPr>
      <w:r>
        <w:rPr>
          <w:rFonts w:ascii="Optima" w:cs="Optima" w:eastAsia="Optima" w:hAnsi="Optima"/>
          <w:b/>
          <w:bCs/>
          <w:color w:val="0A1F33"/>
          <w:sz w:val="36"/>
          <w:szCs w:val="36"/>
        </w:rPr>
        <w:t xml:space="preserve">5. Data Sources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All data is sourced from SEC EDGAR, the United States Securities and Exchange Commission’s public filing system: a corpus of approximately six to nine 10-K annual filings, drawn from two to three companies across two to three fiscal years. These are public corporate disclosures and contain no personal or human-subject data. Filings are parsed via LlamaParse (free tier) into metadata-enriched text and table nodes.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The 140-query evaluation benchmark is itself synthetically generated and adversarially verified from this corpus by two independent open-source language models acting as a cross-family generator and critic, with no third-party data collection and no participant data involved at any stage. This satisfies Data Category A0.</w:t>
      </w:r>
    </w:p>
    <w:p>
      <w:pPr>
        <w:pStyle w:val="Heading1"/>
        <w:spacing w:after="160" w:before="360"/>
      </w:pPr>
      <w:r>
        <w:rPr>
          <w:rFonts w:ascii="Optima" w:cs="Optima" w:eastAsia="Optima" w:hAnsi="Optima"/>
          <w:b/>
          <w:bCs/>
          <w:color w:val="0A1F33"/>
          <w:sz w:val="36"/>
          <w:szCs w:val="36"/>
        </w:rPr>
        <w:t xml:space="preserve">6. Testing and Evaluation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The system is evaluated across three independent pillars. </w:t>
      </w:r>
      <w:r>
        <w:rPr>
          <w:rFonts w:ascii="Optima" w:cs="Optima" w:eastAsia="Optima" w:hAnsi="Optima"/>
          <w:b/>
          <w:bCs/>
          <w:color w:val="1A1D21"/>
          <w:sz w:val="22"/>
          <w:szCs w:val="22"/>
        </w:rPr>
        <w:t xml:space="preserve">Retrieval metrics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 (Precision@K, Recall@K, Evidence Hit Rate) are computed deterministically against node-ID ground truth. </w:t>
      </w:r>
      <w:r>
        <w:rPr>
          <w:rFonts w:ascii="Optima" w:cs="Optima" w:eastAsia="Optima" w:hAnsi="Optima"/>
          <w:b/>
          <w:bCs/>
          <w:color w:val="1A1D21"/>
          <w:sz w:val="22"/>
          <w:szCs w:val="22"/>
        </w:rPr>
        <w:t xml:space="preserve">Answer-quality metrics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 use an LLM-as-judge score (1–10) as the primary measure, with token-level F1 and numeric-tolerant Exact Match as secondary lexical checks, plus a code-level Citation Audit that flags answers which are correct only by coincidence, where the cited evidence does not match the ground truth. </w:t>
      </w:r>
      <w:r>
        <w:rPr>
          <w:rFonts w:ascii="Optima" w:cs="Optima" w:eastAsia="Optima" w:hAnsi="Optima"/>
          <w:b/>
          <w:bCs/>
          <w:color w:val="1A1D21"/>
          <w:sz w:val="22"/>
          <w:szCs w:val="22"/>
        </w:rPr>
        <w:t xml:space="preserve">Efficiency metrics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 cover latency, token consumption, and one-time index-build cost per pipeline.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The automated judge is not trusted by default. It must first clear a hard validation gate, reaching greater than 80% agreement with the researcher’s own hand-scored outputs on a disjoint validation set, before it is permitted to grade the full benchmark, mirroring the agreement threshold reported for LLM judges by Zheng </w:t>
      </w:r>
      <w:r>
        <w:rPr>
          <w:rFonts w:ascii="Optima" w:cs="Optima" w:eastAsia="Optima" w:hAnsi="Optima"/>
          <w:i/>
          <w:iCs/>
          <w:color w:val="1A1D21"/>
          <w:sz w:val="22"/>
          <w:szCs w:val="22"/>
        </w:rPr>
        <w:t xml:space="preserve">et al.</w:t>
      </w:r>
      <w:r>
        <w:rPr>
          <w:rFonts w:ascii="Optima" w:cs="Optima" w:eastAsia="Optima" w:hAnsi="Optima"/>
          <w:color w:val="1A1D21"/>
          <w:sz w:val="22"/>
          <w:szCs w:val="22"/>
        </w:rPr>
        <w:t xml:space="preserve"> (2023). Every script that calls a language model is first run end-to-end under a hardcoded three-item local throttle, to catch bugs before any free-tier quota is spent at scale.</w:t>
      </w:r>
    </w:p>
    <w:p>
      <w:pPr>
        <w:pStyle w:val="Heading1"/>
        <w:spacing w:after="160" w:before="360"/>
      </w:pPr>
      <w:r>
        <w:rPr>
          <w:rFonts w:ascii="Optima" w:cs="Optima" w:eastAsia="Optima" w:hAnsi="Optima"/>
          <w:b/>
          <w:bCs/>
          <w:color w:val="0A1F33"/>
          <w:sz w:val="36"/>
          <w:szCs w:val="36"/>
        </w:rPr>
        <w:t xml:space="preserve">7. Project Ethics and Human Participants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This project involves no human participants and no personal data; all source material is SEC 10-K filings, which are public corporate disclosures (Data Category A0). The two manual steps in the methodology, hand-labelling 20 teaching exemplars and hand-scoring 60 judge-validation outputs, are carried out solely by the researcher as part of constructing the evaluation harness itself, rather than as a study involving external participants, and therefore fall outside the scope of human-participant ethics review. No further ethical approval beyond this statement is required for the activity planned within this assessment.</w:t>
      </w:r>
    </w:p>
    <w:p>
      <w:pPr>
        <w:pStyle w:val="Heading1"/>
        <w:spacing w:after="160" w:before="360"/>
      </w:pPr>
      <w:r>
        <w:rPr>
          <w:rFonts w:ascii="Optima" w:cs="Optima" w:eastAsia="Optima" w:hAnsi="Optima"/>
          <w:b/>
          <w:bCs/>
          <w:color w:val="0A1F33"/>
          <w:sz w:val="36"/>
          <w:szCs w:val="36"/>
        </w:rPr>
        <w:t xml:space="preserve">8. BCS Project Criteria</w:t>
      </w:r>
    </w:p>
    <w:p>
      <w:pPr>
        <w:pStyle w:val="ListParagraph"/>
        <w:numPr>
          <w:ilvl w:val="0"/>
          <w:numId w:val="2"/>
        </w:numPr>
        <w:spacing w:after="10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Systematic understanding: a cross-paradigm RAG comparison grounded in current literature (Lewis et al., 2020; Karpukhin et al., 2020; Sarthi et al., 2024), exposing paradigm limits not yet documented for SEC-filing data.</w:t>
      </w:r>
    </w:p>
    <w:p>
      <w:pPr>
        <w:pStyle w:val="ListParagraph"/>
        <w:numPr>
          <w:ilvl w:val="0"/>
          <w:numId w:val="2"/>
        </w:numPr>
        <w:spacing w:after="10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Comprehensive technique understanding: dense retrieval, sparse retrieval, hierarchical summarisation, reranking, and LLM-based evaluation are all designed and built within a single project.</w:t>
      </w:r>
    </w:p>
    <w:p>
      <w:pPr>
        <w:pStyle w:val="ListParagraph"/>
        <w:numPr>
          <w:ilvl w:val="0"/>
          <w:numId w:val="2"/>
        </w:numPr>
        <w:spacing w:after="10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Originality: the cross-family generator/critic adversarial verification pipeline and the disjoint three-set (PQ/GQ/JEQ) evaluation design are original contributions to constructing an M.Sc.-scale RAG benchmark without manual annotation at scale.</w:t>
      </w:r>
    </w:p>
    <w:p>
      <w:pPr>
        <w:pStyle w:val="ListParagraph"/>
        <w:numPr>
          <w:ilvl w:val="0"/>
          <w:numId w:val="2"/>
        </w:numPr>
        <w:spacing w:after="10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Sound judgement under incomplete information: deliberate, documented scoping decisions, such as dropping a metadata pre-filter and accepting a token-per-day-bound runtime, demonstrate judgement under real resource constraints.</w:t>
      </w:r>
    </w:p>
    <w:p>
      <w:pPr>
        <w:pStyle w:val="ListParagraph"/>
        <w:numPr>
          <w:ilvl w:val="0"/>
          <w:numId w:val="2"/>
        </w:numPr>
        <w:spacing w:after="10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Self-direction: a solo ten-week build plan run entirely on free-tier infrastructure with no managed budget, together with critical self-evaluation of the project’s own statistical limitations, demonstrates autonomous planning.</w:t>
      </w:r>
    </w:p>
    <w:p>
      <w:pPr>
        <w:pStyle w:val="Heading1"/>
        <w:spacing w:after="160" w:before="360"/>
      </w:pPr>
      <w:r>
        <w:rPr>
          <w:rFonts w:ascii="Optima" w:cs="Optima" w:eastAsia="Optima" w:hAnsi="Optima"/>
          <w:b/>
          <w:bCs/>
          <w:color w:val="0A1F33"/>
          <w:sz w:val="36"/>
          <w:szCs w:val="36"/>
        </w:rPr>
        <w:t xml:space="preserve">9. UI/UX Mockup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This is a research and benchmarking system rather than an end-user application, so its principal “interface” is the results comparison view produced at the end of the run and consulted directly in the dissertation analysis. A wireframe sketch of this planned output is shown below.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900"/>
        <w:gridCol w:w="1600"/>
        <w:gridCol w:w="1500"/>
        <w:gridCol w:w="1500"/>
        <w:gridCol w:w="1372"/>
      </w:tblGrid>
      <w:tr>
        <w:tc>
          <w:tcPr>
            <w:tcW w:type="dxa" w:w="22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Pipeline</w:t>
            </w:r>
          </w:p>
        </w:tc>
        <w:tc>
          <w:tcPr>
            <w:tcW w:type="dxa" w:w="9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</w:t>
            </w:r>
          </w:p>
        </w:tc>
        <w:tc>
          <w:tcPr>
            <w:tcW w:type="dxa" w:w="16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Precision@K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Recall@K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Judge Score</w:t>
            </w:r>
          </w:p>
        </w:tc>
        <w:tc>
          <w:tcPr>
            <w:tcW w:type="dxa" w:w="13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Latency (s)</w:t>
            </w:r>
          </w:p>
        </w:tc>
      </w:tr>
      <w:tr>
        <w:tc>
          <w:tcPr>
            <w:tcW w:type="dxa" w:w="22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P1_vector</w:t>
            </w:r>
          </w:p>
        </w:tc>
        <w:tc>
          <w:tcPr>
            <w:tcW w:type="dxa" w:w="9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0.62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0.81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8.1</w:t>
            </w:r>
          </w:p>
        </w:tc>
        <w:tc>
          <w:tcPr>
            <w:tcW w:type="dxa" w:w="13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1.84</w:t>
            </w:r>
          </w:p>
        </w:tc>
      </w:tr>
      <w:tr>
        <w:tc>
          <w:tcPr>
            <w:tcW w:type="dxa" w:w="22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P2_bm25</w:t>
            </w:r>
          </w:p>
        </w:tc>
        <w:tc>
          <w:tcPr>
            <w:tcW w:type="dxa" w:w="9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0.54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0.73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7.0</w:t>
            </w:r>
          </w:p>
        </w:tc>
        <w:tc>
          <w:tcPr>
            <w:tcW w:type="dxa" w:w="13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0.91</w:t>
            </w:r>
          </w:p>
        </w:tc>
      </w:tr>
      <w:tr>
        <w:tc>
          <w:tcPr>
            <w:tcW w:type="dxa" w:w="22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P3_structural</w:t>
            </w:r>
          </w:p>
        </w:tc>
        <w:tc>
          <w:tcPr>
            <w:tcW w:type="dxa" w:w="9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0.41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0.66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6.4</w:t>
            </w:r>
          </w:p>
        </w:tc>
        <w:tc>
          <w:tcPr>
            <w:tcW w:type="dxa" w:w="13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1.10</w:t>
            </w:r>
          </w:p>
        </w:tc>
      </w:tr>
    </w:tbl>
    <w:p>
      <w:pPr>
        <w:spacing w:after="220" w:before="80"/>
        <w:jc w:val="center"/>
      </w:pPr>
      <w:r>
        <w:rPr>
          <w:rFonts w:ascii="Calibri" w:cs="Calibri" w:eastAsia="Calibri" w:hAnsi="Calibri"/>
          <w:i/>
          <w:iCs/>
          <w:color w:val="44494F"/>
          <w:sz w:val="19"/>
          <w:szCs w:val="19"/>
        </w:rPr>
        <w:t xml:space="preserve">Figure 09.01: Results Comparison View (Wireframe, illustrative placeholder values, not final results)</w:t>
      </w:r>
    </w:p>
    <w:p>
      <w:pPr>
        <w:pStyle w:val="Heading1"/>
        <w:spacing w:after="160" w:before="360"/>
      </w:pPr>
      <w:r>
        <w:rPr>
          <w:rFonts w:ascii="Optima" w:cs="Optima" w:eastAsia="Optima" w:hAnsi="Optima"/>
          <w:b/>
          <w:bCs/>
          <w:color w:val="0A1F33"/>
          <w:sz w:val="36"/>
          <w:szCs w:val="36"/>
        </w:rPr>
        <w:t xml:space="preserve">10. Project Plan</w:t>
      </w:r>
    </w:p>
    <w:p>
      <w:pPr>
        <w:spacing w:after="160" w:before="0" w:line="264" w:lineRule="auto"/>
        <w:jc w:val="both"/>
      </w:pPr>
      <w:r>
        <w:rPr>
          <w:rFonts w:ascii="Optima" w:cs="Optima" w:eastAsia="Optima" w:hAnsi="Optima"/>
          <w:color w:val="1A1D21"/>
          <w:sz w:val="22"/>
          <w:szCs w:val="22"/>
        </w:rPr>
        <w:t xml:space="preserve">The build is scoped to a solo ten-week schedule, with active development substantially complete by Week 7 and the final three weeks overlapping the full benchmark run with results analysis and dissertation write-up.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7"/>
        <w:gridCol w:w="637"/>
        <w:gridCol w:w="637"/>
        <w:gridCol w:w="637"/>
        <w:gridCol w:w="637"/>
        <w:gridCol w:w="637"/>
        <w:gridCol w:w="637"/>
        <w:gridCol w:w="637"/>
        <w:gridCol w:w="637"/>
        <w:gridCol w:w="639"/>
      </w:tblGrid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W1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W2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W3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W4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W5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W6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W7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W8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W9</w:t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W10</w:t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1. Environment &amp; Infra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2. Ingestion &amp; Parsing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3. P3 Summary-Index Build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4. Dataset Gen &amp; Verification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5. Pipeline Impl. (P1/P2/P3)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6. Judge Build &amp; Validation Gate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7. Full Benchmark Execution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8. Results Analysis &amp; Write-up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/>
            </w:r>
          </w:p>
        </w:tc>
      </w:tr>
    </w:tbl>
    <w:p>
      <w:pPr>
        <w:spacing w:after="220" w:before="80"/>
        <w:jc w:val="center"/>
      </w:pPr>
      <w:r>
        <w:rPr>
          <w:rFonts w:ascii="Calibri" w:cs="Calibri" w:eastAsia="Calibri" w:hAnsi="Calibri"/>
          <w:i/>
          <w:iCs/>
          <w:color w:val="44494F"/>
          <w:sz w:val="19"/>
          <w:szCs w:val="19"/>
        </w:rPr>
        <w:t xml:space="preserve">Table 10.01: 10-Week Project Gantt Chart</w:t>
      </w:r>
    </w:p>
    <w:p>
      <w:pPr>
        <w:pStyle w:val="Heading1"/>
        <w:spacing w:after="160" w:before="360"/>
      </w:pPr>
      <w:r>
        <w:rPr>
          <w:rFonts w:ascii="Optima" w:cs="Optima" w:eastAsia="Optima" w:hAnsi="Optima"/>
          <w:b/>
          <w:bCs/>
          <w:color w:val="0A1F33"/>
          <w:sz w:val="36"/>
          <w:szCs w:val="36"/>
        </w:rPr>
        <w:t xml:space="preserve">11. Risks and Contingency Plans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300"/>
        <w:gridCol w:w="1186"/>
        <w:gridCol w:w="1186"/>
      </w:tblGrid>
      <w:tr>
        <w:tc>
          <w:tcPr>
            <w:tcW w:type="dxa" w:w="24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3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Contingency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Likelihood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Impact</w:t>
            </w:r>
          </w:p>
        </w:tc>
      </w:tr>
      <w:tr>
        <w:tc>
          <w:tcPr>
            <w:tcW w:type="dxa" w:w="24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Groq free-tier token-per-day limit reached mid-run</w:t>
            </w:r>
          </w:p>
        </w:tc>
        <w:tc>
          <w:tcPr>
            <w:tcW w:type="dxa" w:w="43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Exponential backoff with jitter, multi-day paced execution with crash-safe resume, prompt caching, fallback to the paid Developer tier if the schedule slips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4A017"/>
                <w:sz w:val="18"/>
                <w:szCs w:val="18"/>
              </w:rPr>
              <w:t xml:space="preserve">Medium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4A017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4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LlamaParse fragments or bisects a financial table</w:t>
            </w:r>
          </w:p>
        </w:tc>
        <w:tc>
          <w:tcPr>
            <w:tcW w:type="dxa" w:w="43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Randomised 20-section manual parsing audit; re-tune parser settings or discard and re-parse the affected filing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4A017"/>
                <w:sz w:val="18"/>
                <w:szCs w:val="18"/>
              </w:rPr>
              <w:t xml:space="preserve">Medium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73E35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Automated LLM judge fails the 80% human-agreement gate</w:t>
            </w:r>
          </w:p>
        </w:tc>
        <w:tc>
          <w:tcPr>
            <w:tcW w:type="dxa" w:w="43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Tune the scoring rubric and/or swap the judge to a different model family; re-run the validation gate before proceeding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4A017"/>
                <w:sz w:val="18"/>
                <w:szCs w:val="18"/>
              </w:rPr>
              <w:t xml:space="preserve">Medium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73E35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Breaking API changes in a fast-moving dependency (LlamaIndex)</w:t>
            </w:r>
          </w:p>
        </w:tc>
        <w:tc>
          <w:tcPr>
            <w:tcW w:type="dxa" w:w="43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Pin exact package versions at project start; consult current documentation before any upgrade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8457"/>
                <w:sz w:val="18"/>
                <w:szCs w:val="18"/>
              </w:rPr>
              <w:t xml:space="preserve">Low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4A017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4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Concurrent writes corrupt the SQLite results store mid-run</w:t>
            </w:r>
          </w:p>
        </w:tc>
        <w:tc>
          <w:tcPr>
            <w:tcW w:type="dxa" w:w="43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Write-Ahead Logging (WAL) mode; crash-safe resume keyed on a unique constraint; commit after every individual run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8457"/>
                <w:sz w:val="18"/>
                <w:szCs w:val="18"/>
              </w:rPr>
              <w:t xml:space="preserve">Low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73E35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Solo ten-week timeline slips</w:t>
            </w:r>
          </w:p>
        </w:tc>
        <w:tc>
          <w:tcPr>
            <w:tcW w:type="dxa" w:w="43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8"/>
                <w:szCs w:val="18"/>
              </w:rPr>
              <w:t xml:space="preserve">Throttle-first testing on every phase before full-scale release; background-paced benchmark execution; buffer reserved across the final three weeks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4A017"/>
                <w:sz w:val="18"/>
                <w:szCs w:val="18"/>
              </w:rPr>
              <w:t xml:space="preserve">Medium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4A017"/>
                <w:sz w:val="18"/>
                <w:szCs w:val="18"/>
              </w:rPr>
              <w:t xml:space="preserve">Medium</w:t>
            </w:r>
          </w:p>
        </w:tc>
      </w:tr>
    </w:tbl>
    <w:p>
      <w:pPr>
        <w:spacing w:after="220" w:before="80"/>
        <w:jc w:val="center"/>
      </w:pPr>
      <w:r>
        <w:rPr>
          <w:rFonts w:ascii="Calibri" w:cs="Calibri" w:eastAsia="Calibri" w:hAnsi="Calibri"/>
          <w:i/>
          <w:iCs/>
          <w:color w:val="44494F"/>
          <w:sz w:val="19"/>
          <w:szCs w:val="19"/>
        </w:rPr>
        <w:t xml:space="preserve">Table 11.01: Risk Management Plan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Optima" w:cs="Optima" w:eastAsia="Optima" w:hAnsi="Optima"/>
          <w:b/>
          <w:bCs/>
          <w:color w:val="0A1F33"/>
          <w:sz w:val="36"/>
          <w:szCs w:val="36"/>
        </w:rPr>
        <w:t xml:space="preserve">12. References</w:t>
      </w:r>
    </w:p>
    <w:p>
      <w:pPr>
        <w:spacing w:after="160" w:line="264" w:lineRule="auto"/>
        <w:ind w:left="360" w:hanging="360"/>
        <w:jc w:val="both"/>
      </w:pPr>
      <w:r>
        <w:rPr>
          <w:rFonts w:ascii="Optima" w:cs="Optima" w:eastAsia="Optima" w:hAnsi="Optima"/>
          <w:color w:val="1A1D21"/>
          <w:sz w:val="21"/>
          <w:szCs w:val="21"/>
        </w:rPr>
        <w:t xml:space="preserve">Chen, Z., Chen, W., Smiley, C., Shah, S., Borova, I., Langdon, D., Moussa, R., Beane, M., Huang, T.-H., Routledge, B. and Wang, W.Y. (2021) ‘FinQA: A Dataset of Numerical Reasoning over Financial Data’, Proceedings of the 2021 Conference on Empirical Methods in Natural Language Processing (EMNLP 2021), pp. 3697–3711.</w:t>
      </w:r>
    </w:p>
    <w:p>
      <w:pPr>
        <w:spacing w:after="160" w:line="264" w:lineRule="auto"/>
        <w:ind w:left="360" w:hanging="360"/>
        <w:jc w:val="both"/>
      </w:pPr>
      <w:r>
        <w:rPr>
          <w:rFonts w:ascii="Optima" w:cs="Optima" w:eastAsia="Optima" w:hAnsi="Optima"/>
          <w:color w:val="1A1D21"/>
          <w:sz w:val="21"/>
          <w:szCs w:val="21"/>
        </w:rPr>
        <w:t xml:space="preserve">Karpukhin, V., Oguz, B., Min, S., Lewis, P., Wu, L., Edunov, S., Chen, D. and Yih, W.-t. (2020) ‘Dense Passage Retrieval for Open-Domain Question Answering’, Proceedings of the 2020 Conference on Empirical Methods in Natural Language Processing (EMNLP 2020), pp. 6769–6781.</w:t>
      </w:r>
    </w:p>
    <w:p>
      <w:pPr>
        <w:spacing w:after="160" w:line="264" w:lineRule="auto"/>
        <w:ind w:left="360" w:hanging="360"/>
        <w:jc w:val="both"/>
      </w:pPr>
      <w:r>
        <w:rPr>
          <w:rFonts w:ascii="Optima" w:cs="Optima" w:eastAsia="Optima" w:hAnsi="Optima"/>
          <w:color w:val="1A1D21"/>
          <w:sz w:val="21"/>
          <w:szCs w:val="21"/>
        </w:rPr>
        <w:t xml:space="preserve">Lewis, P., Perez, E., Piktus, A., Petroni, F., Karpukhin, V., Goyal, N., Küttler, H., Lewis, M., Yih, W.-t., Rocktäschel, T., Riedel, S. and Kiela, D. (2020) ‘Retrieval-Augmented Generation for Knowledge-Intensive NLP Tasks’, Advances in Neural Information Processing Systems, 33 (NeurIPS 2020).</w:t>
      </w:r>
    </w:p>
    <w:p>
      <w:pPr>
        <w:spacing w:after="160" w:line="264" w:lineRule="auto"/>
        <w:ind w:left="360" w:hanging="360"/>
        <w:jc w:val="both"/>
      </w:pPr>
      <w:r>
        <w:rPr>
          <w:rFonts w:ascii="Optima" w:cs="Optima" w:eastAsia="Optima" w:hAnsi="Optima"/>
          <w:color w:val="1A1D21"/>
          <w:sz w:val="21"/>
          <w:szCs w:val="21"/>
        </w:rPr>
        <w:t xml:space="preserve">Liu, N.F., Lin, K., Hewitt, J., Paranjape, A., Bevilacqua, M., Petroni, F. and Liang, P. (2024) ‘Lost in the Middle: How Language Models Use Long Contexts’, Transactions of the Association for Computational Linguistics, 12, pp. 157–173.</w:t>
      </w:r>
    </w:p>
    <w:p>
      <w:pPr>
        <w:spacing w:after="160" w:line="264" w:lineRule="auto"/>
        <w:ind w:left="360" w:hanging="360"/>
        <w:jc w:val="both"/>
      </w:pPr>
      <w:r>
        <w:rPr>
          <w:rFonts w:ascii="Optima" w:cs="Optima" w:eastAsia="Optima" w:hAnsi="Optima"/>
          <w:color w:val="1A1D21"/>
          <w:sz w:val="21"/>
          <w:szCs w:val="21"/>
        </w:rPr>
        <w:t xml:space="preserve">Nogueira, R. and Cho, K. (2019) ‘Passage Re-ranking with BERT’, arXiv preprint, arXiv:1901.04085.</w:t>
      </w:r>
    </w:p>
    <w:p>
      <w:pPr>
        <w:spacing w:after="160" w:line="264" w:lineRule="auto"/>
        <w:ind w:left="360" w:hanging="360"/>
        <w:jc w:val="both"/>
      </w:pPr>
      <w:r>
        <w:rPr>
          <w:rFonts w:ascii="Optima" w:cs="Optima" w:eastAsia="Optima" w:hAnsi="Optima"/>
          <w:color w:val="1A1D21"/>
          <w:sz w:val="21"/>
          <w:szCs w:val="21"/>
        </w:rPr>
        <w:t xml:space="preserve">Robertson, S. and Zaragoza, H. (2009) ‘The Probabilistic Relevance Framework: BM25 and Beyond’, Foundations and Trends in Information Retrieval, 3(4), pp. 333–389.</w:t>
      </w:r>
    </w:p>
    <w:p>
      <w:pPr>
        <w:spacing w:after="160" w:line="264" w:lineRule="auto"/>
        <w:ind w:left="360" w:hanging="360"/>
        <w:jc w:val="both"/>
      </w:pPr>
      <w:r>
        <w:rPr>
          <w:rFonts w:ascii="Optima" w:cs="Optima" w:eastAsia="Optima" w:hAnsi="Optima"/>
          <w:color w:val="1A1D21"/>
          <w:sz w:val="21"/>
          <w:szCs w:val="21"/>
        </w:rPr>
        <w:t xml:space="preserve">Sarthi, P., Abdullah, S., Tuli, A., Khanna, S., Goldie, A. and Manning, C.D. (2024) ‘RAPTOR: Recursive Abstractive Processing for Tree-Organized Retrieval’, Proceedings of the International Conference on Learning Representations (ICLR 2024).</w:t>
      </w:r>
    </w:p>
    <w:p>
      <w:pPr>
        <w:spacing w:after="160" w:line="264" w:lineRule="auto"/>
        <w:ind w:left="360" w:hanging="360"/>
        <w:jc w:val="both"/>
      </w:pPr>
      <w:r>
        <w:rPr>
          <w:rFonts w:ascii="Optima" w:cs="Optima" w:eastAsia="Optima" w:hAnsi="Optima"/>
          <w:color w:val="1A1D21"/>
          <w:sz w:val="21"/>
          <w:szCs w:val="21"/>
        </w:rPr>
        <w:t xml:space="preserve">Xiao, S., Liu, Z., Zhang, P. and Muennighoff, N. (2023) ‘C-Pack: Packaged Resources to Advance General Chinese Embedding’, arXiv preprint, arXiv:2309.07597.</w:t>
      </w:r>
    </w:p>
    <w:p>
      <w:pPr>
        <w:spacing w:after="160" w:line="264" w:lineRule="auto"/>
        <w:ind w:left="360" w:hanging="360"/>
        <w:jc w:val="both"/>
      </w:pPr>
      <w:r>
        <w:rPr>
          <w:rFonts w:ascii="Optima" w:cs="Optima" w:eastAsia="Optima" w:hAnsi="Optima"/>
          <w:color w:val="1A1D21"/>
          <w:sz w:val="21"/>
          <w:szCs w:val="21"/>
        </w:rPr>
        <w:t xml:space="preserve">Zheng, L., Chiang, W.-L., Sheng, Y., Zhuang, S., Wu, Z., Zhuang, Y., Lin, Z., Li, Z., Li, D., Xing, E.P., Zhang, H., Gonzalez, J.E. and Stoica, I. (2023) ‘Judging LLM-as-a-Judge with MT-Bench and Chatbot Arena’, Advances in Neural Information Processing Systems, 36 (NeurIPS 2023).</w:t>
      </w:r>
    </w:p>
    <w:sectPr>
      <w:headerReference w:type="default" r:id="rId9"/>
      <w:footerReference w:type="default" r:id="rId10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767C84"/>
        <w:sz w:val="18"/>
        <w:szCs w:val="18"/>
      </w:rPr>
      <w:t xml:space="preserve">Page </w:t>
    </w:r>
    <w:r>
      <w:rPr>
        <w:rFonts w:ascii="Calibri" w:cs="Calibri" w:eastAsia="Calibri" w:hAnsi="Calibri"/>
        <w:color w:val="767C84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67C84"/>
        <w:sz w:val="18"/>
        <w:szCs w:val="18"/>
      </w:rPr>
      <w:t xml:space="preserve"> of </w:t>
    </w:r>
    <w:r>
      <w:rPr>
        <w:rFonts w:ascii="Calibri" w:cs="Calibri" w:eastAsia="Calibri" w:hAnsi="Calibri"/>
        <w:color w:val="767C84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7BCC2" w:sz="4" w:space="4"/>
      </w:pBdr>
      <w:jc w:val="center"/>
    </w:pPr>
    <w:r>
      <w:rPr>
        <w:rFonts w:ascii="Calibri" w:cs="Calibri" w:eastAsia="Calibri" w:hAnsi="Calibri"/>
        <w:color w:val="767C84"/>
        <w:sz w:val="18"/>
        <w:szCs w:val="18"/>
      </w:rPr>
      <w:t xml:space="preserve">Semantic, Statistical &amp; Structural RAG Retrieval Paradigms over SEC 10-K Filings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tima" w:cs="Optima" w:eastAsia="Optima" w:hAnsi="Optima"/>
        <w:color w:val="1A1D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Optima" w:cs="Optima" w:eastAsia="Optima" w:hAnsi="Optima"/>
      <w:b/>
      <w:bCs/>
      <w:color w:val="0A1F3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Optima" w:cs="Optima" w:eastAsia="Optima" w:hAnsi="Optima"/>
      <w:b/>
      <w:bCs/>
      <w:color w:val="1540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2026-06-25T10:06:25.440Z</dcterms:created>
  <dcterms:modified xsi:type="dcterms:W3CDTF">2026-06-25T10:06:25.441Z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