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BB75B" w14:textId="77777777" w:rsidR="003E387E" w:rsidRDefault="003E387E">
      <w:pPr>
        <w:spacing w:before="1100"/>
      </w:pPr>
    </w:p>
    <w:p w14:paraId="54860C94" w14:textId="77777777" w:rsidR="003E387E" w:rsidRDefault="00000000">
      <w:pPr>
        <w:spacing w:after="260"/>
        <w:jc w:val="center"/>
      </w:pPr>
      <w:r>
        <w:rPr>
          <w:b/>
          <w:bCs/>
          <w:color w:val="0A1F33"/>
          <w:sz w:val="64"/>
          <w:szCs w:val="64"/>
        </w:rPr>
        <w:t>A Comparative Benchmark of Semantic, Statistical, and Structural Retrieval Paradigms for Retrieval-Augmented Generation over SEC 10-K Filings</w:t>
      </w:r>
    </w:p>
    <w:p w14:paraId="359D6089" w14:textId="77777777" w:rsidR="003E387E" w:rsidRDefault="003E387E">
      <w:pPr>
        <w:pBdr>
          <w:bottom w:val="single" w:sz="10" w:space="1" w:color="15406B"/>
        </w:pBdr>
      </w:pPr>
    </w:p>
    <w:p w14:paraId="718D2848" w14:textId="77777777" w:rsidR="003E387E" w:rsidRDefault="00000000">
      <w:pPr>
        <w:spacing w:before="220" w:after="600"/>
        <w:jc w:val="center"/>
      </w:pPr>
      <w:r>
        <w:rPr>
          <w:i/>
          <w:iCs/>
          <w:color w:val="15406B"/>
          <w:sz w:val="26"/>
          <w:szCs w:val="26"/>
        </w:rPr>
        <w:t>Design and Specification Proposal, COMP702 M.Sc. Project (2025/26)</w:t>
      </w:r>
    </w:p>
    <w:p w14:paraId="4F4F3B0E" w14:textId="77777777" w:rsidR="003E387E" w:rsidRDefault="003E387E">
      <w:pPr>
        <w:spacing w:before="900"/>
      </w:pPr>
    </w:p>
    <w:p w14:paraId="2D996D51" w14:textId="77777777" w:rsidR="003E387E" w:rsidRDefault="00000000">
      <w:pPr>
        <w:spacing w:after="70"/>
        <w:jc w:val="center"/>
      </w:pPr>
      <w:r>
        <w:rPr>
          <w:i/>
          <w:iCs/>
          <w:color w:val="44494F"/>
          <w:sz w:val="23"/>
          <w:szCs w:val="23"/>
        </w:rPr>
        <w:t>Submitted by</w:t>
      </w:r>
    </w:p>
    <w:p w14:paraId="72037F1C" w14:textId="77777777" w:rsidR="003E387E" w:rsidRDefault="00000000">
      <w:pPr>
        <w:spacing w:after="70"/>
        <w:jc w:val="center"/>
      </w:pPr>
      <w:r>
        <w:rPr>
          <w:b/>
          <w:bCs/>
          <w:sz w:val="27"/>
          <w:szCs w:val="27"/>
        </w:rPr>
        <w:t>Ojaswi Athghara</w:t>
      </w:r>
    </w:p>
    <w:p w14:paraId="0B304857" w14:textId="77777777" w:rsidR="003E387E" w:rsidRDefault="00000000">
      <w:pPr>
        <w:spacing w:after="420"/>
        <w:jc w:val="center"/>
      </w:pPr>
      <w:r>
        <w:rPr>
          <w:sz w:val="23"/>
          <w:szCs w:val="23"/>
        </w:rPr>
        <w:t>(Student ID 201959096)</w:t>
      </w:r>
    </w:p>
    <w:p w14:paraId="5653EC20" w14:textId="77777777" w:rsidR="003E387E" w:rsidRDefault="00000000">
      <w:pPr>
        <w:spacing w:after="70"/>
        <w:jc w:val="center"/>
      </w:pPr>
      <w:r>
        <w:rPr>
          <w:i/>
          <w:iCs/>
          <w:color w:val="44494F"/>
          <w:sz w:val="23"/>
          <w:szCs w:val="23"/>
        </w:rPr>
        <w:t>under the supervision of</w:t>
      </w:r>
    </w:p>
    <w:p w14:paraId="6C965C24" w14:textId="77777777" w:rsidR="003E387E" w:rsidRDefault="00000000">
      <w:pPr>
        <w:spacing w:after="900"/>
        <w:jc w:val="center"/>
      </w:pPr>
      <w:r>
        <w:rPr>
          <w:b/>
          <w:bCs/>
          <w:sz w:val="27"/>
          <w:szCs w:val="27"/>
        </w:rPr>
        <w:t>Blaine Keetch</w:t>
      </w:r>
    </w:p>
    <w:p w14:paraId="5F59CD15" w14:textId="77777777" w:rsidR="003E387E" w:rsidRDefault="003E387E">
      <w:pPr>
        <w:pBdr>
          <w:bottom w:val="single" w:sz="4" w:space="1" w:color="D4A017"/>
        </w:pBdr>
      </w:pPr>
    </w:p>
    <w:p w14:paraId="131D9026" w14:textId="77777777" w:rsidR="003E387E" w:rsidRDefault="00000000">
      <w:pPr>
        <w:spacing w:before="260" w:after="50"/>
        <w:jc w:val="center"/>
      </w:pPr>
      <w:r>
        <w:rPr>
          <w:b/>
          <w:bCs/>
          <w:color w:val="0A1F33"/>
          <w:sz w:val="23"/>
          <w:szCs w:val="23"/>
        </w:rPr>
        <w:t>SCHOOL OF COMPUTER SCIENCE AND INFORMATICS</w:t>
      </w:r>
    </w:p>
    <w:p w14:paraId="702FBC65" w14:textId="77777777" w:rsidR="003E387E" w:rsidRDefault="00000000">
      <w:pPr>
        <w:jc w:val="center"/>
      </w:pPr>
      <w:r>
        <w:rPr>
          <w:b/>
          <w:bCs/>
          <w:color w:val="0A1F33"/>
          <w:sz w:val="23"/>
          <w:szCs w:val="23"/>
        </w:rPr>
        <w:t>UNIVERSITY OF LIVERPOOL</w:t>
      </w:r>
    </w:p>
    <w:p w14:paraId="725B708A" w14:textId="77777777" w:rsidR="003E387E" w:rsidRDefault="00000000">
      <w:r>
        <w:br w:type="page"/>
      </w:r>
    </w:p>
    <w:p w14:paraId="38F95618" w14:textId="77777777" w:rsidR="003E387E" w:rsidRDefault="003E387E">
      <w:pPr>
        <w:sectPr w:rsidR="003E387E">
          <w:headerReference w:type="default" r:id="rId7"/>
          <w:footerReference w:type="default" r:id="rId8"/>
          <w:pgSz w:w="11906" w:h="16838"/>
          <w:pgMar w:top="1417" w:right="1417" w:bottom="1417" w:left="1417" w:header="708" w:footer="708" w:gutter="0"/>
          <w:cols w:space="720"/>
          <w:titlePg/>
          <w:docGrid w:linePitch="360"/>
        </w:sectPr>
      </w:pPr>
    </w:p>
    <w:p w14:paraId="5068A937" w14:textId="77777777" w:rsidR="003E387E" w:rsidRDefault="00000000">
      <w:pPr>
        <w:pStyle w:val="Heading1"/>
        <w:pBdr>
          <w:bottom w:val="single" w:sz="8" w:space="6" w:color="15406B"/>
        </w:pBdr>
        <w:spacing w:before="0"/>
      </w:pPr>
      <w:bookmarkStart w:id="0" w:name="_Toc233281597"/>
      <w:r>
        <w:lastRenderedPageBreak/>
        <w:t>Statement of Ethical Compliance: A0</w:t>
      </w:r>
      <w:bookmarkEnd w:id="0"/>
    </w:p>
    <w:p w14:paraId="5A307C4B" w14:textId="77777777" w:rsidR="003E387E" w:rsidRDefault="00000000">
      <w:pPr>
        <w:spacing w:after="180" w:line="288" w:lineRule="auto"/>
        <w:jc w:val="both"/>
      </w:pPr>
      <w:r>
        <w:rPr>
          <w:b/>
          <w:bCs/>
        </w:rPr>
        <w:t xml:space="preserve">Data Category: </w:t>
      </w:r>
      <w:r>
        <w:t>A</w:t>
      </w:r>
    </w:p>
    <w:p w14:paraId="111D36DF" w14:textId="77777777" w:rsidR="003E387E" w:rsidRDefault="00000000">
      <w:pPr>
        <w:spacing w:after="180" w:line="288" w:lineRule="auto"/>
        <w:jc w:val="both"/>
      </w:pPr>
      <w:r>
        <w:rPr>
          <w:b/>
          <w:bCs/>
        </w:rPr>
        <w:t xml:space="preserve">Participant Category: </w:t>
      </w:r>
      <w:r>
        <w:t>0</w:t>
      </w:r>
    </w:p>
    <w:p w14:paraId="28CEB286" w14:textId="77777777" w:rsidR="003E387E" w:rsidRDefault="00000000">
      <w:pPr>
        <w:spacing w:before="160" w:after="180" w:line="288" w:lineRule="auto"/>
        <w:jc w:val="both"/>
      </w:pPr>
      <w:r>
        <w:t>I confirm that I have read the ethical guidelines and will follow them during this project. This project uses only publicly available, non-personal United States SEC 10-K corporate filings sourced from SEC EDGAR; it involves no human participants and no personal data of any kind.</w:t>
      </w:r>
    </w:p>
    <w:p w14:paraId="1CA38A49" w14:textId="77777777" w:rsidR="003E387E" w:rsidRDefault="00000000">
      <w:r>
        <w:br w:type="page"/>
      </w:r>
    </w:p>
    <w:p w14:paraId="48FCD08F" w14:textId="77777777" w:rsidR="003E387E" w:rsidRDefault="00000000">
      <w:pPr>
        <w:pStyle w:val="Heading1"/>
        <w:pBdr>
          <w:bottom w:val="single" w:sz="8" w:space="6" w:color="15406B"/>
        </w:pBdr>
        <w:spacing w:before="0"/>
      </w:pPr>
      <w:bookmarkStart w:id="1" w:name="_Toc233281598"/>
      <w:r>
        <w:lastRenderedPageBreak/>
        <w:t>Table of Contents</w:t>
      </w:r>
      <w:bookmarkEnd w:id="1"/>
    </w:p>
    <w:sdt>
      <w:sdtPr>
        <w:alias w:val="Table of Contents"/>
        <w:id w:val="1906575757"/>
      </w:sdtPr>
      <w:sdtContent>
        <w:p w14:paraId="25D9E713" w14:textId="77777777" w:rsidR="00E645EF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281597" w:history="1">
            <w:r w:rsidR="00E645EF" w:rsidRPr="00D03146">
              <w:rPr>
                <w:rStyle w:val="Hyperlink"/>
                <w:noProof/>
              </w:rPr>
              <w:t>Statement of Ethical Compliance: A0</w:t>
            </w:r>
            <w:r w:rsidR="00E645EF">
              <w:rPr>
                <w:noProof/>
              </w:rPr>
              <w:tab/>
            </w:r>
            <w:r w:rsidR="00E645EF">
              <w:rPr>
                <w:noProof/>
              </w:rPr>
              <w:fldChar w:fldCharType="begin"/>
            </w:r>
            <w:r w:rsidR="00E645EF">
              <w:rPr>
                <w:noProof/>
              </w:rPr>
              <w:instrText xml:space="preserve"> PAGEREF _Toc233281597 \h </w:instrText>
            </w:r>
            <w:r w:rsidR="00E645EF">
              <w:rPr>
                <w:noProof/>
              </w:rPr>
            </w:r>
            <w:r w:rsidR="00E645EF">
              <w:rPr>
                <w:noProof/>
              </w:rPr>
              <w:fldChar w:fldCharType="separate"/>
            </w:r>
            <w:r w:rsidR="00E645EF">
              <w:rPr>
                <w:noProof/>
              </w:rPr>
              <w:t>2</w:t>
            </w:r>
            <w:r w:rsidR="00E645EF">
              <w:rPr>
                <w:noProof/>
              </w:rPr>
              <w:fldChar w:fldCharType="end"/>
            </w:r>
          </w:hyperlink>
        </w:p>
        <w:p w14:paraId="338297AC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598" w:history="1">
            <w:r w:rsidRPr="00D03146">
              <w:rPr>
                <w:rStyle w:val="Hyperlink"/>
                <w:noProof/>
              </w:rPr>
              <w:t>Table of 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017E2C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599" w:history="1">
            <w:r w:rsidRPr="00D03146">
              <w:rPr>
                <w:rStyle w:val="Hyperlink"/>
                <w:noProof/>
              </w:rPr>
              <w:t>1. Project Description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522BE9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00" w:history="1">
            <w:r w:rsidRPr="00D03146">
              <w:rPr>
                <w:rStyle w:val="Hyperlink"/>
                <w:noProof/>
              </w:rPr>
              <w:t>2. Aims and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6B5FE3" w14:textId="77777777" w:rsidR="00E645EF" w:rsidRDefault="00E645EF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3281601" w:history="1">
            <w:r w:rsidRPr="00D03146">
              <w:rPr>
                <w:rStyle w:val="Hyperlink"/>
                <w:noProof/>
              </w:rPr>
              <w:t>2.1 Aims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4A63EE" w14:textId="77777777" w:rsidR="00E645EF" w:rsidRDefault="00E645EF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3281602" w:history="1">
            <w:r w:rsidRPr="00D03146">
              <w:rPr>
                <w:rStyle w:val="Hyperlink"/>
                <w:noProof/>
              </w:rPr>
              <w:t>2.2 Requirements: Essential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E85A7C" w14:textId="77777777" w:rsidR="00E645EF" w:rsidRDefault="00E645EF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3281603" w:history="1">
            <w:r w:rsidRPr="00D03146">
              <w:rPr>
                <w:rStyle w:val="Hyperlink"/>
                <w:noProof/>
              </w:rPr>
              <w:t>2.3 Requirements: Desirable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E4034A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04" w:history="1">
            <w:r w:rsidRPr="00D03146">
              <w:rPr>
                <w:rStyle w:val="Hyperlink"/>
                <w:noProof/>
              </w:rPr>
              <w:t>3. Key Literature and Background Reading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F5F0938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05" w:history="1">
            <w:r w:rsidRPr="00D03146">
              <w:rPr>
                <w:rStyle w:val="Hyperlink"/>
                <w:noProof/>
              </w:rPr>
              <w:t>4. Development and Implementation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F1934B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06" w:history="1">
            <w:r w:rsidRPr="00D03146">
              <w:rPr>
                <w:rStyle w:val="Hyperlink"/>
                <w:noProof/>
              </w:rPr>
              <w:t>5.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AC7817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07" w:history="1">
            <w:r w:rsidRPr="00D03146">
              <w:rPr>
                <w:rStyle w:val="Hyperlink"/>
                <w:noProof/>
              </w:rPr>
              <w:t>6. Testing and Evaluation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87EE03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08" w:history="1">
            <w:r w:rsidRPr="00D03146">
              <w:rPr>
                <w:rStyle w:val="Hyperlink"/>
                <w:noProof/>
              </w:rPr>
              <w:t>7. Project Ethics and Human Participants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5C2B30B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09" w:history="1">
            <w:r w:rsidRPr="00D03146">
              <w:rPr>
                <w:rStyle w:val="Hyperlink"/>
                <w:noProof/>
              </w:rPr>
              <w:t>8. BCS Project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5B918D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10" w:history="1">
            <w:r w:rsidRPr="00D03146">
              <w:rPr>
                <w:rStyle w:val="Hyperlink"/>
                <w:noProof/>
              </w:rPr>
              <w:t>9. UI/UX Mockup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EB9EEC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11" w:history="1">
            <w:r w:rsidRPr="00D03146">
              <w:rPr>
                <w:rStyle w:val="Hyperlink"/>
                <w:noProof/>
              </w:rPr>
              <w:t>10. Project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3C8F43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12" w:history="1">
            <w:r w:rsidRPr="00D03146">
              <w:rPr>
                <w:rStyle w:val="Hyperlink"/>
                <w:noProof/>
              </w:rPr>
              <w:t>11. Risks and Contingency Plans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50DAC7" w14:textId="77777777" w:rsidR="00E645EF" w:rsidRDefault="00E645EF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3281613" w:history="1">
            <w:r w:rsidRPr="00D03146">
              <w:rPr>
                <w:rStyle w:val="Hyperlink"/>
                <w:noProof/>
              </w:rPr>
              <w:t>12.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_Toc233281613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E5CB2D" w14:textId="77777777" w:rsidR="003E387E" w:rsidRDefault="00000000">
          <w:r>
            <w:fldChar w:fldCharType="end"/>
          </w:r>
        </w:p>
      </w:sdtContent>
    </w:sdt>
    <w:p w14:paraId="4AB050BE" w14:textId="77777777" w:rsidR="003E387E" w:rsidRDefault="00000000">
      <w:r>
        <w:br w:type="page"/>
      </w:r>
    </w:p>
    <w:p w14:paraId="6916693B" w14:textId="77777777" w:rsidR="003E387E" w:rsidRDefault="00000000">
      <w:pPr>
        <w:pStyle w:val="Heading1"/>
        <w:pBdr>
          <w:bottom w:val="single" w:sz="8" w:space="6" w:color="15406B"/>
        </w:pBdr>
      </w:pPr>
      <w:bookmarkStart w:id="2" w:name="_Toc233281599"/>
      <w:r>
        <w:lastRenderedPageBreak/>
        <w:t>1. Project Description</w:t>
      </w:r>
      <w:bookmarkEnd w:id="2"/>
    </w:p>
    <w:p w14:paraId="1BCFDEF8" w14:textId="77777777" w:rsidR="003E387E" w:rsidRDefault="00000000">
      <w:pPr>
        <w:spacing w:after="180" w:line="288" w:lineRule="auto"/>
        <w:jc w:val="both"/>
      </w:pPr>
      <w:r>
        <w:t xml:space="preserve">Retrieval-Augmented Generation (RAG) systems answer questions by pairing a retriever that selects relevant evidence from a corpus with a language model that generates a grounded answer (Lewis </w:t>
      </w:r>
      <w:r>
        <w:rPr>
          <w:i/>
          <w:iCs/>
        </w:rPr>
        <w:t>et al.</w:t>
      </w:r>
      <w:r>
        <w:t xml:space="preserve">, 2020). Most RAG benchmarks target encyclopaedic or open-domain text; far less is known about how different retrieval paradigms behave on dense, table-heavy financial disclosures such as SEC 10-K filings, where an answer may sit inside a single cell of a multi-row table rather than a sentence of prose (Chen </w:t>
      </w:r>
      <w:r>
        <w:rPr>
          <w:i/>
          <w:iCs/>
        </w:rPr>
        <w:t>et al.</w:t>
      </w:r>
      <w:r>
        <w:t>, 2021). This project builds and benchmarks three complete RAG pipelines, a semantic (dense vector) retriever, a statistical (BM25) retriever, and a structural (hierarchical summary-tree) retriever, against a 140-query, human-anchored benchmark spanning direct and inferential questions over both narrative text and financial tables, to establish where each paradigm succeeds and where it degrades.</w:t>
      </w:r>
    </w:p>
    <w:p w14:paraId="10A97E1A" w14:textId="77777777" w:rsidR="003E387E" w:rsidRDefault="00000000">
      <w:pPr>
        <w:pStyle w:val="Heading1"/>
        <w:pBdr>
          <w:bottom w:val="single" w:sz="8" w:space="6" w:color="15406B"/>
        </w:pBdr>
      </w:pPr>
      <w:bookmarkStart w:id="3" w:name="_Toc233281600"/>
      <w:r>
        <w:t>2. Aims and Requirements</w:t>
      </w:r>
      <w:bookmarkEnd w:id="3"/>
    </w:p>
    <w:p w14:paraId="51577327" w14:textId="77777777" w:rsidR="003E387E" w:rsidRDefault="00000000">
      <w:pPr>
        <w:pStyle w:val="Heading2"/>
      </w:pPr>
      <w:bookmarkStart w:id="4" w:name="_Toc233281601"/>
      <w:r>
        <w:t>2.1 Aims</w:t>
      </w:r>
      <w:bookmarkEnd w:id="4"/>
    </w:p>
    <w:p w14:paraId="22E9727E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>Design and implement three architecturally distinct RAG retrieval pipelines (semantic, statistical, structural) sharing one evaluation harness, so that performance differences are attributable to retrieval strategy rather than to generation.</w:t>
      </w:r>
    </w:p>
    <w:p w14:paraId="70D9FEA6" w14:textId="0701A05B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 xml:space="preserve">Construct an </w:t>
      </w:r>
      <w:proofErr w:type="spellStart"/>
      <w:r w:rsidR="00E645EF">
        <w:t>adversarial</w:t>
      </w:r>
      <w:r w:rsidR="00D7358B">
        <w:t>ly</w:t>
      </w:r>
      <w:proofErr w:type="spellEnd"/>
      <w:r w:rsidR="00D7358B">
        <w:t xml:space="preserve"> </w:t>
      </w:r>
      <w:r>
        <w:t>verified, human-anchored benchmark of 140 questions, stratified across four query types (direct/implicit retrieval over text/table content), grounded in real SEC 10-K filings.</w:t>
      </w:r>
    </w:p>
    <w:p w14:paraId="760B0CF4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>Quantify each pipeline’s retrieval accuracy, answer quality, and computational efficiency, and identify the conditions under which each paradigm degrades.</w:t>
      </w:r>
    </w:p>
    <w:p w14:paraId="20FCE727" w14:textId="77777777" w:rsidR="003E387E" w:rsidRDefault="00000000">
      <w:pPr>
        <w:pStyle w:val="Heading2"/>
      </w:pPr>
      <w:bookmarkStart w:id="5" w:name="_Toc233281602"/>
      <w:r>
        <w:t>2.2 Requirements: Essential</w:t>
      </w:r>
      <w:bookmarkEnd w:id="5"/>
    </w:p>
    <w:p w14:paraId="213C760C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>Parse SEC 10-K filings into metadata-enriched, atomic text/table nodes without bisecting tables.</w:t>
      </w:r>
    </w:p>
    <w:p w14:paraId="27896AA6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 xml:space="preserve">Implement P1 (dense embeddings with a cross-encoder </w:t>
      </w:r>
      <w:proofErr w:type="spellStart"/>
      <w:r>
        <w:t>reranker</w:t>
      </w:r>
      <w:proofErr w:type="spellEnd"/>
      <w:r>
        <w:t>), P2 (Okapi BM25), and P3 (hierarchical summary-tree) retrievers sharing one answering model.</w:t>
      </w:r>
    </w:p>
    <w:p w14:paraId="5DCD364C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 xml:space="preserve">Generate and </w:t>
      </w:r>
      <w:proofErr w:type="spellStart"/>
      <w:r>
        <w:t>adversarially</w:t>
      </w:r>
      <w:proofErr w:type="spellEnd"/>
      <w:r>
        <w:t xml:space="preserve"> verify a 140-query benchmark with node-level ground-truth citations.</w:t>
      </w:r>
    </w:p>
    <w:p w14:paraId="24A8F334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>Validate an automated LLM judge against human scores before using it to grade the full benchmark.</w:t>
      </w:r>
    </w:p>
    <w:p w14:paraId="0086D375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>Persist all queries, retrieved evidence, and scores in a relational (SQLite) store with crash-safe resume.</w:t>
      </w:r>
    </w:p>
    <w:p w14:paraId="4F6AE082" w14:textId="77777777" w:rsidR="003E387E" w:rsidRDefault="00000000">
      <w:pPr>
        <w:pStyle w:val="Heading2"/>
      </w:pPr>
      <w:bookmarkStart w:id="6" w:name="_Toc233281603"/>
      <w:r>
        <w:t>2.3 Requirements: Desirable</w:t>
      </w:r>
      <w:bookmarkEnd w:id="6"/>
    </w:p>
    <w:p w14:paraId="5233AD20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lastRenderedPageBreak/>
        <w:t>Extend the comparison with a metadata pre-filter or hybrid-fusion ablation (reserved future-scope pipelines).</w:t>
      </w:r>
    </w:p>
    <w:p w14:paraId="23857806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>Visualise per-quadrant performance gaps in a comparison view for the dissertation write-up.</w:t>
      </w:r>
    </w:p>
    <w:p w14:paraId="525A3806" w14:textId="77777777" w:rsidR="003E387E" w:rsidRDefault="00000000">
      <w:pPr>
        <w:pStyle w:val="Heading1"/>
        <w:pBdr>
          <w:bottom w:val="single" w:sz="8" w:space="6" w:color="15406B"/>
        </w:pBdr>
      </w:pPr>
      <w:bookmarkStart w:id="7" w:name="_Toc233281604"/>
      <w:r>
        <w:t>3. Key Literature and Background Reading</w:t>
      </w:r>
      <w:bookmarkEnd w:id="7"/>
    </w:p>
    <w:p w14:paraId="6A2420B5" w14:textId="77777777" w:rsidR="003E387E" w:rsidRDefault="00000000">
      <w:pPr>
        <w:spacing w:after="180" w:line="288" w:lineRule="auto"/>
        <w:jc w:val="both"/>
      </w:pPr>
      <w:r>
        <w:t xml:space="preserve">Lewis </w:t>
      </w:r>
      <w:r>
        <w:rPr>
          <w:i/>
          <w:iCs/>
        </w:rPr>
        <w:t>et al.</w:t>
      </w:r>
      <w:r>
        <w:t xml:space="preserve"> (2020) framed answer generation grounded in retrieved evidence as a way of reducing hallucination relative to purely parametric generation, and this Retrieval-Augmented Generation framing motivates the project’s overall design: a retriever supplies evidence, and one shared answerer consumes it.</w:t>
      </w:r>
    </w:p>
    <w:p w14:paraId="0707BA7E" w14:textId="77777777" w:rsidR="003E387E" w:rsidRDefault="00000000">
      <w:pPr>
        <w:spacing w:after="180" w:line="288" w:lineRule="auto"/>
        <w:jc w:val="both"/>
      </w:pPr>
      <w:r>
        <w:t xml:space="preserve">On the statistical side, Robertson and Zaragoza (2009) formalised the probabilistic relevance framework that underlies BM25, which remains a strong, fully deterministic retrieval baseline and forms this project’s P2 pipeline. On the semantic side, </w:t>
      </w:r>
      <w:proofErr w:type="spellStart"/>
      <w:r>
        <w:t>Karpukhin</w:t>
      </w:r>
      <w:proofErr w:type="spellEnd"/>
      <w:r>
        <w:t xml:space="preserve"> </w:t>
      </w:r>
      <w:r>
        <w:rPr>
          <w:i/>
          <w:iCs/>
        </w:rPr>
        <w:t>et al.</w:t>
      </w:r>
      <w:r>
        <w:t xml:space="preserve"> (2020) showed that learned dense bi-encoder retrieval can outperform BM25 by 9-19% absolute on open-domain question answering, while Nogueira and Cho (2019) showed that adding a cross-encoder reranking stage over an initial candidate set materially improves precision; together these findings motivate the project’s P1 embed-then-</w:t>
      </w:r>
      <w:proofErr w:type="spellStart"/>
      <w:r>
        <w:t>rerank</w:t>
      </w:r>
      <w:proofErr w:type="spellEnd"/>
      <w:r>
        <w:t xml:space="preserve"> design. The embedding and </w:t>
      </w:r>
      <w:proofErr w:type="spellStart"/>
      <w:r>
        <w:t>reranker</w:t>
      </w:r>
      <w:proofErr w:type="spellEnd"/>
      <w:r>
        <w:t xml:space="preserve"> models used for P1 draw on the BGE family released by Xiao </w:t>
      </w:r>
      <w:r>
        <w:rPr>
          <w:i/>
          <w:iCs/>
        </w:rPr>
        <w:t>et al.</w:t>
      </w:r>
      <w:r>
        <w:t xml:space="preserve"> (2023).</w:t>
      </w:r>
    </w:p>
    <w:p w14:paraId="4E8A151E" w14:textId="77777777" w:rsidR="003E387E" w:rsidRDefault="00000000">
      <w:pPr>
        <w:spacing w:after="180" w:line="288" w:lineRule="auto"/>
        <w:jc w:val="both"/>
      </w:pPr>
      <w:proofErr w:type="spellStart"/>
      <w:r>
        <w:t>Sarthi</w:t>
      </w:r>
      <w:proofErr w:type="spellEnd"/>
      <w:r>
        <w:t xml:space="preserve"> </w:t>
      </w:r>
      <w:r>
        <w:rPr>
          <w:i/>
          <w:iCs/>
        </w:rPr>
        <w:t>et al.</w:t>
      </w:r>
      <w:r>
        <w:t xml:space="preserve"> (2024) introduced RAPTOR, which recursively clusters and summarises text into a retrievable tree; this is the architectural basis for the project’s P3 structural pipeline, although their evaluation, like most RAG literature, is conducted on narrative rather than tabular text.</w:t>
      </w:r>
    </w:p>
    <w:p w14:paraId="2258F339" w14:textId="77777777" w:rsidR="003E387E" w:rsidRDefault="00000000">
      <w:pPr>
        <w:spacing w:after="180" w:line="288" w:lineRule="auto"/>
        <w:jc w:val="both"/>
      </w:pPr>
      <w:r>
        <w:t xml:space="preserve">The domain challenge that motivates this project is well documented: Chen </w:t>
      </w:r>
      <w:r>
        <w:rPr>
          <w:i/>
          <w:iCs/>
        </w:rPr>
        <w:t>et al.</w:t>
      </w:r>
      <w:r>
        <w:t xml:space="preserve"> (2021) introduced </w:t>
      </w:r>
      <w:proofErr w:type="spellStart"/>
      <w:r>
        <w:t>FinQA</w:t>
      </w:r>
      <w:proofErr w:type="spellEnd"/>
      <w:r>
        <w:t xml:space="preserve"> and showed that even strong pre-trained models fall far short of expert humans at multi-step numerical reasoning over financial tables, which is why the benchmark constructed here explicitly stratifies table-heavy query quadrants. Liu </w:t>
      </w:r>
      <w:r>
        <w:rPr>
          <w:i/>
          <w:iCs/>
        </w:rPr>
        <w:t>et al.</w:t>
      </w:r>
      <w:r>
        <w:t xml:space="preserve"> (2024) further showed that model accuracy degrades when relevant evidence sits in the middle of a long context, which is the argument for retrieval-based context selection over naive full-document stuffing.</w:t>
      </w:r>
    </w:p>
    <w:p w14:paraId="49778495" w14:textId="77777777" w:rsidR="003E387E" w:rsidRDefault="00000000">
      <w:pPr>
        <w:spacing w:after="180" w:line="288" w:lineRule="auto"/>
        <w:jc w:val="both"/>
      </w:pPr>
      <w:r>
        <w:t xml:space="preserve">Finally, on evaluation methodology, Zheng </w:t>
      </w:r>
      <w:r>
        <w:rPr>
          <w:i/>
          <w:iCs/>
        </w:rPr>
        <w:t>et al.</w:t>
      </w:r>
      <w:r>
        <w:t xml:space="preserve"> (2023) showed that a strong LLM judge can reach over 80% agreement with human preference judgements, the same threshold this project adopts as its judge-validation gate before trusting an automated judge to grade the full benchmark.</w:t>
      </w:r>
    </w:p>
    <w:p w14:paraId="09262EC9" w14:textId="77777777" w:rsidR="003E387E" w:rsidRDefault="00000000">
      <w:pPr>
        <w:spacing w:after="180" w:line="288" w:lineRule="auto"/>
        <w:jc w:val="both"/>
      </w:pPr>
      <w:r>
        <w:t>None of the studies above evaluate all three retrieval paradigms side by side on a single financial-filing benchmark stratified by both query type and content modality (text versus table); this is the specific gap the present project addresses.</w:t>
      </w:r>
    </w:p>
    <w:p w14:paraId="18DD82A7" w14:textId="77777777" w:rsidR="003E387E" w:rsidRDefault="00000000">
      <w:pPr>
        <w:pStyle w:val="Heading1"/>
        <w:pBdr>
          <w:bottom w:val="single" w:sz="8" w:space="6" w:color="15406B"/>
        </w:pBdr>
      </w:pPr>
      <w:bookmarkStart w:id="8" w:name="_Toc233281605"/>
      <w:r>
        <w:t>4. Development and Implementation Summary</w:t>
      </w:r>
      <w:bookmarkEnd w:id="8"/>
    </w:p>
    <w:p w14:paraId="04EA0BE6" w14:textId="77777777" w:rsidR="003E387E" w:rsidRDefault="00000000">
      <w:pPr>
        <w:spacing w:after="180" w:line="288" w:lineRule="auto"/>
        <w:jc w:val="both"/>
      </w:pPr>
      <w:r>
        <w:t xml:space="preserve">The system is implemented in Python 3, using </w:t>
      </w:r>
      <w:proofErr w:type="spellStart"/>
      <w:r>
        <w:t>LlamaIndex</w:t>
      </w:r>
      <w:proofErr w:type="spellEnd"/>
      <w:r>
        <w:t xml:space="preserve"> as a common retrieval and orchestration backbone so that all three pipelines expose the same retriever interface. Generation, dataset </w:t>
      </w:r>
      <w:r>
        <w:lastRenderedPageBreak/>
        <w:t xml:space="preserve">critique, and judging are performed by open-source instruction models served free of charge via </w:t>
      </w:r>
      <w:proofErr w:type="spellStart"/>
      <w:r>
        <w:t>Groq</w:t>
      </w:r>
      <w:proofErr w:type="spellEnd"/>
      <w:r>
        <w:t xml:space="preserve"> (rate-limited rather than billed, so the implementation has zero recurring spend). Embeddings (</w:t>
      </w:r>
      <w:r w:rsidRPr="00D4027E">
        <w:t>BAAI/bge-small-en-v1.5</w:t>
      </w:r>
      <w:r>
        <w:t>) and reranking (</w:t>
      </w:r>
      <w:r w:rsidRPr="00D4027E">
        <w:t>BAAI/</w:t>
      </w:r>
      <w:proofErr w:type="spellStart"/>
      <w:r w:rsidRPr="00D4027E">
        <w:t>bge</w:t>
      </w:r>
      <w:proofErr w:type="spellEnd"/>
      <w:r w:rsidRPr="00D4027E">
        <w:t>-</w:t>
      </w:r>
      <w:proofErr w:type="spellStart"/>
      <w:r w:rsidRPr="00D4027E">
        <w:t>reranker</w:t>
      </w:r>
      <w:proofErr w:type="spellEnd"/>
      <w:r w:rsidRPr="00D4027E">
        <w:t>-base</w:t>
      </w:r>
      <w:r>
        <w:t>) run locally on CPU.</w:t>
      </w:r>
    </w:p>
    <w:p w14:paraId="21D7381E" w14:textId="77777777" w:rsidR="003E387E" w:rsidRDefault="00000000">
      <w:pPr>
        <w:spacing w:after="180" w:line="288" w:lineRule="auto"/>
        <w:jc w:val="both"/>
      </w:pPr>
      <w:proofErr w:type="spellStart"/>
      <w:r>
        <w:t>ChromaDB</w:t>
      </w:r>
      <w:proofErr w:type="spellEnd"/>
      <w:r>
        <w:t xml:space="preserve"> provides the local vector store for P1, </w:t>
      </w:r>
      <w:r>
        <w:rPr>
          <w:i/>
          <w:iCs/>
        </w:rPr>
        <w:t>rank_bm25</w:t>
      </w:r>
      <w:r>
        <w:t xml:space="preserve"> provides the keyword index for P2, and a cached </w:t>
      </w:r>
      <w:proofErr w:type="spellStart"/>
      <w:r>
        <w:t>LlamaIndex</w:t>
      </w:r>
      <w:proofErr w:type="spellEnd"/>
      <w:r>
        <w:t xml:space="preserve"> </w:t>
      </w:r>
      <w:proofErr w:type="spellStart"/>
      <w:r>
        <w:t>SummaryIndex</w:t>
      </w:r>
      <w:proofErr w:type="spellEnd"/>
      <w:r>
        <w:t xml:space="preserve"> provides the structural pipeline for P3. A single SQLite database, run in Write-Ahead Logging mode, is the sole state store; every benchmark run commits immediately, so a crash resumes from the last written row rather than re-spending free-tier quota. Asynchronous worker pools, bounded by a semaphore and wrapped in an exponential-backoff retry layer, keep concurrent API calls within </w:t>
      </w:r>
      <w:proofErr w:type="spellStart"/>
      <w:r>
        <w:t>Groq’s</w:t>
      </w:r>
      <w:proofErr w:type="spellEnd"/>
      <w:r>
        <w:t xml:space="preserve"> free-tier rate limits.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92"/>
      </w:tblGrid>
      <w:tr w:rsidR="003E387E" w14:paraId="417A389A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90AE43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SEC EDGAR 10-K Filings (public, free)</w:t>
            </w:r>
          </w:p>
        </w:tc>
      </w:tr>
      <w:tr w:rsidR="003E387E" w14:paraId="3605009A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08DA33E1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4494F"/>
              </w:rPr>
              <w:t>↓</w:t>
            </w:r>
          </w:p>
        </w:tc>
      </w:tr>
      <w:tr w:rsidR="003E387E" w14:paraId="6561C010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DCE6E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F4E0D2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A1F33"/>
                <w:sz w:val="19"/>
                <w:szCs w:val="19"/>
              </w:rPr>
              <w:t xml:space="preserve">Ingestion &amp; Parsing: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A1F33"/>
                <w:sz w:val="19"/>
                <w:szCs w:val="19"/>
              </w:rPr>
              <w:t>LlamaParse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A1F33"/>
                <w:sz w:val="19"/>
                <w:szCs w:val="19"/>
              </w:rPr>
              <w:t xml:space="preserve"> → metadata-enriched Node Store (SQLite)</w:t>
            </w:r>
          </w:p>
        </w:tc>
      </w:tr>
      <w:tr w:rsidR="003E387E" w14:paraId="3AD69552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21215AD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4494F"/>
              </w:rPr>
              <w:t>↓</w:t>
            </w:r>
          </w:p>
        </w:tc>
      </w:tr>
      <w:tr w:rsidR="003E387E" w14:paraId="7815B063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7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024"/>
              <w:gridCol w:w="3024"/>
              <w:gridCol w:w="3024"/>
            </w:tblGrid>
            <w:tr w:rsidR="003E387E" w14:paraId="7FB71D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24" w:type="dxa"/>
                  <w:tcBorders>
                    <w:top w:val="single" w:sz="4" w:space="0" w:color="B7BCC2"/>
                    <w:left w:val="single" w:sz="4" w:space="0" w:color="B7BCC2"/>
                    <w:bottom w:val="single" w:sz="4" w:space="0" w:color="B7BCC2"/>
                    <w:right w:val="single" w:sz="4" w:space="0" w:color="B7BCC2"/>
                  </w:tcBorders>
                  <w:shd w:val="clear" w:color="auto" w:fill="3B4F7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552B2DD9" w14:textId="77777777" w:rsidR="003E387E" w:rsidRDefault="00000000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>P1: Vector (</w:t>
                  </w:r>
                  <w:proofErr w:type="spellStart"/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>bge</w:t>
                  </w:r>
                  <w:proofErr w:type="spellEnd"/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 embeddings + </w:t>
                  </w:r>
                  <w:proofErr w:type="spellStart"/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>reranker</w:t>
                  </w:r>
                  <w:proofErr w:type="spellEnd"/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>ChromaDB</w:t>
                  </w:r>
                  <w:proofErr w:type="spellEnd"/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>)</w:t>
                  </w:r>
                </w:p>
              </w:tc>
              <w:tc>
                <w:tcPr>
                  <w:tcW w:w="3024" w:type="dxa"/>
                  <w:tcBorders>
                    <w:top w:val="single" w:sz="4" w:space="0" w:color="B7BCC2"/>
                    <w:left w:val="single" w:sz="4" w:space="0" w:color="B7BCC2"/>
                    <w:bottom w:val="single" w:sz="4" w:space="0" w:color="B7BCC2"/>
                    <w:right w:val="single" w:sz="4" w:space="0" w:color="B7BCC2"/>
                  </w:tcBorders>
                  <w:shd w:val="clear" w:color="auto" w:fill="3B4F7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748ACD79" w14:textId="77777777" w:rsidR="003E387E" w:rsidRDefault="00000000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>P2: BM25 (rank_bm25, custom tokenizer)</w:t>
                  </w:r>
                </w:p>
              </w:tc>
              <w:tc>
                <w:tcPr>
                  <w:tcW w:w="3024" w:type="dxa"/>
                  <w:tcBorders>
                    <w:top w:val="single" w:sz="4" w:space="0" w:color="B7BCC2"/>
                    <w:left w:val="single" w:sz="4" w:space="0" w:color="B7BCC2"/>
                    <w:bottom w:val="single" w:sz="4" w:space="0" w:color="B7BCC2"/>
                    <w:right w:val="single" w:sz="4" w:space="0" w:color="B7BCC2"/>
                  </w:tcBorders>
                  <w:shd w:val="clear" w:color="auto" w:fill="3B4F7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0BF98D87" w14:textId="77777777" w:rsidR="003E387E" w:rsidRDefault="00000000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FFFFFF"/>
                      <w:sz w:val="19"/>
                      <w:szCs w:val="19"/>
                    </w:rPr>
                    <w:t>P3: Structural (cached LLM summary tree)</w:t>
                  </w:r>
                </w:p>
              </w:tc>
            </w:tr>
          </w:tbl>
          <w:p w14:paraId="2EE73CD6" w14:textId="77777777" w:rsidR="003E387E" w:rsidRDefault="003E387E"/>
        </w:tc>
      </w:tr>
      <w:tr w:rsidR="003E387E" w14:paraId="2E2DFC82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731CAD37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4494F"/>
              </w:rPr>
              <w:t>↓</w:t>
            </w:r>
          </w:p>
        </w:tc>
      </w:tr>
      <w:tr w:rsidR="003E387E" w14:paraId="7C4B1291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DCE6E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CE5DD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A1F33"/>
                <w:sz w:val="19"/>
                <w:szCs w:val="19"/>
              </w:rPr>
              <w:t>Shared Answerer: Llama 3.3 70B (temperature = 0)</w:t>
            </w:r>
          </w:p>
        </w:tc>
      </w:tr>
      <w:tr w:rsidR="003E387E" w14:paraId="1049F5FD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7144939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4494F"/>
              </w:rPr>
              <w:t>↓</w:t>
            </w:r>
          </w:p>
        </w:tc>
      </w:tr>
      <w:tr w:rsidR="003E387E" w14:paraId="2E65F1A6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DCE6EE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E9C11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A1F33"/>
                <w:sz w:val="19"/>
                <w:szCs w:val="19"/>
              </w:rPr>
              <w:t>LLM Judge (Qwen3-32b, validated &gt;80% human agreement) + Deterministic Code Metrics</w:t>
            </w:r>
          </w:p>
        </w:tc>
      </w:tr>
      <w:tr w:rsidR="003E387E" w14:paraId="0D6F00C1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7F42CFF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44494F"/>
              </w:rPr>
              <w:t>↓</w:t>
            </w:r>
          </w:p>
        </w:tc>
      </w:tr>
      <w:tr w:rsidR="003E387E" w14:paraId="2535AEC7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7C9A3B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Results Store (SQLite) → Analysis &amp; Comparison</w:t>
            </w:r>
          </w:p>
        </w:tc>
      </w:tr>
    </w:tbl>
    <w:p w14:paraId="177EC25D" w14:textId="77777777" w:rsidR="003E387E" w:rsidRDefault="00000000">
      <w:pPr>
        <w:spacing w:before="90" w:after="240"/>
        <w:jc w:val="center"/>
      </w:pPr>
      <w:r>
        <w:rPr>
          <w:rFonts w:ascii="Calibri" w:eastAsia="Calibri" w:hAnsi="Calibri" w:cs="Calibri"/>
          <w:i/>
          <w:iCs/>
          <w:color w:val="44494F"/>
          <w:sz w:val="20"/>
          <w:szCs w:val="20"/>
        </w:rPr>
        <w:t>Figure 04.01: High-Level Pipeline Architecture</w:t>
      </w:r>
    </w:p>
    <w:p w14:paraId="74F33ADB" w14:textId="77777777" w:rsidR="003E387E" w:rsidRDefault="00000000">
      <w:pPr>
        <w:pStyle w:val="Heading1"/>
        <w:pBdr>
          <w:bottom w:val="single" w:sz="8" w:space="6" w:color="15406B"/>
        </w:pBdr>
      </w:pPr>
      <w:bookmarkStart w:id="9" w:name="_Toc233281606"/>
      <w:r>
        <w:t>5. Data Sources</w:t>
      </w:r>
      <w:bookmarkEnd w:id="9"/>
    </w:p>
    <w:p w14:paraId="3225D1EE" w14:textId="77777777" w:rsidR="003E387E" w:rsidRDefault="00000000">
      <w:pPr>
        <w:spacing w:after="180" w:line="288" w:lineRule="auto"/>
        <w:jc w:val="both"/>
      </w:pPr>
      <w:r>
        <w:t xml:space="preserve">All data is sourced from SEC EDGAR, the United States Securities and Exchange Commission’s public filing system: a corpus of approximately six to nine 10-K annual filings, drawn from two to three companies across two to three fiscal years. These are public corporate disclosures and contain no personal or human-subject data. Filings are parsed via </w:t>
      </w:r>
      <w:proofErr w:type="spellStart"/>
      <w:r>
        <w:t>LlamaParse</w:t>
      </w:r>
      <w:proofErr w:type="spellEnd"/>
      <w:r>
        <w:t xml:space="preserve"> (free tier) into metadata-enriched text and table nodes.</w:t>
      </w:r>
    </w:p>
    <w:p w14:paraId="6FF3605D" w14:textId="77777777" w:rsidR="003E387E" w:rsidRDefault="00000000">
      <w:pPr>
        <w:spacing w:after="180" w:line="288" w:lineRule="auto"/>
        <w:jc w:val="both"/>
      </w:pPr>
      <w:r>
        <w:t xml:space="preserve">The 140-query evaluation benchmark is itself synthetically generated and </w:t>
      </w:r>
      <w:proofErr w:type="spellStart"/>
      <w:r>
        <w:t>adversarially</w:t>
      </w:r>
      <w:proofErr w:type="spellEnd"/>
      <w:r>
        <w:t xml:space="preserve"> verified from this corpus by two independent open-source language models acting as a cross-family generator and critic, with no third-party data collection and no participant data involved at any stage. This satisfies Data Category A0.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3E387E" w14:paraId="25E7E00B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2" w:space="0" w:color="FBF0D6"/>
              <w:left w:val="single" w:sz="28" w:space="0" w:color="D4A017"/>
              <w:bottom w:val="single" w:sz="2" w:space="0" w:color="FBF0D6"/>
              <w:right w:val="single" w:sz="2" w:space="0" w:color="FBF0D6"/>
            </w:tcBorders>
            <w:shd w:val="clear" w:color="auto" w:fill="FBF0D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6C4C5DF" w14:textId="77777777" w:rsidR="003E387E" w:rsidRDefault="00000000">
            <w:pPr>
              <w:jc w:val="both"/>
            </w:pPr>
            <w:r>
              <w:rPr>
                <w:b/>
                <w:bCs/>
                <w:i/>
                <w:iCs/>
                <w:color w:val="0A1F33"/>
                <w:sz w:val="23"/>
                <w:szCs w:val="23"/>
              </w:rPr>
              <w:t xml:space="preserve">Key point. </w:t>
            </w:r>
            <w:r>
              <w:rPr>
                <w:color w:val="0A1F33"/>
                <w:sz w:val="23"/>
                <w:szCs w:val="23"/>
              </w:rPr>
              <w:t xml:space="preserve">Every recurring component in this pipeline runs on a free tier or local CPU, so the expected spend for the full benchmark is $0.00; the only binding constraint is </w:t>
            </w:r>
            <w:proofErr w:type="spellStart"/>
            <w:r>
              <w:rPr>
                <w:color w:val="0A1F33"/>
                <w:sz w:val="23"/>
                <w:szCs w:val="23"/>
              </w:rPr>
              <w:t>Groq's</w:t>
            </w:r>
            <w:proofErr w:type="spellEnd"/>
            <w:r>
              <w:rPr>
                <w:color w:val="0A1F33"/>
                <w:sz w:val="23"/>
                <w:szCs w:val="23"/>
              </w:rPr>
              <w:t xml:space="preserve"> daily token throughput, not budget.</w:t>
            </w:r>
          </w:p>
        </w:tc>
      </w:tr>
    </w:tbl>
    <w:p w14:paraId="4B8ACC47" w14:textId="77777777" w:rsidR="003E387E" w:rsidRDefault="00000000">
      <w:pPr>
        <w:pStyle w:val="Heading1"/>
        <w:pBdr>
          <w:bottom w:val="single" w:sz="8" w:space="6" w:color="15406B"/>
        </w:pBdr>
      </w:pPr>
      <w:bookmarkStart w:id="10" w:name="_Toc233281607"/>
      <w:r>
        <w:lastRenderedPageBreak/>
        <w:t>6. Testing and Evaluation</w:t>
      </w:r>
      <w:bookmarkEnd w:id="10"/>
    </w:p>
    <w:p w14:paraId="26CBA82C" w14:textId="77777777" w:rsidR="003E387E" w:rsidRDefault="00000000">
      <w:pPr>
        <w:spacing w:after="180" w:line="288" w:lineRule="auto"/>
        <w:jc w:val="both"/>
      </w:pPr>
      <w:r>
        <w:t xml:space="preserve">The system is evaluated across three independent pillars. </w:t>
      </w:r>
      <w:r>
        <w:rPr>
          <w:b/>
          <w:bCs/>
        </w:rPr>
        <w:t>Retrieval metrics</w:t>
      </w:r>
      <w:r>
        <w:t xml:space="preserve"> (</w:t>
      </w:r>
      <w:proofErr w:type="spellStart"/>
      <w:r>
        <w:t>Precision@K</w:t>
      </w:r>
      <w:proofErr w:type="spellEnd"/>
      <w:r>
        <w:t xml:space="preserve">, </w:t>
      </w:r>
      <w:proofErr w:type="spellStart"/>
      <w:r>
        <w:t>Recall@K</w:t>
      </w:r>
      <w:proofErr w:type="spellEnd"/>
      <w:r>
        <w:t xml:space="preserve">, Evidence Hit Rate) are computed deterministically against node-ID ground truth. </w:t>
      </w:r>
      <w:r>
        <w:rPr>
          <w:b/>
          <w:bCs/>
        </w:rPr>
        <w:t>Answer-quality metrics</w:t>
      </w:r>
      <w:r>
        <w:t xml:space="preserve"> use an LLM-as-judge score (1-10) as the primary measure, with token-level F1 and numeric-tolerant Exact Match as secondary lexical checks, plus a code-level Citation Audit that flags answers which are correct only by coincidence, where the cited evidence does not match the ground truth. </w:t>
      </w:r>
      <w:r>
        <w:rPr>
          <w:b/>
          <w:bCs/>
        </w:rPr>
        <w:t>Efficiency metrics</w:t>
      </w:r>
      <w:r>
        <w:t xml:space="preserve"> cover latency, token consumption, and one-time index-build cost per pipeline.</w:t>
      </w:r>
    </w:p>
    <w:p w14:paraId="6DFF546F" w14:textId="77777777" w:rsidR="003E387E" w:rsidRDefault="00000000">
      <w:pPr>
        <w:spacing w:after="180" w:line="288" w:lineRule="auto"/>
        <w:jc w:val="both"/>
      </w:pPr>
      <w:r>
        <w:t xml:space="preserve">The automated judge is not trusted by default. It must first clear a hard validation gate, reaching greater than 80% agreement with the researcher’s own hand-scored outputs on a disjoint validation set, before it is permitted to grade the full benchmark, mirroring the agreement threshold reported for LLM judges by Zheng </w:t>
      </w:r>
      <w:r>
        <w:rPr>
          <w:i/>
          <w:iCs/>
        </w:rPr>
        <w:t>et al.</w:t>
      </w:r>
      <w:r>
        <w:t xml:space="preserve"> (2023). Every script that calls a language model is first run end-to-end under a hardcoded three-item local throttle, to catch bugs before any free-tier quota is spent at scale.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3E387E" w14:paraId="6088932D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2" w:space="0" w:color="FBF0D6"/>
              <w:left w:val="single" w:sz="28" w:space="0" w:color="D4A017"/>
              <w:bottom w:val="single" w:sz="2" w:space="0" w:color="FBF0D6"/>
              <w:right w:val="single" w:sz="2" w:space="0" w:color="FBF0D6"/>
            </w:tcBorders>
            <w:shd w:val="clear" w:color="auto" w:fill="FBF0D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75705DB" w14:textId="77777777" w:rsidR="003E387E" w:rsidRDefault="00000000">
            <w:pPr>
              <w:jc w:val="both"/>
            </w:pPr>
            <w:r>
              <w:rPr>
                <w:b/>
                <w:bCs/>
                <w:i/>
                <w:iCs/>
                <w:color w:val="0A1F33"/>
                <w:sz w:val="23"/>
                <w:szCs w:val="23"/>
              </w:rPr>
              <w:t xml:space="preserve">Key point. </w:t>
            </w:r>
            <w:r>
              <w:rPr>
                <w:color w:val="0A1F33"/>
                <w:sz w:val="23"/>
                <w:szCs w:val="23"/>
              </w:rPr>
              <w:t>The judge is gated, not trusted by default: it must clear 80% agreement with hand-scored human judgements on a disjoint validation set before it is allowed to grade the full 900-run benchmark.</w:t>
            </w:r>
          </w:p>
        </w:tc>
      </w:tr>
    </w:tbl>
    <w:p w14:paraId="7282FF7C" w14:textId="77777777" w:rsidR="003E387E" w:rsidRDefault="00000000">
      <w:pPr>
        <w:pStyle w:val="Heading1"/>
        <w:pBdr>
          <w:bottom w:val="single" w:sz="8" w:space="6" w:color="15406B"/>
        </w:pBdr>
      </w:pPr>
      <w:bookmarkStart w:id="11" w:name="_Toc233281608"/>
      <w:r>
        <w:t>7. Project Ethics and Human Participants</w:t>
      </w:r>
      <w:bookmarkEnd w:id="11"/>
    </w:p>
    <w:p w14:paraId="26902598" w14:textId="77777777" w:rsidR="003E387E" w:rsidRDefault="00000000">
      <w:pPr>
        <w:spacing w:after="180" w:line="288" w:lineRule="auto"/>
        <w:jc w:val="both"/>
      </w:pPr>
      <w:r>
        <w:t>This project involves no human participants and no personal data; all source material is SEC 10-K filings, which are public corporate disclosures (Data Category A0). The two manual steps in the methodology, hand-labelling 20 teaching exemplars and hand-scoring 60 judge-validation outputs, are carried out solely by the researcher as part of constructing the evaluation harness itself, rather than as a study involving external participants, and therefore fall outside the scope of human-participant ethics review. No further ethical approval beyond this statement is required for the activity planned within this assessment.</w:t>
      </w:r>
    </w:p>
    <w:p w14:paraId="02FF0147" w14:textId="77777777" w:rsidR="003E387E" w:rsidRDefault="00000000">
      <w:pPr>
        <w:pStyle w:val="Heading1"/>
        <w:pBdr>
          <w:bottom w:val="single" w:sz="8" w:space="6" w:color="15406B"/>
        </w:pBdr>
      </w:pPr>
      <w:bookmarkStart w:id="12" w:name="_Toc233281609"/>
      <w:r>
        <w:t>8. BCS Project Criteria</w:t>
      </w:r>
      <w:bookmarkEnd w:id="12"/>
    </w:p>
    <w:p w14:paraId="0BE0B818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 xml:space="preserve">Systematic understanding: a cross-paradigm RAG comparison grounded in current literature (Lewis et al., 2020; </w:t>
      </w:r>
      <w:proofErr w:type="spellStart"/>
      <w:r>
        <w:t>Karpukhin</w:t>
      </w:r>
      <w:proofErr w:type="spellEnd"/>
      <w:r>
        <w:t xml:space="preserve"> et al., 2020; </w:t>
      </w:r>
      <w:proofErr w:type="spellStart"/>
      <w:r>
        <w:t>Sarthi</w:t>
      </w:r>
      <w:proofErr w:type="spellEnd"/>
      <w:r>
        <w:t xml:space="preserve"> et al., 2024), exposing paradigm limits not yet documented for SEC-filing data.</w:t>
      </w:r>
    </w:p>
    <w:p w14:paraId="47032625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>Comprehensive technique understanding: dense retrieval, sparse retrieval, hierarchical summarisation, reranking, and LLM-based evaluation are all designed and built within a single project.</w:t>
      </w:r>
    </w:p>
    <w:p w14:paraId="5EDB3777" w14:textId="66E99ED2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lastRenderedPageBreak/>
        <w:t xml:space="preserve">Originality: the cross-family generator/critic adversarial verification pipeline and the disjoint three-set (PQ/GQ/JEQ) evaluation design are original contributions to constructing </w:t>
      </w:r>
      <w:r w:rsidR="00914064">
        <w:t xml:space="preserve">a </w:t>
      </w:r>
      <w:r>
        <w:t>RAG benchmark without manual annotation at scale.</w:t>
      </w:r>
    </w:p>
    <w:p w14:paraId="1AEBBF94" w14:textId="77777777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>Sound judgement under incomplete information: deliberate, documented scoping decisions, such as dropping a metadata pre-filter and accepting a token-per-day-bound runtime, demonstrate judgement under real resource constraints.</w:t>
      </w:r>
    </w:p>
    <w:p w14:paraId="61214118" w14:textId="10C2FFF6" w:rsidR="003E387E" w:rsidRDefault="00000000"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t xml:space="preserve">Self-direction: a </w:t>
      </w:r>
      <w:r w:rsidR="0005556E">
        <w:t>one person,</w:t>
      </w:r>
      <w:r>
        <w:t xml:space="preserve"> ten</w:t>
      </w:r>
      <w:r w:rsidR="0005556E">
        <w:t xml:space="preserve"> </w:t>
      </w:r>
      <w:r>
        <w:t>week build plan run entirely on free-tier infrastructure with no managed budget, together with critical self-evaluation of the project’s own statistical limitations, demonstrates autonomous planning.</w:t>
      </w:r>
    </w:p>
    <w:p w14:paraId="53CB15A0" w14:textId="77777777" w:rsidR="003E387E" w:rsidRDefault="00000000">
      <w:pPr>
        <w:pStyle w:val="Heading1"/>
        <w:pBdr>
          <w:bottom w:val="single" w:sz="8" w:space="6" w:color="15406B"/>
        </w:pBdr>
      </w:pPr>
      <w:bookmarkStart w:id="13" w:name="_Toc233281610"/>
      <w:r>
        <w:t xml:space="preserve">9. UI/UX </w:t>
      </w:r>
      <w:proofErr w:type="spellStart"/>
      <w:r>
        <w:t>Mockup</w:t>
      </w:r>
      <w:bookmarkEnd w:id="13"/>
      <w:proofErr w:type="spellEnd"/>
    </w:p>
    <w:p w14:paraId="31098826" w14:textId="77777777" w:rsidR="003E387E" w:rsidRDefault="00000000">
      <w:pPr>
        <w:spacing w:after="180" w:line="288" w:lineRule="auto"/>
        <w:jc w:val="both"/>
      </w:pPr>
      <w:r>
        <w:t>This is a research and benchmarking system rather than an end-user application, so its principal “interface” is the results comparison view produced at the end of the run and consulted directly in the dissertation analysis. A wireframe sketch of this planned output is shown below.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900"/>
        <w:gridCol w:w="1600"/>
        <w:gridCol w:w="1500"/>
        <w:gridCol w:w="1500"/>
        <w:gridCol w:w="1372"/>
      </w:tblGrid>
      <w:tr w:rsidR="003E387E" w14:paraId="534254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8D84B" w14:textId="77777777" w:rsidR="003E387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Pipeline</w:t>
            </w:r>
          </w:p>
        </w:tc>
        <w:tc>
          <w:tcPr>
            <w:tcW w:w="9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4EA1D2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</w:t>
            </w:r>
          </w:p>
        </w:tc>
        <w:tc>
          <w:tcPr>
            <w:tcW w:w="16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A2B054" w14:textId="77777777" w:rsidR="003E387E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Precision@K</w:t>
            </w:r>
            <w:proofErr w:type="spellEnd"/>
          </w:p>
        </w:tc>
        <w:tc>
          <w:tcPr>
            <w:tcW w:w="15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538BD0" w14:textId="77777777" w:rsidR="003E387E" w:rsidRDefault="0000000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Recall@K</w:t>
            </w:r>
            <w:proofErr w:type="spellEnd"/>
          </w:p>
        </w:tc>
        <w:tc>
          <w:tcPr>
            <w:tcW w:w="15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2789CC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Judge Score</w:t>
            </w:r>
          </w:p>
        </w:tc>
        <w:tc>
          <w:tcPr>
            <w:tcW w:w="13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DE2BC7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Latency (s)</w:t>
            </w:r>
          </w:p>
        </w:tc>
      </w:tr>
      <w:tr w:rsidR="003E387E" w14:paraId="32CC0F1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ED836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P1_vector</w:t>
            </w:r>
          </w:p>
        </w:tc>
        <w:tc>
          <w:tcPr>
            <w:tcW w:w="9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96A5B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</w:t>
            </w:r>
          </w:p>
        </w:tc>
        <w:tc>
          <w:tcPr>
            <w:tcW w:w="16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F1FD9F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0.62</w:t>
            </w:r>
          </w:p>
        </w:tc>
        <w:tc>
          <w:tcPr>
            <w:tcW w:w="15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9BB16D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0.81</w:t>
            </w:r>
          </w:p>
        </w:tc>
        <w:tc>
          <w:tcPr>
            <w:tcW w:w="15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F27565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8.1</w:t>
            </w:r>
          </w:p>
        </w:tc>
        <w:tc>
          <w:tcPr>
            <w:tcW w:w="13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8E7284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1.84</w:t>
            </w:r>
          </w:p>
        </w:tc>
      </w:tr>
      <w:tr w:rsidR="003E387E" w14:paraId="4B8282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BB6BA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P2_bm25</w:t>
            </w:r>
          </w:p>
        </w:tc>
        <w:tc>
          <w:tcPr>
            <w:tcW w:w="9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4DE174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</w:t>
            </w:r>
          </w:p>
        </w:tc>
        <w:tc>
          <w:tcPr>
            <w:tcW w:w="16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CED77E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0.54</w:t>
            </w:r>
          </w:p>
        </w:tc>
        <w:tc>
          <w:tcPr>
            <w:tcW w:w="15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DA0AA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0.73</w:t>
            </w:r>
          </w:p>
        </w:tc>
        <w:tc>
          <w:tcPr>
            <w:tcW w:w="15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973D2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7.0</w:t>
            </w:r>
          </w:p>
        </w:tc>
        <w:tc>
          <w:tcPr>
            <w:tcW w:w="13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5D25DD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0.91</w:t>
            </w:r>
          </w:p>
        </w:tc>
      </w:tr>
      <w:tr w:rsidR="003E387E" w14:paraId="75F503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DBF632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P3_structural</w:t>
            </w:r>
          </w:p>
        </w:tc>
        <w:tc>
          <w:tcPr>
            <w:tcW w:w="9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0C3B7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</w:t>
            </w:r>
          </w:p>
        </w:tc>
        <w:tc>
          <w:tcPr>
            <w:tcW w:w="16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E11E5E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0.41</w:t>
            </w:r>
          </w:p>
        </w:tc>
        <w:tc>
          <w:tcPr>
            <w:tcW w:w="15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56E2A6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0.66</w:t>
            </w:r>
          </w:p>
        </w:tc>
        <w:tc>
          <w:tcPr>
            <w:tcW w:w="15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1E6BB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6.4</w:t>
            </w:r>
          </w:p>
        </w:tc>
        <w:tc>
          <w:tcPr>
            <w:tcW w:w="1372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D410B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1.10</w:t>
            </w:r>
          </w:p>
        </w:tc>
      </w:tr>
    </w:tbl>
    <w:p w14:paraId="539FFA9C" w14:textId="77777777" w:rsidR="003E387E" w:rsidRDefault="00000000">
      <w:pPr>
        <w:spacing w:before="90" w:after="240"/>
        <w:jc w:val="center"/>
      </w:pPr>
      <w:r>
        <w:rPr>
          <w:rFonts w:ascii="Calibri" w:eastAsia="Calibri" w:hAnsi="Calibri" w:cs="Calibri"/>
          <w:i/>
          <w:iCs/>
          <w:color w:val="44494F"/>
          <w:sz w:val="20"/>
          <w:szCs w:val="20"/>
        </w:rPr>
        <w:t>Figure 09.01: Results Comparison View (Wireframe, illustrative placeholder values, not final results)</w:t>
      </w:r>
    </w:p>
    <w:p w14:paraId="3B5E076B" w14:textId="77777777" w:rsidR="003E387E" w:rsidRDefault="00000000">
      <w:pPr>
        <w:pStyle w:val="Heading1"/>
        <w:pBdr>
          <w:bottom w:val="single" w:sz="8" w:space="6" w:color="15406B"/>
        </w:pBdr>
      </w:pPr>
      <w:bookmarkStart w:id="14" w:name="_Toc233281611"/>
      <w:r>
        <w:t>10. Project Plan</w:t>
      </w:r>
      <w:bookmarkEnd w:id="14"/>
    </w:p>
    <w:p w14:paraId="214F580F" w14:textId="109CB41F" w:rsidR="003E387E" w:rsidRDefault="00000000">
      <w:pPr>
        <w:spacing w:after="180" w:line="288" w:lineRule="auto"/>
        <w:jc w:val="both"/>
      </w:pPr>
      <w:r>
        <w:t xml:space="preserve">The build is scoped to a </w:t>
      </w:r>
      <w:r w:rsidR="0005556E">
        <w:t>one person,</w:t>
      </w:r>
      <w:r>
        <w:t xml:space="preserve"> ten-week schedule, with active development substantially complete by Week 7 and the final three weeks overlapping the full benchmark run with results analysis and dissertation write-up.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"/>
        <w:gridCol w:w="637"/>
        <w:gridCol w:w="637"/>
        <w:gridCol w:w="637"/>
        <w:gridCol w:w="637"/>
        <w:gridCol w:w="637"/>
        <w:gridCol w:w="637"/>
        <w:gridCol w:w="637"/>
        <w:gridCol w:w="637"/>
        <w:gridCol w:w="639"/>
      </w:tblGrid>
      <w:tr w:rsidR="003E387E" w14:paraId="6C9DB08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F1F629" w14:textId="77777777" w:rsidR="003E387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7D8460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W1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C058E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W2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7DF8A4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W3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8A68A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W4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9B276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W5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0006E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W6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3D5235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W7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7715B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W8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46914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W9</w:t>
            </w:r>
          </w:p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10125F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W10</w:t>
            </w:r>
          </w:p>
        </w:tc>
      </w:tr>
      <w:tr w:rsidR="003E387E" w14:paraId="2EB44DF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8A5281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1. Environment &amp; Infra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C1DDD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62A2FE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3BFEA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B66574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5EC6C3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FC2CD0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4FF8B7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052D17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9FB66E" w14:textId="77777777" w:rsidR="003E387E" w:rsidRDefault="003E387E"/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66317" w14:textId="77777777" w:rsidR="003E387E" w:rsidRDefault="003E387E"/>
        </w:tc>
      </w:tr>
      <w:tr w:rsidR="003E387E" w14:paraId="352EAB2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09449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2. Ingestion &amp; Parsing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E5A942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9B22AB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8DBDDB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95C31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29146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5C2397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E26C1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19E38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F9798" w14:textId="77777777" w:rsidR="003E387E" w:rsidRDefault="003E387E"/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78678" w14:textId="77777777" w:rsidR="003E387E" w:rsidRDefault="003E387E"/>
        </w:tc>
      </w:tr>
      <w:tr w:rsidR="003E387E" w14:paraId="2D5272C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688674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 P3 Summary-Index Build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FAEC13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3F903D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D270A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1F6AEC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5B3BB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DCD829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D84D2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BD43BC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C35CC" w14:textId="77777777" w:rsidR="003E387E" w:rsidRDefault="003E387E"/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08BD4A" w14:textId="77777777" w:rsidR="003E387E" w:rsidRDefault="003E387E"/>
        </w:tc>
      </w:tr>
      <w:tr w:rsidR="003E387E" w14:paraId="58913C1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096321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4. Dataset Gen &amp; Verification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2CBCFC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5ADAC6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7C5DB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BE3A00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3EADD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60A76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9C132D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89C0A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A6EB65" w14:textId="77777777" w:rsidR="003E387E" w:rsidRDefault="003E387E"/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171A2" w14:textId="77777777" w:rsidR="003E387E" w:rsidRDefault="003E387E"/>
        </w:tc>
      </w:tr>
      <w:tr w:rsidR="003E387E" w14:paraId="5D611ED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BA9837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5. Pipeline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Impl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. (P1/P2/P3)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6E64B9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1AF8E1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CAAA40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24346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0BAF2B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4BDD2F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148BC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004D62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57075" w14:textId="77777777" w:rsidR="003E387E" w:rsidRDefault="003E387E"/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819C2" w14:textId="77777777" w:rsidR="003E387E" w:rsidRDefault="003E387E"/>
        </w:tc>
      </w:tr>
      <w:tr w:rsidR="003E387E" w14:paraId="6755A4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8DF24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6. Judge Build &amp; Validation Gate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55B65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4FFA25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C5016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D90C05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F0637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8E5A21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2457EB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4D8120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5F8FA8" w14:textId="77777777" w:rsidR="003E387E" w:rsidRDefault="003E387E"/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16CA24" w14:textId="77777777" w:rsidR="003E387E" w:rsidRDefault="003E387E"/>
        </w:tc>
      </w:tr>
      <w:tr w:rsidR="003E387E" w14:paraId="32D0DB3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83EF13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7. Full Benchmark Execution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79001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C69FA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A8027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7313F6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D19C43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646C4A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9B2454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D955E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7EB85" w14:textId="77777777" w:rsidR="003E387E" w:rsidRDefault="003E387E"/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434C3E" w14:textId="77777777" w:rsidR="003E387E" w:rsidRDefault="003E387E"/>
        </w:tc>
      </w:tr>
      <w:tr w:rsidR="003E387E" w14:paraId="4A7DB46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759329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8. Results Analysis &amp; Write-up</w:t>
            </w:r>
          </w:p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9B53C0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E8CE01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33F3B9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9E7AF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9F87E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EE465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CE2BD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0343A7" w14:textId="77777777" w:rsidR="003E387E" w:rsidRDefault="003E387E"/>
        </w:tc>
        <w:tc>
          <w:tcPr>
            <w:tcW w:w="637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73317" w14:textId="77777777" w:rsidR="003E387E" w:rsidRDefault="003E387E"/>
        </w:tc>
        <w:tc>
          <w:tcPr>
            <w:tcW w:w="639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7FAF87" w14:textId="77777777" w:rsidR="003E387E" w:rsidRDefault="003E387E"/>
        </w:tc>
      </w:tr>
    </w:tbl>
    <w:p w14:paraId="537E6553" w14:textId="77777777" w:rsidR="003E387E" w:rsidRDefault="00000000">
      <w:pPr>
        <w:spacing w:before="90" w:after="240"/>
        <w:jc w:val="center"/>
      </w:pPr>
      <w:r>
        <w:rPr>
          <w:rFonts w:ascii="Calibri" w:eastAsia="Calibri" w:hAnsi="Calibri" w:cs="Calibri"/>
          <w:i/>
          <w:iCs/>
          <w:color w:val="44494F"/>
          <w:sz w:val="20"/>
          <w:szCs w:val="20"/>
        </w:rPr>
        <w:t>Table 10.01: 10-Week Project Gantt Chart</w:t>
      </w:r>
    </w:p>
    <w:p w14:paraId="33020ACD" w14:textId="77777777" w:rsidR="003E387E" w:rsidRDefault="00000000">
      <w:pPr>
        <w:pStyle w:val="Heading1"/>
        <w:pBdr>
          <w:bottom w:val="single" w:sz="8" w:space="6" w:color="15406B"/>
        </w:pBdr>
      </w:pPr>
      <w:bookmarkStart w:id="15" w:name="_Toc233281612"/>
      <w:r>
        <w:lastRenderedPageBreak/>
        <w:t>11. Risks and Contingency Plans</w:t>
      </w:r>
      <w:bookmarkEnd w:id="1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300"/>
        <w:gridCol w:w="1186"/>
        <w:gridCol w:w="1186"/>
      </w:tblGrid>
      <w:tr w:rsidR="003E387E" w14:paraId="4D73DF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6538A8" w14:textId="77777777" w:rsidR="003E387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43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B6B3B" w14:textId="77777777" w:rsidR="003E387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Contingency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DAD58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15406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FED00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Impact</w:t>
            </w:r>
          </w:p>
        </w:tc>
      </w:tr>
      <w:tr w:rsidR="003E387E" w14:paraId="0CE973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49B587" w14:textId="77777777" w:rsidR="003E387E" w:rsidRDefault="00000000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Groq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free-tier token-per-day limit reached mid-run</w:t>
            </w:r>
          </w:p>
        </w:tc>
        <w:tc>
          <w:tcPr>
            <w:tcW w:w="43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C5FD38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Exponential backoff with jitter, multi-day paced execution with crash-safe resume, prompt caching, fallback to the paid Developer tier if the schedule slips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902CE0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017"/>
                <w:sz w:val="19"/>
                <w:szCs w:val="19"/>
              </w:rPr>
              <w:t>Medium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167DEB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017"/>
                <w:sz w:val="19"/>
                <w:szCs w:val="19"/>
              </w:rPr>
              <w:t>Medium</w:t>
            </w:r>
          </w:p>
        </w:tc>
      </w:tr>
      <w:tr w:rsidR="003E387E" w14:paraId="0848A5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FF86ED" w14:textId="77777777" w:rsidR="003E387E" w:rsidRDefault="00000000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LlamaParse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fragments or bisects a financial table</w:t>
            </w:r>
          </w:p>
        </w:tc>
        <w:tc>
          <w:tcPr>
            <w:tcW w:w="43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E8251D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Randomised 20-section manual parsing audit; re-tune parser settings or discard and re-parse the affected filing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E49C7C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017"/>
                <w:sz w:val="19"/>
                <w:szCs w:val="19"/>
              </w:rPr>
              <w:t>Medium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3F772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73E35"/>
                <w:sz w:val="19"/>
                <w:szCs w:val="19"/>
              </w:rPr>
              <w:t>High</w:t>
            </w:r>
          </w:p>
        </w:tc>
      </w:tr>
      <w:tr w:rsidR="003E387E" w14:paraId="747A0F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FA99D2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Automated LLM judge fails the 80% human-agreement gate</w:t>
            </w:r>
          </w:p>
        </w:tc>
        <w:tc>
          <w:tcPr>
            <w:tcW w:w="43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EBEA20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Tune the scoring rubric and/or swap the judge to a different model family; re-run the validation gate before proceeding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81A97D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017"/>
                <w:sz w:val="19"/>
                <w:szCs w:val="19"/>
              </w:rPr>
              <w:t>Medium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4FEE68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73E35"/>
                <w:sz w:val="19"/>
                <w:szCs w:val="19"/>
              </w:rPr>
              <w:t>High</w:t>
            </w:r>
          </w:p>
        </w:tc>
      </w:tr>
      <w:tr w:rsidR="003E387E" w14:paraId="31B4304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ABEE67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Breaking API changes in a fast-moving dependency (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LlamaIndex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)</w:t>
            </w:r>
          </w:p>
        </w:tc>
        <w:tc>
          <w:tcPr>
            <w:tcW w:w="43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E59EE4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Pin exact package versions at project start; consult current documentation before any upgrade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0D5085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B8457"/>
                <w:sz w:val="19"/>
                <w:szCs w:val="19"/>
              </w:rPr>
              <w:t>Low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D6C0EE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017"/>
                <w:sz w:val="19"/>
                <w:szCs w:val="19"/>
              </w:rPr>
              <w:t>Medium</w:t>
            </w:r>
          </w:p>
        </w:tc>
      </w:tr>
      <w:tr w:rsidR="003E387E" w14:paraId="3A15F4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D922C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Concurrent writes corrupt the SQLite results store mid-run</w:t>
            </w:r>
          </w:p>
        </w:tc>
        <w:tc>
          <w:tcPr>
            <w:tcW w:w="43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D9586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Write-Ahead Logging (WAL) mode; crash-safe resume keyed on a unique constraint; commit after every individual run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EE12F8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B8457"/>
                <w:sz w:val="19"/>
                <w:szCs w:val="19"/>
              </w:rPr>
              <w:t>Low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5A6D0A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73E35"/>
                <w:sz w:val="19"/>
                <w:szCs w:val="19"/>
              </w:rPr>
              <w:t>High</w:t>
            </w:r>
          </w:p>
        </w:tc>
      </w:tr>
      <w:tr w:rsidR="003E387E" w14:paraId="00D8FA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48DA86" w14:textId="1A32F7B3" w:rsidR="003E387E" w:rsidRDefault="0005556E">
            <w:r>
              <w:rPr>
                <w:rFonts w:ascii="Calibri" w:eastAsia="Calibri" w:hAnsi="Calibri" w:cs="Calibri"/>
                <w:sz w:val="19"/>
                <w:szCs w:val="19"/>
              </w:rPr>
              <w:t>One person,</w:t>
            </w:r>
            <w:r w:rsidR="00000000">
              <w:rPr>
                <w:rFonts w:ascii="Calibri" w:eastAsia="Calibri" w:hAnsi="Calibri" w:cs="Calibri"/>
                <w:sz w:val="19"/>
                <w:szCs w:val="19"/>
              </w:rPr>
              <w:t xml:space="preserve"> ten-week timeline slips</w:t>
            </w:r>
          </w:p>
        </w:tc>
        <w:tc>
          <w:tcPr>
            <w:tcW w:w="4300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F43041" w14:textId="77777777" w:rsidR="003E387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Throttle-first testing on every phase before full-scale release; background-paced benchmark execution; buffer reserved across the final three weeks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EC04E7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017"/>
                <w:sz w:val="19"/>
                <w:szCs w:val="19"/>
              </w:rPr>
              <w:t>Medium</w:t>
            </w:r>
          </w:p>
        </w:tc>
        <w:tc>
          <w:tcPr>
            <w:tcW w:w="1186" w:type="dxa"/>
            <w:tcBorders>
              <w:top w:val="single" w:sz="4" w:space="0" w:color="B7BCC2"/>
              <w:left w:val="single" w:sz="4" w:space="0" w:color="B7BCC2"/>
              <w:bottom w:val="single" w:sz="4" w:space="0" w:color="B7BCC2"/>
              <w:right w:val="single" w:sz="4" w:space="0" w:color="B7BCC2"/>
            </w:tcBorders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850335" w14:textId="77777777" w:rsidR="003E387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017"/>
                <w:sz w:val="19"/>
                <w:szCs w:val="19"/>
              </w:rPr>
              <w:t>Medium</w:t>
            </w:r>
          </w:p>
        </w:tc>
      </w:tr>
    </w:tbl>
    <w:p w14:paraId="1F1559F9" w14:textId="77777777" w:rsidR="003E387E" w:rsidRDefault="00000000">
      <w:pPr>
        <w:spacing w:before="90" w:after="240"/>
        <w:jc w:val="center"/>
      </w:pPr>
      <w:r>
        <w:rPr>
          <w:rFonts w:ascii="Calibri" w:eastAsia="Calibri" w:hAnsi="Calibri" w:cs="Calibri"/>
          <w:i/>
          <w:iCs/>
          <w:color w:val="44494F"/>
          <w:sz w:val="20"/>
          <w:szCs w:val="20"/>
        </w:rPr>
        <w:t>Table 11.01: Risk Management Plan</w:t>
      </w:r>
    </w:p>
    <w:p w14:paraId="112975DC" w14:textId="77777777" w:rsidR="003E387E" w:rsidRDefault="00000000">
      <w:r>
        <w:br w:type="page"/>
      </w:r>
    </w:p>
    <w:p w14:paraId="7E9B3413" w14:textId="77777777" w:rsidR="003E387E" w:rsidRDefault="00000000">
      <w:pPr>
        <w:pStyle w:val="Heading1"/>
        <w:pBdr>
          <w:bottom w:val="single" w:sz="8" w:space="6" w:color="15406B"/>
        </w:pBdr>
      </w:pPr>
      <w:bookmarkStart w:id="16" w:name="_Toc233281613"/>
      <w:r>
        <w:lastRenderedPageBreak/>
        <w:t>12. References</w:t>
      </w:r>
      <w:bookmarkEnd w:id="16"/>
    </w:p>
    <w:p w14:paraId="2329B979" w14:textId="77777777" w:rsidR="003E387E" w:rsidRDefault="00000000">
      <w:pPr>
        <w:spacing w:after="180" w:line="276" w:lineRule="auto"/>
        <w:ind w:left="360" w:hanging="360"/>
        <w:jc w:val="both"/>
      </w:pPr>
      <w:r>
        <w:rPr>
          <w:sz w:val="22"/>
          <w:szCs w:val="22"/>
        </w:rPr>
        <w:t xml:space="preserve">Chen, Z., Chen, W., Smiley, C., Shah, S., </w:t>
      </w:r>
      <w:proofErr w:type="spellStart"/>
      <w:r>
        <w:rPr>
          <w:sz w:val="22"/>
          <w:szCs w:val="22"/>
        </w:rPr>
        <w:t>Borova</w:t>
      </w:r>
      <w:proofErr w:type="spellEnd"/>
      <w:r>
        <w:rPr>
          <w:sz w:val="22"/>
          <w:szCs w:val="22"/>
        </w:rPr>
        <w:t>, I., Langdon, D., Moussa, R., Beane, M., Huang, T.-H., Routledge, B. and Wang, W.Y. (2021) '</w:t>
      </w:r>
      <w:proofErr w:type="spellStart"/>
      <w:r>
        <w:rPr>
          <w:sz w:val="22"/>
          <w:szCs w:val="22"/>
        </w:rPr>
        <w:t>FinQA</w:t>
      </w:r>
      <w:proofErr w:type="spellEnd"/>
      <w:r>
        <w:rPr>
          <w:sz w:val="22"/>
          <w:szCs w:val="22"/>
        </w:rPr>
        <w:t>: A Dataset of Numerical Reasoning over Financial Data', Proceedings of the 2021 Conference on Empirical Methods in Natural Language Processing (EMNLP 2021), pp. 3697-3711.</w:t>
      </w:r>
    </w:p>
    <w:p w14:paraId="12BD1CDE" w14:textId="77777777" w:rsidR="003E387E" w:rsidRDefault="00000000">
      <w:pPr>
        <w:spacing w:after="180" w:line="276" w:lineRule="auto"/>
        <w:ind w:left="360" w:hanging="360"/>
        <w:jc w:val="both"/>
      </w:pPr>
      <w:proofErr w:type="spellStart"/>
      <w:r>
        <w:rPr>
          <w:sz w:val="22"/>
          <w:szCs w:val="22"/>
        </w:rPr>
        <w:t>Karpukhin</w:t>
      </w:r>
      <w:proofErr w:type="spellEnd"/>
      <w:r>
        <w:rPr>
          <w:sz w:val="22"/>
          <w:szCs w:val="22"/>
        </w:rPr>
        <w:t xml:space="preserve">, V., Oguz, B., Min, S., Lewis, P., Wu, L., </w:t>
      </w:r>
      <w:proofErr w:type="spellStart"/>
      <w:r>
        <w:rPr>
          <w:sz w:val="22"/>
          <w:szCs w:val="22"/>
        </w:rPr>
        <w:t>Edunov</w:t>
      </w:r>
      <w:proofErr w:type="spellEnd"/>
      <w:r>
        <w:rPr>
          <w:sz w:val="22"/>
          <w:szCs w:val="22"/>
        </w:rPr>
        <w:t>, S., Chen, D. and Yih, W.-t. (2020) 'Dense Passage Retrieval for Open-Domain Question Answering', Proceedings of the 2020 Conference on Empirical Methods in Natural Language Processing (EMNLP 2020), pp. 6769-6781.</w:t>
      </w:r>
    </w:p>
    <w:p w14:paraId="7C09362E" w14:textId="77777777" w:rsidR="003E387E" w:rsidRDefault="00000000">
      <w:pPr>
        <w:spacing w:after="180" w:line="276" w:lineRule="auto"/>
        <w:ind w:left="360" w:hanging="360"/>
        <w:jc w:val="both"/>
      </w:pPr>
      <w:r>
        <w:rPr>
          <w:sz w:val="22"/>
          <w:szCs w:val="22"/>
        </w:rPr>
        <w:t xml:space="preserve">Lewis, P., Perez, E., </w:t>
      </w:r>
      <w:proofErr w:type="spellStart"/>
      <w:r>
        <w:rPr>
          <w:sz w:val="22"/>
          <w:szCs w:val="22"/>
        </w:rPr>
        <w:t>Piktus</w:t>
      </w:r>
      <w:proofErr w:type="spellEnd"/>
      <w:r>
        <w:rPr>
          <w:sz w:val="22"/>
          <w:szCs w:val="22"/>
        </w:rPr>
        <w:t xml:space="preserve">, A., Petroni, F., </w:t>
      </w:r>
      <w:proofErr w:type="spellStart"/>
      <w:r>
        <w:rPr>
          <w:sz w:val="22"/>
          <w:szCs w:val="22"/>
        </w:rPr>
        <w:t>Karpukhin</w:t>
      </w:r>
      <w:proofErr w:type="spellEnd"/>
      <w:r>
        <w:rPr>
          <w:sz w:val="22"/>
          <w:szCs w:val="22"/>
        </w:rPr>
        <w:t xml:space="preserve">, V., Goyal, N., </w:t>
      </w:r>
      <w:proofErr w:type="spellStart"/>
      <w:r>
        <w:rPr>
          <w:sz w:val="22"/>
          <w:szCs w:val="22"/>
        </w:rPr>
        <w:t>Küttler</w:t>
      </w:r>
      <w:proofErr w:type="spellEnd"/>
      <w:r>
        <w:rPr>
          <w:sz w:val="22"/>
          <w:szCs w:val="22"/>
        </w:rPr>
        <w:t xml:space="preserve">, H., Lewis, M., Yih, W.-t., </w:t>
      </w:r>
      <w:proofErr w:type="spellStart"/>
      <w:r>
        <w:rPr>
          <w:sz w:val="22"/>
          <w:szCs w:val="22"/>
        </w:rPr>
        <w:t>Rocktäschel</w:t>
      </w:r>
      <w:proofErr w:type="spellEnd"/>
      <w:r>
        <w:rPr>
          <w:sz w:val="22"/>
          <w:szCs w:val="22"/>
        </w:rPr>
        <w:t>, T., Riedel, S. and Kiela, D. (2020) 'Retrieval-Augmented Generation for Knowledge-Intensive NLP Tasks', Advances in Neural Information Processing Systems, 33 (</w:t>
      </w:r>
      <w:proofErr w:type="spellStart"/>
      <w:r>
        <w:rPr>
          <w:sz w:val="22"/>
          <w:szCs w:val="22"/>
        </w:rPr>
        <w:t>NeurIPS</w:t>
      </w:r>
      <w:proofErr w:type="spellEnd"/>
      <w:r>
        <w:rPr>
          <w:sz w:val="22"/>
          <w:szCs w:val="22"/>
        </w:rPr>
        <w:t xml:space="preserve"> 2020).</w:t>
      </w:r>
    </w:p>
    <w:p w14:paraId="08707222" w14:textId="77777777" w:rsidR="003E387E" w:rsidRDefault="00000000">
      <w:pPr>
        <w:spacing w:after="180" w:line="276" w:lineRule="auto"/>
        <w:ind w:left="360" w:hanging="360"/>
        <w:jc w:val="both"/>
      </w:pPr>
      <w:r>
        <w:rPr>
          <w:sz w:val="22"/>
          <w:szCs w:val="22"/>
        </w:rPr>
        <w:t>Liu, N.F., Lin, K., Hewitt, J., Paranjape, A., Bevilacqua, M., Petroni, F. and Liang, P. (2024) 'Lost in the Middle: How Language Models Use Long Contexts', Transactions of the Association for Computational Linguistics, 12, pp. 157-173.</w:t>
      </w:r>
    </w:p>
    <w:p w14:paraId="5CD739B9" w14:textId="77777777" w:rsidR="003E387E" w:rsidRDefault="00000000">
      <w:pPr>
        <w:spacing w:after="180" w:line="276" w:lineRule="auto"/>
        <w:ind w:left="360" w:hanging="360"/>
        <w:jc w:val="both"/>
      </w:pPr>
      <w:r>
        <w:rPr>
          <w:sz w:val="22"/>
          <w:szCs w:val="22"/>
        </w:rPr>
        <w:t xml:space="preserve">Nogueira, R. and Cho, K. (2019) 'Passage Re-ranking with BERT', </w:t>
      </w:r>
      <w:proofErr w:type="spellStart"/>
      <w:r>
        <w:rPr>
          <w:sz w:val="22"/>
          <w:szCs w:val="22"/>
        </w:rPr>
        <w:t>arXiv</w:t>
      </w:r>
      <w:proofErr w:type="spellEnd"/>
      <w:r>
        <w:rPr>
          <w:sz w:val="22"/>
          <w:szCs w:val="22"/>
        </w:rPr>
        <w:t xml:space="preserve"> preprint, arXiv:1901.04085.</w:t>
      </w:r>
    </w:p>
    <w:p w14:paraId="47CE50F6" w14:textId="77777777" w:rsidR="003E387E" w:rsidRDefault="00000000">
      <w:pPr>
        <w:spacing w:after="180" w:line="276" w:lineRule="auto"/>
        <w:ind w:left="360" w:hanging="360"/>
        <w:jc w:val="both"/>
      </w:pPr>
      <w:r>
        <w:rPr>
          <w:sz w:val="22"/>
          <w:szCs w:val="22"/>
        </w:rPr>
        <w:t>Robertson, S. and Zaragoza, H. (2009) 'The Probabilistic Relevance Framework: BM25 and Beyond', Foundations and Trends in Information Retrieval, 3(4), pp. 333-389.</w:t>
      </w:r>
    </w:p>
    <w:p w14:paraId="5104D6A4" w14:textId="77777777" w:rsidR="003E387E" w:rsidRDefault="00000000">
      <w:pPr>
        <w:spacing w:after="180" w:line="276" w:lineRule="auto"/>
        <w:ind w:left="360" w:hanging="360"/>
        <w:jc w:val="both"/>
      </w:pPr>
      <w:proofErr w:type="spellStart"/>
      <w:r>
        <w:rPr>
          <w:sz w:val="22"/>
          <w:szCs w:val="22"/>
        </w:rPr>
        <w:t>Sarthi</w:t>
      </w:r>
      <w:proofErr w:type="spellEnd"/>
      <w:r>
        <w:rPr>
          <w:sz w:val="22"/>
          <w:szCs w:val="22"/>
        </w:rPr>
        <w:t>, P., Abdullah, S., Tuli, A., Khanna, S., Goldie, A. and Manning, C.D. (2024) 'RAPTOR: Recursive Abstractive Processing for Tree-Organized Retrieval', Proceedings of the International Conference on Learning Representations (ICLR 2024).</w:t>
      </w:r>
    </w:p>
    <w:p w14:paraId="41AB3349" w14:textId="77777777" w:rsidR="003E387E" w:rsidRDefault="00000000">
      <w:pPr>
        <w:spacing w:after="180" w:line="276" w:lineRule="auto"/>
        <w:ind w:left="360" w:hanging="360"/>
        <w:jc w:val="both"/>
      </w:pPr>
      <w:r>
        <w:rPr>
          <w:sz w:val="22"/>
          <w:szCs w:val="22"/>
        </w:rPr>
        <w:t xml:space="preserve">Xiao, S., Liu, Z., Zhang, P. and </w:t>
      </w:r>
      <w:proofErr w:type="spellStart"/>
      <w:r>
        <w:rPr>
          <w:sz w:val="22"/>
          <w:szCs w:val="22"/>
        </w:rPr>
        <w:t>Muennighoff</w:t>
      </w:r>
      <w:proofErr w:type="spellEnd"/>
      <w:r>
        <w:rPr>
          <w:sz w:val="22"/>
          <w:szCs w:val="22"/>
        </w:rPr>
        <w:t xml:space="preserve">, N. (2023) 'C-Pack: Packaged Resources to Advance General Chinese Embedding', </w:t>
      </w:r>
      <w:proofErr w:type="spellStart"/>
      <w:r>
        <w:rPr>
          <w:sz w:val="22"/>
          <w:szCs w:val="22"/>
        </w:rPr>
        <w:t>arXiv</w:t>
      </w:r>
      <w:proofErr w:type="spellEnd"/>
      <w:r>
        <w:rPr>
          <w:sz w:val="22"/>
          <w:szCs w:val="22"/>
        </w:rPr>
        <w:t xml:space="preserve"> preprint, arXiv:2309.07597.</w:t>
      </w:r>
    </w:p>
    <w:p w14:paraId="5FDB4BF6" w14:textId="77777777" w:rsidR="003E387E" w:rsidRDefault="00000000">
      <w:pPr>
        <w:spacing w:after="180" w:line="276" w:lineRule="auto"/>
        <w:ind w:left="360" w:hanging="360"/>
        <w:jc w:val="both"/>
      </w:pPr>
      <w:r>
        <w:rPr>
          <w:sz w:val="22"/>
          <w:szCs w:val="22"/>
        </w:rPr>
        <w:t>Zheng, L., Chiang, W.-L., Sheng, Y., Zhuang, S., Wu, Z., Zhuang, Y., Lin, Z., Li, Z., Li, D., Xing, E.P., Zhang, H., Gonzalez, J.E. and Stoica, I. (2023) 'Judging LLM-as-a-Judge with MT-Bench and Chatbot Arena', Advances in Neural Information Processing Systems, 36 (</w:t>
      </w:r>
      <w:proofErr w:type="spellStart"/>
      <w:r>
        <w:rPr>
          <w:sz w:val="22"/>
          <w:szCs w:val="22"/>
        </w:rPr>
        <w:t>NeurIPS</w:t>
      </w:r>
      <w:proofErr w:type="spellEnd"/>
      <w:r>
        <w:rPr>
          <w:sz w:val="22"/>
          <w:szCs w:val="22"/>
        </w:rPr>
        <w:t xml:space="preserve"> 2023).</w:t>
      </w:r>
    </w:p>
    <w:sectPr w:rsidR="003E387E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6AABC" w14:textId="77777777" w:rsidR="004C2B45" w:rsidRDefault="004C2B45">
      <w:r>
        <w:separator/>
      </w:r>
    </w:p>
  </w:endnote>
  <w:endnote w:type="continuationSeparator" w:id="0">
    <w:p w14:paraId="5E3DE920" w14:textId="77777777" w:rsidR="004C2B45" w:rsidRDefault="004C2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7573" w14:textId="77777777" w:rsidR="003E387E" w:rsidRDefault="003E387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E2F5B" w14:textId="77777777" w:rsidR="003E387E" w:rsidRDefault="00000000">
    <w:pPr>
      <w:pBdr>
        <w:top w:val="single" w:sz="4" w:space="4" w:color="B7BCC2"/>
      </w:pBdr>
      <w:jc w:val="right"/>
    </w:pPr>
    <w:r>
      <w:rPr>
        <w:rFonts w:ascii="Calibri" w:eastAsia="Calibri" w:hAnsi="Calibri" w:cs="Calibri"/>
        <w:color w:val="767C84"/>
        <w:sz w:val="18"/>
        <w:szCs w:val="18"/>
      </w:rPr>
      <w:t xml:space="preserve">Page </w:t>
    </w:r>
    <w:r>
      <w:rPr>
        <w:rFonts w:ascii="Calibri" w:eastAsia="Calibri" w:hAnsi="Calibri" w:cs="Calibri"/>
        <w:color w:val="767C84"/>
        <w:sz w:val="18"/>
        <w:szCs w:val="18"/>
      </w:rPr>
      <w:fldChar w:fldCharType="begin"/>
    </w:r>
    <w:r>
      <w:rPr>
        <w:rFonts w:ascii="Calibri" w:eastAsia="Calibri" w:hAnsi="Calibri" w:cs="Calibri"/>
        <w:color w:val="767C84"/>
        <w:sz w:val="18"/>
        <w:szCs w:val="18"/>
      </w:rPr>
      <w:instrText>PAGE</w:instrText>
    </w:r>
    <w:r>
      <w:rPr>
        <w:rFonts w:ascii="Calibri" w:eastAsia="Calibri" w:hAnsi="Calibri" w:cs="Calibri"/>
        <w:color w:val="767C84"/>
        <w:sz w:val="18"/>
        <w:szCs w:val="18"/>
      </w:rPr>
      <w:fldChar w:fldCharType="separate"/>
    </w:r>
    <w:r w:rsidR="00E645EF">
      <w:rPr>
        <w:rFonts w:ascii="Calibri" w:eastAsia="Calibri" w:hAnsi="Calibri" w:cs="Calibri"/>
        <w:noProof/>
        <w:color w:val="767C84"/>
        <w:sz w:val="18"/>
        <w:szCs w:val="18"/>
      </w:rPr>
      <w:t>2</w:t>
    </w:r>
    <w:r>
      <w:rPr>
        <w:rFonts w:ascii="Calibri" w:eastAsia="Calibri" w:hAnsi="Calibri" w:cs="Calibri"/>
        <w:color w:val="767C84"/>
        <w:sz w:val="18"/>
        <w:szCs w:val="18"/>
      </w:rPr>
      <w:fldChar w:fldCharType="end"/>
    </w:r>
    <w:r>
      <w:rPr>
        <w:rFonts w:ascii="Calibri" w:eastAsia="Calibri" w:hAnsi="Calibri" w:cs="Calibri"/>
        <w:color w:val="767C84"/>
        <w:sz w:val="18"/>
        <w:szCs w:val="18"/>
      </w:rPr>
      <w:t xml:space="preserve"> of </w:t>
    </w:r>
    <w:r>
      <w:rPr>
        <w:rFonts w:ascii="Calibri" w:eastAsia="Calibri" w:hAnsi="Calibri" w:cs="Calibri"/>
        <w:color w:val="767C84"/>
        <w:sz w:val="18"/>
        <w:szCs w:val="18"/>
      </w:rPr>
      <w:fldChar w:fldCharType="begin"/>
    </w:r>
    <w:r>
      <w:rPr>
        <w:rFonts w:ascii="Calibri" w:eastAsia="Calibri" w:hAnsi="Calibri" w:cs="Calibri"/>
        <w:color w:val="767C84"/>
        <w:sz w:val="18"/>
        <w:szCs w:val="18"/>
      </w:rPr>
      <w:instrText>NUMPAGES</w:instrText>
    </w:r>
    <w:r>
      <w:rPr>
        <w:rFonts w:ascii="Calibri" w:eastAsia="Calibri" w:hAnsi="Calibri" w:cs="Calibri"/>
        <w:color w:val="767C84"/>
        <w:sz w:val="18"/>
        <w:szCs w:val="18"/>
      </w:rPr>
      <w:fldChar w:fldCharType="separate"/>
    </w:r>
    <w:r w:rsidR="00E645EF">
      <w:rPr>
        <w:rFonts w:ascii="Calibri" w:eastAsia="Calibri" w:hAnsi="Calibri" w:cs="Calibri"/>
        <w:noProof/>
        <w:color w:val="767C84"/>
        <w:sz w:val="18"/>
        <w:szCs w:val="18"/>
      </w:rPr>
      <w:t>3</w:t>
    </w:r>
    <w:r>
      <w:rPr>
        <w:rFonts w:ascii="Calibri" w:eastAsia="Calibri" w:hAnsi="Calibri" w:cs="Calibri"/>
        <w:color w:val="767C84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66B9D" w14:textId="77777777" w:rsidR="004C2B45" w:rsidRDefault="004C2B45">
      <w:r>
        <w:separator/>
      </w:r>
    </w:p>
  </w:footnote>
  <w:footnote w:type="continuationSeparator" w:id="0">
    <w:p w14:paraId="20A53A9D" w14:textId="77777777" w:rsidR="004C2B45" w:rsidRDefault="004C2B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BA51C" w14:textId="77777777" w:rsidR="003E387E" w:rsidRDefault="003E387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186F4" w14:textId="77777777" w:rsidR="003E387E" w:rsidRDefault="00000000">
    <w:pPr>
      <w:pBdr>
        <w:bottom w:val="single" w:sz="4" w:space="4" w:color="B7BCC2"/>
      </w:pBdr>
      <w:jc w:val="center"/>
    </w:pPr>
    <w:r>
      <w:rPr>
        <w:rFonts w:ascii="Calibri" w:eastAsia="Calibri" w:hAnsi="Calibri" w:cs="Calibri"/>
        <w:caps/>
        <w:color w:val="767C84"/>
        <w:sz w:val="18"/>
        <w:szCs w:val="18"/>
      </w:rPr>
      <w:t>Semantic, Statistical &amp; Structural RAG Retrieval Paradigms over SEC 10-K Filings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11227"/>
    <w:multiLevelType w:val="hybridMultilevel"/>
    <w:tmpl w:val="501479A8"/>
    <w:lvl w:ilvl="0" w:tplc="8DE6387C">
      <w:start w:val="1"/>
      <w:numFmt w:val="bullet"/>
      <w:lvlText w:val="•"/>
      <w:lvlJc w:val="left"/>
      <w:pPr>
        <w:ind w:left="560" w:hanging="280"/>
      </w:pPr>
    </w:lvl>
    <w:lvl w:ilvl="1" w:tplc="64266812">
      <w:numFmt w:val="decimal"/>
      <w:lvlText w:val=""/>
      <w:lvlJc w:val="left"/>
    </w:lvl>
    <w:lvl w:ilvl="2" w:tplc="D42E6C6E">
      <w:numFmt w:val="decimal"/>
      <w:lvlText w:val=""/>
      <w:lvlJc w:val="left"/>
    </w:lvl>
    <w:lvl w:ilvl="3" w:tplc="4948C26C">
      <w:numFmt w:val="decimal"/>
      <w:lvlText w:val=""/>
      <w:lvlJc w:val="left"/>
    </w:lvl>
    <w:lvl w:ilvl="4" w:tplc="36D6121E">
      <w:numFmt w:val="decimal"/>
      <w:lvlText w:val=""/>
      <w:lvlJc w:val="left"/>
    </w:lvl>
    <w:lvl w:ilvl="5" w:tplc="7FC426CE">
      <w:numFmt w:val="decimal"/>
      <w:lvlText w:val=""/>
      <w:lvlJc w:val="left"/>
    </w:lvl>
    <w:lvl w:ilvl="6" w:tplc="1C8A63CC">
      <w:numFmt w:val="decimal"/>
      <w:lvlText w:val=""/>
      <w:lvlJc w:val="left"/>
    </w:lvl>
    <w:lvl w:ilvl="7" w:tplc="00007BDE">
      <w:numFmt w:val="decimal"/>
      <w:lvlText w:val=""/>
      <w:lvlJc w:val="left"/>
    </w:lvl>
    <w:lvl w:ilvl="8" w:tplc="75A47260">
      <w:numFmt w:val="decimal"/>
      <w:lvlText w:val=""/>
      <w:lvlJc w:val="left"/>
    </w:lvl>
  </w:abstractNum>
  <w:abstractNum w:abstractNumId="1" w15:restartNumberingAfterBreak="0">
    <w:nsid w:val="73BC40F7"/>
    <w:multiLevelType w:val="hybridMultilevel"/>
    <w:tmpl w:val="2C4EEFD4"/>
    <w:lvl w:ilvl="0" w:tplc="33FEFAA4">
      <w:start w:val="1"/>
      <w:numFmt w:val="bullet"/>
      <w:lvlText w:val="●"/>
      <w:lvlJc w:val="left"/>
      <w:pPr>
        <w:ind w:left="720" w:hanging="360"/>
      </w:pPr>
    </w:lvl>
    <w:lvl w:ilvl="1" w:tplc="0478AC7E">
      <w:start w:val="1"/>
      <w:numFmt w:val="bullet"/>
      <w:lvlText w:val="○"/>
      <w:lvlJc w:val="left"/>
      <w:pPr>
        <w:ind w:left="1440" w:hanging="360"/>
      </w:pPr>
    </w:lvl>
    <w:lvl w:ilvl="2" w:tplc="0B88ADEA">
      <w:start w:val="1"/>
      <w:numFmt w:val="bullet"/>
      <w:lvlText w:val="■"/>
      <w:lvlJc w:val="left"/>
      <w:pPr>
        <w:ind w:left="2160" w:hanging="360"/>
      </w:pPr>
    </w:lvl>
    <w:lvl w:ilvl="3" w:tplc="8FDED884">
      <w:start w:val="1"/>
      <w:numFmt w:val="bullet"/>
      <w:lvlText w:val="●"/>
      <w:lvlJc w:val="left"/>
      <w:pPr>
        <w:ind w:left="2880" w:hanging="360"/>
      </w:pPr>
    </w:lvl>
    <w:lvl w:ilvl="4" w:tplc="DD78C44C">
      <w:start w:val="1"/>
      <w:numFmt w:val="bullet"/>
      <w:lvlText w:val="○"/>
      <w:lvlJc w:val="left"/>
      <w:pPr>
        <w:ind w:left="3600" w:hanging="360"/>
      </w:pPr>
    </w:lvl>
    <w:lvl w:ilvl="5" w:tplc="2A568F52">
      <w:start w:val="1"/>
      <w:numFmt w:val="bullet"/>
      <w:lvlText w:val="■"/>
      <w:lvlJc w:val="left"/>
      <w:pPr>
        <w:ind w:left="4320" w:hanging="360"/>
      </w:pPr>
    </w:lvl>
    <w:lvl w:ilvl="6" w:tplc="D6169CE0">
      <w:start w:val="1"/>
      <w:numFmt w:val="bullet"/>
      <w:lvlText w:val="●"/>
      <w:lvlJc w:val="left"/>
      <w:pPr>
        <w:ind w:left="5040" w:hanging="360"/>
      </w:pPr>
    </w:lvl>
    <w:lvl w:ilvl="7" w:tplc="EB62C106">
      <w:start w:val="1"/>
      <w:numFmt w:val="bullet"/>
      <w:lvlText w:val="●"/>
      <w:lvlJc w:val="left"/>
      <w:pPr>
        <w:ind w:left="5760" w:hanging="360"/>
      </w:pPr>
    </w:lvl>
    <w:lvl w:ilvl="8" w:tplc="BEC4E5E0">
      <w:start w:val="1"/>
      <w:numFmt w:val="bullet"/>
      <w:lvlText w:val="●"/>
      <w:lvlJc w:val="left"/>
      <w:pPr>
        <w:ind w:left="6480" w:hanging="360"/>
      </w:pPr>
    </w:lvl>
  </w:abstractNum>
  <w:num w:numId="1" w16cid:durableId="874124432">
    <w:abstractNumId w:val="1"/>
    <w:lvlOverride w:ilvl="0">
      <w:startOverride w:val="1"/>
    </w:lvlOverride>
  </w:num>
  <w:num w:numId="2" w16cid:durableId="20913925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387E"/>
    <w:rsid w:val="0005556E"/>
    <w:rsid w:val="000C1D22"/>
    <w:rsid w:val="003C48F1"/>
    <w:rsid w:val="003E387E"/>
    <w:rsid w:val="004C2B45"/>
    <w:rsid w:val="00914064"/>
    <w:rsid w:val="00C27E6E"/>
    <w:rsid w:val="00CC10D0"/>
    <w:rsid w:val="00D4027E"/>
    <w:rsid w:val="00D7358B"/>
    <w:rsid w:val="00E645EF"/>
    <w:rsid w:val="00EC2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1B9FFF"/>
  <w15:docId w15:val="{043A51BB-A09F-3741-AE6A-A1ABB94BD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color w:val="1A1D21"/>
        <w:sz w:val="24"/>
        <w:szCs w:val="24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40" w:after="220"/>
      <w:outlineLvl w:val="0"/>
    </w:pPr>
    <w:rPr>
      <w:b/>
      <w:bCs/>
      <w:color w:val="0A1F33"/>
      <w:sz w:val="40"/>
      <w:szCs w:val="40"/>
    </w:rPr>
  </w:style>
  <w:style w:type="paragraph" w:styleId="Heading2">
    <w:name w:val="heading 2"/>
    <w:uiPriority w:val="9"/>
    <w:unhideWhenUsed/>
    <w:qFormat/>
    <w:pPr>
      <w:spacing w:before="260" w:after="140"/>
      <w:outlineLvl w:val="1"/>
    </w:pPr>
    <w:rPr>
      <w:b/>
      <w:bCs/>
      <w:i/>
      <w:iCs/>
      <w:color w:val="15406B"/>
      <w:sz w:val="30"/>
      <w:szCs w:val="3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645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45E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2582</Words>
  <Characters>14718</Characters>
  <Application>Microsoft Office Word</Application>
  <DocSecurity>0</DocSecurity>
  <Lines>122</Lines>
  <Paragraphs>34</Paragraphs>
  <ScaleCrop>false</ScaleCrop>
  <Company/>
  <LinksUpToDate>false</LinksUpToDate>
  <CharactersWithSpaces>17266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Ojaswi Athghara</cp:lastModifiedBy>
  <cp:revision>10</cp:revision>
  <dcterms:created xsi:type="dcterms:W3CDTF">2026-06-25T10:18:00Z</dcterms:created>
  <dcterms:modified xsi:type="dcterms:W3CDTF">2026-06-25T11:24:00Z</dcterms:modified>
</cp:coreProperties>
</file>