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B75B" w14:textId="77777777" w:rsidR="003E387E" w:rsidRDefault="003E387E">
      <w:pPr>
        <w:spacing w:before="1100"/>
      </w:pPr>
    </w:p>
    <w:p w14:paraId="54860C94" w14:textId="77777777" w:rsidR="003E387E" w:rsidRDefault="00000000">
      <w:pPr>
        <w:spacing w:after="260"/>
        <w:jc w:val="center"/>
      </w:pPr>
      <w:r>
        <w:rPr>
          <w:rFonts w:ascii="Calibri" w:eastAsia="Calibri" w:hAnsi="Calibri" w:cs="Calibri"/>
          <w:b/>
          <w:bCs/>
          <w:color w:val="0A1F33"/>
          <w:sz w:val="64"/>
          <w:szCs w:val="64"/>
        </w:rPr>
        <w:t>A Comparative Benchmark of Semantic, Statistical, and Structural Retrieval Paradigms for Retrieval-Augmented Generation over SEC 10-K Filings</w:t>
      </w:r>
    </w:p>
    <w:p w14:paraId="359D6089" w14:textId="77777777" w:rsidR="003E387E" w:rsidRDefault="003E387E">
      <w:pPr>
        <w:pBdr>
          <w:bottom w:val="single" w:sz="10" w:space="1" w:color="15406B"/>
        </w:pBdr>
      </w:pPr>
    </w:p>
    <w:p w14:paraId="718D2848" w14:textId="77777777" w:rsidR="003E387E" w:rsidRDefault="00000000">
      <w:pPr>
        <w:spacing w:before="220" w:after="600"/>
        <w:jc w:val="center"/>
      </w:pPr>
      <w:r>
        <w:rPr>
          <w:rFonts w:ascii="Calibri" w:eastAsia="Calibri" w:hAnsi="Calibri" w:cs="Calibri"/>
          <w:color w:val="15406B"/>
          <w:sz w:val="26"/>
          <w:szCs w:val="26"/>
        </w:rPr>
        <w:t>Design and Specification Proposal, COMP702 M.Sc. Project (2025/26)</w:t>
      </w:r>
    </w:p>
    <w:p w14:paraId="4F4F3B0E" w14:textId="77777777" w:rsidR="003E387E" w:rsidRDefault="003E387E">
      <w:pPr>
        <w:spacing w:before="900"/>
      </w:pPr>
    </w:p>
    <w:p w14:paraId="2D996D51" w14:textId="77777777" w:rsidR="003E387E" w:rsidRDefault="00000000">
      <w:pPr>
        <w:spacing w:after="70"/>
        <w:jc w:val="center"/>
      </w:pPr>
      <w:r>
        <w:rPr>
          <w:rFonts w:ascii="Calibri" w:eastAsia="Calibri" w:hAnsi="Calibri" w:cs="Calibri"/>
          <w:color w:val="44494F"/>
          <w:sz w:val="23"/>
          <w:szCs w:val="23"/>
        </w:rPr>
        <w:t>Submitted by</w:t>
      </w:r>
    </w:p>
    <w:p w14:paraId="72037F1C" w14:textId="77777777" w:rsidR="003E387E" w:rsidRDefault="00000000">
      <w:pPr>
        <w:spacing w:after="70"/>
        <w:jc w:val="center"/>
      </w:pPr>
      <w:r>
        <w:rPr>
          <w:rFonts w:ascii="Calibri" w:eastAsia="Calibri" w:hAnsi="Calibri" w:cs="Calibri"/>
          <w:b/>
          <w:bCs/>
          <w:sz w:val="27"/>
          <w:szCs w:val="27"/>
        </w:rPr>
        <w:t>Ojaswi Athghara</w:t>
      </w:r>
    </w:p>
    <w:p w14:paraId="0B304857" w14:textId="77777777" w:rsidR="003E387E" w:rsidRDefault="00000000">
      <w:pPr>
        <w:spacing w:after="420"/>
        <w:jc w:val="center"/>
      </w:pPr>
      <w:r>
        <w:rPr>
          <w:rFonts w:ascii="Calibri" w:eastAsia="Calibri" w:hAnsi="Calibri" w:cs="Calibri"/>
          <w:color w:val="44494F"/>
          <w:sz w:val="23"/>
          <w:szCs w:val="23"/>
        </w:rPr>
        <w:t>(Student ID 201959096)</w:t>
      </w:r>
    </w:p>
    <w:p w14:paraId="5653EC20" w14:textId="77777777" w:rsidR="003E387E" w:rsidRDefault="00000000">
      <w:pPr>
        <w:spacing w:after="70"/>
        <w:jc w:val="center"/>
      </w:pPr>
      <w:r>
        <w:rPr>
          <w:rFonts w:ascii="Calibri" w:eastAsia="Calibri" w:hAnsi="Calibri" w:cs="Calibri"/>
          <w:color w:val="44494F"/>
          <w:sz w:val="23"/>
          <w:szCs w:val="23"/>
        </w:rPr>
        <w:t>under the supervision of</w:t>
      </w:r>
    </w:p>
    <w:p w14:paraId="6C965C24" w14:textId="77777777" w:rsidR="003E387E" w:rsidRDefault="00000000">
      <w:pPr>
        <w:spacing w:after="900"/>
        <w:jc w:val="center"/>
      </w:pPr>
      <w:r>
        <w:rPr>
          <w:rFonts w:ascii="Calibri" w:eastAsia="Calibri" w:hAnsi="Calibri" w:cs="Calibri"/>
          <w:b/>
          <w:bCs/>
          <w:sz w:val="27"/>
          <w:szCs w:val="27"/>
        </w:rPr>
        <w:t>Blaine Keetch</w:t>
      </w:r>
    </w:p>
    <w:p w14:paraId="5F59CD15" w14:textId="77777777" w:rsidR="003E387E" w:rsidRDefault="003E387E">
      <w:pPr>
        <w:pBdr>
          <w:bottom w:val="single" w:sz="4" w:space="1" w:color="D4A017"/>
        </w:pBdr>
      </w:pPr>
    </w:p>
    <w:p w14:paraId="131D9026" w14:textId="77777777" w:rsidR="003E387E" w:rsidRDefault="00000000">
      <w:pPr>
        <w:spacing w:before="260" w:after="50"/>
        <w:jc w:val="center"/>
      </w:pPr>
      <w:r>
        <w:rPr>
          <w:rFonts w:ascii="Calibri" w:eastAsia="Calibri" w:hAnsi="Calibri" w:cs="Calibri"/>
          <w:b/>
          <w:bCs/>
          <w:color w:val="0A1F33"/>
          <w:sz w:val="23"/>
          <w:szCs w:val="23"/>
        </w:rPr>
        <w:t>SCHOOL OF COMPUTER SCIENCE AND INFORMATICS</w:t>
      </w:r>
    </w:p>
    <w:p w14:paraId="702FBC65" w14:textId="77777777" w:rsidR="003E387E" w:rsidRDefault="00000000">
      <w:pPr>
        <w:jc w:val="center"/>
      </w:pPr>
      <w:r>
        <w:rPr>
          <w:rFonts w:ascii="Calibri" w:eastAsia="Calibri" w:hAnsi="Calibri" w:cs="Calibri"/>
          <w:b/>
          <w:bCs/>
          <w:color w:val="0A1F33"/>
          <w:sz w:val="23"/>
          <w:szCs w:val="23"/>
        </w:rPr>
        <w:t>UNIVERSITY OF LIVERPOOL</w:t>
      </w:r>
    </w:p>
    <w:p w14:paraId="38F95618" w14:textId="77777777" w:rsidR="003E387E" w:rsidRDefault="003E387E">
      <w:pPr>
        <w:sectPr w:rsidR="003E387E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20"/>
          <w:titlePg/>
          <w:docGrid w:linePitch="360"/>
        </w:sectPr>
      </w:pPr>
    </w:p>
    <w:p w14:paraId="5068A937" w14:textId="77777777" w:rsidR="003E387E" w:rsidRDefault="00000000">
      <w:pPr>
        <w:pStyle w:val="Heading1"/>
        <w:pBdr>
          <w:bottom w:val="single" w:sz="8" w:space="6" w:color="15406B"/>
        </w:pBdr>
        <w:spacing w:before="0"/>
      </w:pPr>
      <w:bookmarkStart w:id="0" w:name="_Toc233304217"/>
      <w:r>
        <w:lastRenderedPageBreak/>
        <w:t>Statement of Ethical Compliance: A0</w:t>
      </w:r>
      <w:bookmarkEnd w:id="0"/>
    </w:p>
    <w:p w14:paraId="5A307C4B" w14:textId="6446A5CA" w:rsidR="003E387E" w:rsidRDefault="00000000">
      <w:pPr>
        <w:spacing w:after="180" w:line="360" w:lineRule="auto"/>
        <w:jc w:val="both"/>
      </w:pPr>
      <w:r>
        <w:rPr>
          <w:b/>
          <w:bCs/>
        </w:rPr>
        <w:t xml:space="preserve">Data Category: </w:t>
      </w:r>
      <w:r>
        <w:t>A. Every source document is a United States SEC 10-K filing obtained from SEC EDGAR, a public regulatory archive. The data is publicly available, contains no personal or confidential information, and its use requires no licence, consent, or data-sharing agreement.</w:t>
      </w:r>
    </w:p>
    <w:p w14:paraId="111D36DF" w14:textId="265E1C6B" w:rsidR="003E387E" w:rsidRDefault="00000000">
      <w:pPr>
        <w:spacing w:after="180" w:line="360" w:lineRule="auto"/>
        <w:jc w:val="both"/>
      </w:pPr>
      <w:r>
        <w:rPr>
          <w:b/>
          <w:bCs/>
        </w:rPr>
        <w:t xml:space="preserve">Participant Category: </w:t>
      </w:r>
      <w:r>
        <w:t>0. The project involves no human participants at any stage. The 140-query benchmark is generated and verified entirely by two independent language models acting as generator and critic, and the two manual steps (labelling teaching exemplars and hand-scoring validation outputs) are carried out solely by the researcher on the project’s own outputs, not on data gathered from, or about, other people.</w:t>
      </w:r>
    </w:p>
    <w:p w14:paraId="28CEB286" w14:textId="6AE71DCC" w:rsidR="003E387E" w:rsidRDefault="00000000">
      <w:pPr>
        <w:spacing w:before="160" w:after="180" w:line="360" w:lineRule="auto"/>
        <w:jc w:val="both"/>
      </w:pPr>
      <w:r>
        <w:t>I confirm that I have read the ethical guidelines and will follow them during this project. This project uses only publicly available, non-personal United States SEC 10-K corporate filings sourced from SEC EDGAR. It involves no human participants and no personal data of any kind.</w:t>
      </w:r>
    </w:p>
    <w:p w14:paraId="1CA38A49" w14:textId="77777777" w:rsidR="003E387E" w:rsidRDefault="00000000">
      <w:r>
        <w:br w:type="page"/>
      </w:r>
    </w:p>
    <w:p w14:paraId="48FCD08F" w14:textId="77777777" w:rsidR="003E387E" w:rsidRDefault="00000000">
      <w:pPr>
        <w:pStyle w:val="Heading1"/>
        <w:pBdr>
          <w:bottom w:val="single" w:sz="8" w:space="6" w:color="15406B"/>
        </w:pBdr>
        <w:spacing w:before="0"/>
      </w:pPr>
      <w:bookmarkStart w:id="1" w:name="_Toc233304218"/>
      <w:r>
        <w:lastRenderedPageBreak/>
        <w:t>Table of Contents</w:t>
      </w:r>
      <w:bookmarkEnd w:id="1"/>
    </w:p>
    <w:sdt>
      <w:sdtPr>
        <w:alias w:val="Table of Contents"/>
        <w:id w:val="1906575757"/>
      </w:sdtPr>
      <w:sdtContent>
        <w:p w14:paraId="24B9B03A" w14:textId="19863A79" w:rsidR="00090D0C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304217" w:history="1">
            <w:r w:rsidR="00090D0C" w:rsidRPr="004A1ABF">
              <w:rPr>
                <w:rStyle w:val="Hyperlink"/>
                <w:noProof/>
              </w:rPr>
              <w:t>Statement of Ethical Compliance: A0</w:t>
            </w:r>
            <w:r w:rsidR="00090D0C">
              <w:rPr>
                <w:noProof/>
              </w:rPr>
              <w:tab/>
            </w:r>
            <w:r w:rsidR="00090D0C">
              <w:rPr>
                <w:noProof/>
              </w:rPr>
              <w:fldChar w:fldCharType="begin"/>
            </w:r>
            <w:r w:rsidR="00090D0C">
              <w:rPr>
                <w:noProof/>
              </w:rPr>
              <w:instrText xml:space="preserve"> PAGEREF _Toc233304217 \h </w:instrText>
            </w:r>
            <w:r w:rsidR="00090D0C">
              <w:rPr>
                <w:noProof/>
              </w:rPr>
            </w:r>
            <w:r w:rsidR="00090D0C">
              <w:rPr>
                <w:noProof/>
              </w:rPr>
              <w:fldChar w:fldCharType="separate"/>
            </w:r>
            <w:r w:rsidR="00090D0C">
              <w:rPr>
                <w:noProof/>
              </w:rPr>
              <w:t>2</w:t>
            </w:r>
            <w:r w:rsidR="00090D0C">
              <w:rPr>
                <w:noProof/>
              </w:rPr>
              <w:fldChar w:fldCharType="end"/>
            </w:r>
          </w:hyperlink>
        </w:p>
        <w:p w14:paraId="02AA6D0D" w14:textId="7634F02D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18" w:history="1">
            <w:r w:rsidRPr="004A1ABF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26463D" w14:textId="54D7E23E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19" w:history="1">
            <w:r w:rsidRPr="004A1ABF">
              <w:rPr>
                <w:rStyle w:val="Hyperlink"/>
                <w:noProof/>
              </w:rPr>
              <w:t>1. Project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618D0B" w14:textId="5C33C0CA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0" w:history="1">
            <w:r w:rsidRPr="004A1ABF">
              <w:rPr>
                <w:rStyle w:val="Hyperlink"/>
                <w:noProof/>
              </w:rPr>
              <w:t>2. Aims and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6CCBA4" w14:textId="38FDA7EA" w:rsidR="00090D0C" w:rsidRDefault="00090D0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1" w:history="1">
            <w:r w:rsidRPr="004A1ABF">
              <w:rPr>
                <w:rStyle w:val="Hyperlink"/>
                <w:noProof/>
              </w:rPr>
              <w:t>2.1 Aims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CD3AF4" w14:textId="35377255" w:rsidR="00090D0C" w:rsidRDefault="00090D0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2" w:history="1">
            <w:r w:rsidRPr="004A1ABF">
              <w:rPr>
                <w:rStyle w:val="Hyperlink"/>
                <w:noProof/>
              </w:rPr>
              <w:t>2.2 Requirements: Essential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5B7D88" w14:textId="03A9F8B2" w:rsidR="00090D0C" w:rsidRDefault="00090D0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3" w:history="1">
            <w:r w:rsidRPr="004A1ABF">
              <w:rPr>
                <w:rStyle w:val="Hyperlink"/>
                <w:noProof/>
              </w:rPr>
              <w:t>2.3 Requirements: Desirable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EB8A8B" w14:textId="33B61F90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4" w:history="1">
            <w:r w:rsidRPr="004A1ABF">
              <w:rPr>
                <w:rStyle w:val="Hyperlink"/>
                <w:noProof/>
              </w:rPr>
              <w:t>3. Key Literature and Background Reading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2EE2EC" w14:textId="4284F9F2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5" w:history="1">
            <w:r w:rsidRPr="004A1ABF">
              <w:rPr>
                <w:rStyle w:val="Hyperlink"/>
                <w:noProof/>
              </w:rPr>
              <w:t>4. Development and Implementation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C424EB" w14:textId="7113643C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6" w:history="1">
            <w:r w:rsidRPr="004A1ABF">
              <w:rPr>
                <w:rStyle w:val="Hyperlink"/>
                <w:noProof/>
              </w:rPr>
              <w:t>5.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C91327" w14:textId="689E0BC3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7" w:history="1">
            <w:r w:rsidRPr="004A1ABF">
              <w:rPr>
                <w:rStyle w:val="Hyperlink"/>
                <w:noProof/>
              </w:rPr>
              <w:t>6. Testing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F09975" w14:textId="42B80AB2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8" w:history="1">
            <w:r w:rsidRPr="004A1ABF">
              <w:rPr>
                <w:rStyle w:val="Hyperlink"/>
                <w:noProof/>
              </w:rPr>
              <w:t>7. Project Ethics and Human Participants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3BF29F" w14:textId="10C87171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29" w:history="1">
            <w:r w:rsidRPr="004A1ABF">
              <w:rPr>
                <w:rStyle w:val="Hyperlink"/>
                <w:noProof/>
              </w:rPr>
              <w:t>8. BCS Project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D7A4C9" w14:textId="51B34BBE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30" w:history="1">
            <w:r w:rsidRPr="004A1ABF">
              <w:rPr>
                <w:rStyle w:val="Hyperlink"/>
                <w:noProof/>
              </w:rPr>
              <w:t>9. UI/UX Mockup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D9A9DC" w14:textId="1464DE41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31" w:history="1">
            <w:r w:rsidRPr="004A1ABF">
              <w:rPr>
                <w:rStyle w:val="Hyperlink"/>
                <w:noProof/>
              </w:rPr>
              <w:t>10. Project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56138B" w14:textId="64719AE3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32" w:history="1">
            <w:r w:rsidRPr="004A1ABF">
              <w:rPr>
                <w:rStyle w:val="Hyperlink"/>
                <w:noProof/>
              </w:rPr>
              <w:t>11. Risks and Contingency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38A54C" w14:textId="15276D48" w:rsidR="00090D0C" w:rsidRDefault="00090D0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IN"/>
              <w14:ligatures w14:val="standardContextual"/>
            </w:rPr>
          </w:pPr>
          <w:hyperlink w:anchor="_Toc233304233" w:history="1">
            <w:r w:rsidRPr="004A1ABF">
              <w:rPr>
                <w:rStyle w:val="Hyperlink"/>
                <w:noProof/>
              </w:rPr>
              <w:t>12.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_Toc233304233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E5CB2D" w14:textId="7E2A1A5D" w:rsidR="003E387E" w:rsidRDefault="00000000">
          <w:r>
            <w:fldChar w:fldCharType="end"/>
          </w:r>
        </w:p>
      </w:sdtContent>
    </w:sdt>
    <w:p w14:paraId="4AB050BE" w14:textId="77777777" w:rsidR="003E387E" w:rsidRDefault="00000000">
      <w:r>
        <w:br w:type="page"/>
      </w:r>
    </w:p>
    <w:p w14:paraId="6916693B" w14:textId="77777777" w:rsidR="003E387E" w:rsidRDefault="00000000">
      <w:pPr>
        <w:pStyle w:val="Heading1"/>
        <w:pBdr>
          <w:bottom w:val="single" w:sz="8" w:space="6" w:color="15406B"/>
        </w:pBdr>
      </w:pPr>
      <w:bookmarkStart w:id="2" w:name="_Toc233304219"/>
      <w:r>
        <w:lastRenderedPageBreak/>
        <w:t>1. Project Description</w:t>
      </w:r>
      <w:bookmarkEnd w:id="2"/>
    </w:p>
    <w:p w14:paraId="1BCFDEF8" w14:textId="523FCA02" w:rsidR="003E387E" w:rsidRDefault="00000000">
      <w:pPr>
        <w:spacing w:after="180" w:line="360" w:lineRule="auto"/>
        <w:jc w:val="both"/>
      </w:pPr>
      <w:r>
        <w:t xml:space="preserve">Retrieval-Augmented Generation (RAG) systems answer questions by pairing a retriever that selects relevant evidence from a corpus with a language model that generates a grounded answer (Lewis </w:t>
      </w:r>
      <w:r>
        <w:rPr>
          <w:i/>
          <w:iCs/>
        </w:rPr>
        <w:t>et al.</w:t>
      </w:r>
      <w:r>
        <w:t xml:space="preserve">, 2020). Most RAG benchmarks target encyclopaedic or open-domain text; far less is known about how different retrieval paradigms behave on dense, table-heavy financial disclosures such as SEC 10-K filings, where an answer may sit inside a single cell of a multi-row table rather than a sentence of prose (Chen </w:t>
      </w:r>
      <w:r>
        <w:rPr>
          <w:i/>
          <w:iCs/>
        </w:rPr>
        <w:t>et al.</w:t>
      </w:r>
      <w:r>
        <w:t>, 2021). This project builds and benchmarks three complete RAG pipelines: a semantic retriever, which finds evidence by meaning using numeric representations of text (dense vector embeddings); a statistical retriever, which finds evidence by matching exact words and their frequency using the long-established BM25 algorithm; and a structural retriever, which navigates a tree of AI-generated summaries built once over each document. These three are tested against a 140-query, human-anchored benchmark spanning direct and inferential questions over both narrative text and financial tables, to establish where each paradigm succeeds and where it degrades.</w:t>
      </w:r>
    </w:p>
    <w:p w14:paraId="10A97E1A" w14:textId="77777777" w:rsidR="003E387E" w:rsidRDefault="00000000">
      <w:pPr>
        <w:pStyle w:val="Heading1"/>
        <w:pBdr>
          <w:bottom w:val="single" w:sz="8" w:space="6" w:color="15406B"/>
        </w:pBdr>
      </w:pPr>
      <w:bookmarkStart w:id="3" w:name="_Toc233304220"/>
      <w:r>
        <w:t>2. Aims and Requirements</w:t>
      </w:r>
      <w:bookmarkEnd w:id="3"/>
    </w:p>
    <w:p w14:paraId="51577327" w14:textId="77777777" w:rsidR="003E387E" w:rsidRDefault="00000000">
      <w:pPr>
        <w:pStyle w:val="Heading2"/>
      </w:pPr>
      <w:bookmarkStart w:id="4" w:name="_Toc233304221"/>
      <w:r>
        <w:t>2.1 Aims</w:t>
      </w:r>
      <w:bookmarkEnd w:id="4"/>
    </w:p>
    <w:p w14:paraId="22E9727E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Design and implement three architecturally distinct RAG retrieval pipelines (semantic, statistical, structural) sharing one evaluation harness, so that performance differences are attributable to retrieval strategy rather than to generation.</w:t>
      </w:r>
    </w:p>
    <w:p w14:paraId="70D9FEA6" w14:textId="0701A05B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Construct an adversarially verified, human-anchored benchmark of 140 questions, stratified across four query types (direct/implicit retrieval over text/table content), grounded in real SEC 10-K filings.</w:t>
      </w:r>
    </w:p>
    <w:p w14:paraId="760B0CF4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Quantify each pipeline’s retrieval accuracy, answer quality, and computational efficiency, and identify the conditions under which each paradigm degrades.</w:t>
      </w:r>
    </w:p>
    <w:p w14:paraId="20FCE727" w14:textId="77777777" w:rsidR="003E387E" w:rsidRDefault="00000000">
      <w:pPr>
        <w:pStyle w:val="Heading2"/>
      </w:pPr>
      <w:bookmarkStart w:id="5" w:name="_Toc233304222"/>
      <w:r>
        <w:t>2.2 Requirements: Essential</w:t>
      </w:r>
      <w:bookmarkEnd w:id="5"/>
    </w:p>
    <w:p w14:paraId="213C760C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Parse SEC 10-K filings into metadata-enriched, atomic text/table nodes without bisecting tables.</w:t>
      </w:r>
    </w:p>
    <w:p w14:paraId="27896AA6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Implement P1 (dense embeddings with a cross-encoder reranker), P2 (Okapi BM25), and P3 (hierarchical summary-tree) retrievers sharing one answering model.</w:t>
      </w:r>
    </w:p>
    <w:p w14:paraId="5DCD364C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Generate and adversarially verify a 140-query benchmark with node-level ground-truth citations.</w:t>
      </w:r>
    </w:p>
    <w:p w14:paraId="24A8F334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Validate an automated LLM judge against human scores before using it to grade the full benchmark.</w:t>
      </w:r>
    </w:p>
    <w:p w14:paraId="0086D375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Persist all queries, retrieved evidence, and scores in a relational (SQLite) store with crash-safe resume.</w:t>
      </w:r>
    </w:p>
    <w:p w14:paraId="4F6AE082" w14:textId="77777777" w:rsidR="003E387E" w:rsidRDefault="00000000">
      <w:pPr>
        <w:pStyle w:val="Heading2"/>
      </w:pPr>
      <w:bookmarkStart w:id="6" w:name="_Toc233304223"/>
      <w:r>
        <w:lastRenderedPageBreak/>
        <w:t>2.3 Requirements: Desirable</w:t>
      </w:r>
      <w:bookmarkEnd w:id="6"/>
    </w:p>
    <w:p w14:paraId="5233AD20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Extend the comparison with a metadata pre-filter or hybrid-fusion ablation (reserved future-scope pipelines).</w:t>
      </w:r>
    </w:p>
    <w:p w14:paraId="23857806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Visualise per-quadrant performance gaps in a comparison view for the dissertation write-up.</w:t>
      </w:r>
    </w:p>
    <w:p w14:paraId="525A3806" w14:textId="77777777" w:rsidR="003E387E" w:rsidRDefault="00000000">
      <w:pPr>
        <w:pStyle w:val="Heading1"/>
        <w:pBdr>
          <w:bottom w:val="single" w:sz="8" w:space="6" w:color="15406B"/>
        </w:pBdr>
      </w:pPr>
      <w:bookmarkStart w:id="7" w:name="_Toc233304224"/>
      <w:r>
        <w:t>3. Key Literature and Background Reading</w:t>
      </w:r>
      <w:bookmarkEnd w:id="7"/>
    </w:p>
    <w:p w14:paraId="6A2420B5" w14:textId="77777777" w:rsidR="003E387E" w:rsidRDefault="00000000">
      <w:pPr>
        <w:spacing w:after="180" w:line="360" w:lineRule="auto"/>
        <w:jc w:val="both"/>
      </w:pPr>
      <w:r>
        <w:t xml:space="preserve">Lewis </w:t>
      </w:r>
      <w:r>
        <w:rPr>
          <w:i/>
          <w:iCs/>
        </w:rPr>
        <w:t>et al.</w:t>
      </w:r>
      <w:r>
        <w:t xml:space="preserve"> (2020) framed answer generation grounded in retrieved evidence as a way of reducing hallucination relative to purely parametric generation, and this Retrieval-Augmented Generation framing motivates the project’s overall design: a retriever supplies evidence, and one shared answerer consumes it.</w:t>
      </w:r>
    </w:p>
    <w:p w14:paraId="0707BA7E" w14:textId="77777777" w:rsidR="003E387E" w:rsidRDefault="00000000">
      <w:pPr>
        <w:spacing w:after="180" w:line="360" w:lineRule="auto"/>
        <w:jc w:val="both"/>
      </w:pPr>
      <w:r>
        <w:t xml:space="preserve">On the statistical side, Robertson and Zaragoza (2009) formalised the probabilistic relevance framework that underlies BM25, which remains a strong, fully deterministic retrieval baseline and forms this project’s P2 pipeline. On the semantic side, Karpukhin </w:t>
      </w:r>
      <w:r>
        <w:rPr>
          <w:i/>
          <w:iCs/>
        </w:rPr>
        <w:t>et al.</w:t>
      </w:r>
      <w:r>
        <w:t xml:space="preserve"> (2020) showed that learned dense bi-encoder retrieval can outperform BM25 by 9–19% absolute on open-domain question answering, while Nogueira and Cho (2019) showed that adding a cross-encoder reranking stage over an initial candidate set materially improves precision; together these findings motivate the project’s P1 embed-then-rerank design. The embedding and reranker models used for P1 draw on the BGE family released by Xiao </w:t>
      </w:r>
      <w:r>
        <w:rPr>
          <w:i/>
          <w:iCs/>
        </w:rPr>
        <w:t>et al.</w:t>
      </w:r>
      <w:r>
        <w:t xml:space="preserve"> (2023).</w:t>
      </w:r>
    </w:p>
    <w:p w14:paraId="4E8A151E" w14:textId="77777777" w:rsidR="003E387E" w:rsidRDefault="00000000">
      <w:pPr>
        <w:spacing w:after="180" w:line="360" w:lineRule="auto"/>
        <w:jc w:val="both"/>
      </w:pPr>
      <w:r>
        <w:t xml:space="preserve">Sarthi </w:t>
      </w:r>
      <w:r>
        <w:rPr>
          <w:i/>
          <w:iCs/>
        </w:rPr>
        <w:t>et al.</w:t>
      </w:r>
      <w:r>
        <w:t xml:space="preserve"> (2024) introduced RAPTOR, which recursively clusters and summarises text into a retrievable tree; this is the architectural basis for the project’s P3 structural pipeline, although their evaluation, like most RAG literature, is conducted on narrative rather than tabular text.</w:t>
      </w:r>
    </w:p>
    <w:p w14:paraId="2258F339" w14:textId="77777777" w:rsidR="003E387E" w:rsidRDefault="00000000">
      <w:pPr>
        <w:spacing w:after="180" w:line="360" w:lineRule="auto"/>
        <w:jc w:val="both"/>
      </w:pPr>
      <w:r>
        <w:t xml:space="preserve">The domain challenge that motivates this project is well documented: Chen </w:t>
      </w:r>
      <w:r>
        <w:rPr>
          <w:i/>
          <w:iCs/>
        </w:rPr>
        <w:t>et al.</w:t>
      </w:r>
      <w:r>
        <w:t xml:space="preserve"> (2021) introduced FinQA and showed that even strong pre-trained models fall far short of expert humans at multi-step numerical reasoning over financial tables, which is why the benchmark constructed here explicitly stratifies table-heavy query quadrants. Liu </w:t>
      </w:r>
      <w:r>
        <w:rPr>
          <w:i/>
          <w:iCs/>
        </w:rPr>
        <w:t>et al.</w:t>
      </w:r>
      <w:r>
        <w:t xml:space="preserve"> (2024) further showed that model accuracy degrades when relevant evidence sits in the middle of a long context, which is the argument for retrieval-based context selection over naive full-document stuffing.</w:t>
      </w:r>
    </w:p>
    <w:p w14:paraId="49778495" w14:textId="77777777" w:rsidR="003E387E" w:rsidRDefault="00000000">
      <w:pPr>
        <w:spacing w:after="180" w:line="360" w:lineRule="auto"/>
        <w:jc w:val="both"/>
      </w:pPr>
      <w:r>
        <w:t xml:space="preserve">Finally, on evaluation methodology, Zheng </w:t>
      </w:r>
      <w:r>
        <w:rPr>
          <w:i/>
          <w:iCs/>
        </w:rPr>
        <w:t>et al.</w:t>
      </w:r>
      <w:r>
        <w:t xml:space="preserve"> (2023) showed that a strong LLM judge can reach over 80% agreement with human preference judgements, the same threshold this project adopts as its judge-validation gate before trusting an automated judge to grade the full benchmark.</w:t>
      </w:r>
    </w:p>
    <w:p w14:paraId="09262EC9" w14:textId="77777777" w:rsidR="003E387E" w:rsidRDefault="00000000">
      <w:pPr>
        <w:spacing w:after="180" w:line="360" w:lineRule="auto"/>
        <w:jc w:val="both"/>
      </w:pPr>
      <w:r>
        <w:t>None of the studies above evaluate all three retrieval paradigms side by side on a single financial-filing benchmark stratified by both query type and content modality (text versus table); this is the specific gap the present project addresses.</w:t>
      </w:r>
    </w:p>
    <w:p w14:paraId="18DD82A7" w14:textId="77777777" w:rsidR="003E387E" w:rsidRDefault="00000000">
      <w:pPr>
        <w:pStyle w:val="Heading1"/>
        <w:pBdr>
          <w:bottom w:val="single" w:sz="8" w:space="6" w:color="15406B"/>
        </w:pBdr>
      </w:pPr>
      <w:bookmarkStart w:id="8" w:name="_Toc233304225"/>
      <w:r>
        <w:lastRenderedPageBreak/>
        <w:t>4. Development and Implementation Summary</w:t>
      </w:r>
      <w:bookmarkEnd w:id="8"/>
    </w:p>
    <w:p w14:paraId="04EA0BE6" w14:textId="77777777" w:rsidR="003E387E" w:rsidRDefault="00000000">
      <w:pPr>
        <w:spacing w:after="120" w:line="240" w:lineRule="auto"/>
        <w:jc w:val="both"/>
      </w:pPr>
      <w:r>
        <w:t>The system is implemented in Python 3, using LlamaIndex as a common retrieval and orchestration backbone so that all three pipelines expose the same retriever interface. Python is the natural choice because the entire required ecosystem, LlamaIndex, the Groq SDK, rank_bm25, ChromaDB, and the HuggingFace BGE models, is Python-native, so reimplementing any part of it in another language would mean rebuilding mature retrieval and embedding infrastructure from scratch. LlamaIndex specifically is chosen over a lower-level alternative such as LangChain because its node and scored-result abstractions already match the project’s own node-centric data model (Section 5), allowing the three pipelines to share one retriever interface without an additional adapter layer. Generation, dataset critique, and judging are performed by open-source instruction models served free of charge via Groq (rate-limited rather than billed, so the implementation has zero recurring spend). Embeddings (BAAI/bge-small-en-v1.5) and reranking (BAAI/bge-reranker-base) run locally on CPU.</w:t>
      </w:r>
    </w:p>
    <w:p w14:paraId="21D7381E" w14:textId="77777777" w:rsidR="003E387E" w:rsidRDefault="00000000">
      <w:pPr>
        <w:spacing w:after="120" w:line="240" w:lineRule="auto"/>
        <w:jc w:val="both"/>
      </w:pPr>
      <w:r>
        <w:t>ChromaDB provides the local vector store for P1, rank_bm25 provides the keyword index for P2, and a cached LlamaIndex SummaryIndex provides the structural pipeline for P3. A single SQLite database, run in Write-Ahead Logging mode, is the sole state store; every benchmark run commits immediately, so a crash resumes from the last written row rather than re-spending free-tier quota. Asynchronous worker pools, bounded by a semaphore and wrapped in an exponential-backoff retry layer, keep concurrent API calls within Groq’s free-tier rate limits. Workflow is organised phase-by-phase as set out in Section 10, with the code for each phase committed and exercised under a three-item local throttle before being released at full scale, so a fault discovered in one phase is never allowed to consume the free-tier quota reserved for an earlier or later phase.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2"/>
      </w:tblGrid>
      <w:tr w:rsidR="003E387E" w14:paraId="417A389A" w14:textId="77777777">
        <w:trPr>
          <w:cantSplit/>
        </w:trPr>
        <w:tc>
          <w:tcPr>
            <w:tcW w:w="9072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single" w:sz="4" w:space="0" w:color="B7BCC2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0AE43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SEC EDGAR 10-K Filings (public, free)</w:t>
            </w:r>
          </w:p>
        </w:tc>
      </w:tr>
      <w:tr w:rsidR="003E387E" w14:paraId="3605009A" w14:textId="77777777">
        <w:trPr>
          <w:cantSplit/>
        </w:trPr>
        <w:tc>
          <w:tcPr>
            <w:tcW w:w="907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DA33E1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94F"/>
              </w:rPr>
              <w:t>↓</w:t>
            </w:r>
          </w:p>
        </w:tc>
      </w:tr>
      <w:tr w:rsidR="003E387E" w14:paraId="6561C010" w14:textId="77777777">
        <w:trPr>
          <w:cantSplit/>
        </w:trPr>
        <w:tc>
          <w:tcPr>
            <w:tcW w:w="9072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single" w:sz="4" w:space="0" w:color="B7BCC2"/>
            </w:tcBorders>
            <w:shd w:val="clear" w:color="auto" w:fill="DCE6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E0D2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A1F33"/>
                <w:sz w:val="19"/>
                <w:szCs w:val="19"/>
              </w:rPr>
              <w:t>Ingestion &amp; Parsing: LlamaParse → metadata-enriched Node Store (SQLite)</w:t>
            </w:r>
          </w:p>
        </w:tc>
      </w:tr>
      <w:tr w:rsidR="003E387E" w14:paraId="3AD69552" w14:textId="77777777">
        <w:trPr>
          <w:cantSplit/>
        </w:trPr>
        <w:tc>
          <w:tcPr>
            <w:tcW w:w="907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1215AD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94F"/>
              </w:rPr>
              <w:t>↓</w:t>
            </w:r>
          </w:p>
        </w:tc>
      </w:tr>
      <w:tr w:rsidR="003E387E" w14:paraId="7815B063" w14:textId="77777777">
        <w:trPr>
          <w:cantSplit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24"/>
              <w:gridCol w:w="3024"/>
              <w:gridCol w:w="3024"/>
            </w:tblGrid>
            <w:tr w:rsidR="003E387E" w14:paraId="7FB71D2D" w14:textId="77777777">
              <w:trPr>
                <w:cantSplit/>
              </w:trPr>
              <w:tc>
                <w:tcPr>
                  <w:tcW w:w="3024" w:type="dxa"/>
                  <w:tcBorders>
                    <w:top w:val="single" w:sz="4" w:space="0" w:color="B7BCC2"/>
                    <w:left w:val="single" w:sz="4" w:space="0" w:color="B7BCC2"/>
                    <w:bottom w:val="single" w:sz="4" w:space="0" w:color="B7BCC2"/>
                    <w:right w:val="single" w:sz="4" w:space="0" w:color="B7BCC2"/>
                  </w:tcBorders>
                  <w:shd w:val="clear" w:color="auto" w:fill="3B4F7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2B2DD9" w14:textId="77777777" w:rsidR="003E38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P1: Vector (bge embeddings + reranker, ChromaDB)</w:t>
                  </w:r>
                </w:p>
              </w:tc>
              <w:tc>
                <w:tcPr>
                  <w:tcW w:w="3024" w:type="dxa"/>
                  <w:tcBorders>
                    <w:top w:val="single" w:sz="4" w:space="0" w:color="B7BCC2"/>
                    <w:left w:val="single" w:sz="4" w:space="0" w:color="B7BCC2"/>
                    <w:bottom w:val="single" w:sz="4" w:space="0" w:color="B7BCC2"/>
                    <w:right w:val="single" w:sz="4" w:space="0" w:color="B7BCC2"/>
                  </w:tcBorders>
                  <w:shd w:val="clear" w:color="auto" w:fill="3B4F7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8ACD79" w14:textId="77777777" w:rsidR="003E38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P2: BM25 (rank_bm25, custom tokenizer)</w:t>
                  </w:r>
                </w:p>
              </w:tc>
              <w:tc>
                <w:tcPr>
                  <w:tcW w:w="3024" w:type="dxa"/>
                  <w:tcBorders>
                    <w:top w:val="single" w:sz="4" w:space="0" w:color="B7BCC2"/>
                    <w:left w:val="single" w:sz="4" w:space="0" w:color="B7BCC2"/>
                    <w:bottom w:val="single" w:sz="4" w:space="0" w:color="B7BCC2"/>
                    <w:right w:val="single" w:sz="4" w:space="0" w:color="B7BCC2"/>
                  </w:tcBorders>
                  <w:shd w:val="clear" w:color="auto" w:fill="3B4F7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F98D87" w14:textId="77777777" w:rsidR="003E38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P3: Structural (cached LLM summary tree)</w:t>
                  </w:r>
                </w:p>
              </w:tc>
            </w:tr>
          </w:tbl>
          <w:p w14:paraId="2EE73CD6" w14:textId="77777777" w:rsidR="003E387E" w:rsidRDefault="003E387E"/>
        </w:tc>
      </w:tr>
      <w:tr w:rsidR="003E387E" w14:paraId="2E2DFC82" w14:textId="77777777">
        <w:trPr>
          <w:cantSplit/>
        </w:trPr>
        <w:tc>
          <w:tcPr>
            <w:tcW w:w="907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31CAD37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94F"/>
              </w:rPr>
              <w:t>↓</w:t>
            </w:r>
          </w:p>
        </w:tc>
      </w:tr>
      <w:tr w:rsidR="003E387E" w14:paraId="7C4B1291" w14:textId="77777777">
        <w:trPr>
          <w:cantSplit/>
        </w:trPr>
        <w:tc>
          <w:tcPr>
            <w:tcW w:w="9072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single" w:sz="4" w:space="0" w:color="B7BCC2"/>
            </w:tcBorders>
            <w:shd w:val="clear" w:color="auto" w:fill="DCE6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CE5DD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A1F33"/>
                <w:sz w:val="19"/>
                <w:szCs w:val="19"/>
              </w:rPr>
              <w:t>Shared Answerer: Llama 3.3 70B (temperature = 0)</w:t>
            </w:r>
          </w:p>
        </w:tc>
      </w:tr>
      <w:tr w:rsidR="003E387E" w14:paraId="1049F5FD" w14:textId="77777777">
        <w:trPr>
          <w:cantSplit/>
        </w:trPr>
        <w:tc>
          <w:tcPr>
            <w:tcW w:w="907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144939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94F"/>
              </w:rPr>
              <w:t>↓</w:t>
            </w:r>
          </w:p>
        </w:tc>
      </w:tr>
      <w:tr w:rsidR="003E387E" w14:paraId="2E65F1A6" w14:textId="77777777">
        <w:trPr>
          <w:cantSplit/>
        </w:trPr>
        <w:tc>
          <w:tcPr>
            <w:tcW w:w="9072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single" w:sz="4" w:space="0" w:color="B7BCC2"/>
            </w:tcBorders>
            <w:shd w:val="clear" w:color="auto" w:fill="DCE6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E9C11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A1F33"/>
                <w:sz w:val="19"/>
                <w:szCs w:val="19"/>
              </w:rPr>
              <w:t>LLM Judge (Qwen3-32b, validated &gt;80% human agreement) + Deterministic Code Metrics</w:t>
            </w:r>
          </w:p>
        </w:tc>
      </w:tr>
      <w:tr w:rsidR="003E387E" w14:paraId="0D6F00C1" w14:textId="77777777">
        <w:trPr>
          <w:cantSplit/>
        </w:trPr>
        <w:tc>
          <w:tcPr>
            <w:tcW w:w="9072" w:type="dxa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7F42CFF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4494F"/>
              </w:rPr>
              <w:t>↓</w:t>
            </w:r>
          </w:p>
        </w:tc>
      </w:tr>
      <w:tr w:rsidR="003E387E" w14:paraId="2535AEC7" w14:textId="77777777">
        <w:trPr>
          <w:cantSplit/>
        </w:trPr>
        <w:tc>
          <w:tcPr>
            <w:tcW w:w="9072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single" w:sz="4" w:space="0" w:color="B7BCC2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C9A3B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Results Store (SQLite) → Analysis &amp; Comparison</w:t>
            </w:r>
          </w:p>
        </w:tc>
      </w:tr>
    </w:tbl>
    <w:p w14:paraId="177EC25D" w14:textId="77777777" w:rsidR="003E387E" w:rsidRDefault="00000000">
      <w:pPr>
        <w:spacing w:before="90" w:after="240"/>
        <w:jc w:val="center"/>
      </w:pPr>
      <w:r>
        <w:rPr>
          <w:rFonts w:ascii="Calibri" w:eastAsia="Calibri" w:hAnsi="Calibri" w:cs="Calibri"/>
          <w:color w:val="44494F"/>
          <w:sz w:val="20"/>
          <w:szCs w:val="20"/>
        </w:rPr>
        <w:t>Figure 4.1: High-Level Pipeline Architecture</w:t>
      </w:r>
    </w:p>
    <w:p w14:paraId="74F33ADB" w14:textId="77777777" w:rsidR="003E387E" w:rsidRDefault="00000000">
      <w:pPr>
        <w:pStyle w:val="Heading1"/>
        <w:pBdr>
          <w:bottom w:val="single" w:sz="8" w:space="6" w:color="15406B"/>
        </w:pBdr>
      </w:pPr>
      <w:bookmarkStart w:id="9" w:name="_Toc233304226"/>
      <w:r>
        <w:lastRenderedPageBreak/>
        <w:t>5. Data Sources</w:t>
      </w:r>
      <w:bookmarkEnd w:id="9"/>
    </w:p>
    <w:p w14:paraId="3225D1EE" w14:textId="77777777" w:rsidR="003E387E" w:rsidRDefault="00000000">
      <w:pPr>
        <w:spacing w:after="180" w:line="360" w:lineRule="auto"/>
        <w:jc w:val="both"/>
      </w:pPr>
      <w:r>
        <w:t>All data is sourced from SEC EDGAR, the United States Securities and Exchange Commission’s public filing system: a corpus of approximately six to nine 10-K annual filings, drawn from two to three companies across two to three fiscal years. These are public corporate disclosures and contain no personal or human-subject data. Filings are parsed via LlamaParse (free tier) into metadata-enriched text and table nodes.</w:t>
      </w:r>
    </w:p>
    <w:p w14:paraId="6FF3605D" w14:textId="77777777" w:rsidR="003E387E" w:rsidRDefault="00000000">
      <w:pPr>
        <w:spacing w:after="180" w:line="360" w:lineRule="auto"/>
        <w:jc w:val="both"/>
      </w:pPr>
      <w:r>
        <w:t>The 140-query evaluation benchmark is itself synthetically generated and adversarially verified from this corpus by two independent open-source language models acting as a cross-family generator and critic, with no third-party data collection and no participant data involved at any stage. This satisfies Data Category A0.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3E387E" w14:paraId="25E7E00B" w14:textId="77777777">
        <w:trPr>
          <w:cantSplit/>
        </w:trPr>
        <w:tc>
          <w:tcPr>
            <w:tcW w:w="9072" w:type="dxa"/>
            <w:tcBorders>
              <w:top w:val="single" w:sz="2" w:space="0" w:color="FBF0D6"/>
              <w:left w:val="single" w:sz="28" w:space="0" w:color="D4A017"/>
              <w:bottom w:val="single" w:sz="2" w:space="0" w:color="FBF0D6"/>
              <w:right w:val="single" w:sz="2" w:space="0" w:color="FBF0D6"/>
            </w:tcBorders>
            <w:shd w:val="clear" w:color="auto" w:fill="FBF0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C4C5DF" w14:textId="77777777" w:rsidR="003E387E" w:rsidRDefault="00000000">
            <w:pPr>
              <w:jc w:val="both"/>
            </w:pPr>
            <w:r>
              <w:rPr>
                <w:b/>
                <w:bCs/>
                <w:color w:val="0A1F33"/>
                <w:sz w:val="23"/>
                <w:szCs w:val="23"/>
              </w:rPr>
              <w:t xml:space="preserve">Key point. </w:t>
            </w:r>
            <w:r>
              <w:rPr>
                <w:color w:val="0A1F33"/>
                <w:sz w:val="23"/>
                <w:szCs w:val="23"/>
              </w:rPr>
              <w:t>Every recurring component in this pipeline runs on a free tier or local CPU, so the expected spend for the full benchmark is $0.00; the only binding constraint is Groq's daily token throughput, not budget.</w:t>
            </w:r>
          </w:p>
        </w:tc>
      </w:tr>
    </w:tbl>
    <w:p w14:paraId="4B8ACC47" w14:textId="77777777" w:rsidR="003E387E" w:rsidRDefault="00000000">
      <w:pPr>
        <w:pStyle w:val="Heading1"/>
        <w:pBdr>
          <w:bottom w:val="single" w:sz="8" w:space="6" w:color="15406B"/>
        </w:pBdr>
      </w:pPr>
      <w:bookmarkStart w:id="10" w:name="_Toc233304227"/>
      <w:r>
        <w:t>6. Testing and Evaluation</w:t>
      </w:r>
      <w:bookmarkEnd w:id="10"/>
    </w:p>
    <w:p w14:paraId="26CBA82C" w14:textId="77777777" w:rsidR="003E387E" w:rsidRDefault="00000000">
      <w:pPr>
        <w:spacing w:after="180" w:line="360" w:lineRule="auto"/>
        <w:jc w:val="both"/>
      </w:pPr>
      <w:r>
        <w:t>The system is evaluated across three independent pillars:</w:t>
      </w:r>
    </w:p>
    <w:p w14:paraId="26CBA82D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rPr>
          <w:b/>
          <w:bCs/>
        </w:rPr>
        <w:t>Retrieval metrics</w:t>
      </w:r>
      <w:r>
        <w:t xml:space="preserve"> (Precision@K, Recall@K, Evidence Hit Rate) are computed deterministically against node-ID ground truth.</w:t>
      </w:r>
    </w:p>
    <w:p w14:paraId="26CBA82E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rPr>
          <w:b/>
          <w:bCs/>
        </w:rPr>
        <w:t>Answer-quality metrics</w:t>
      </w:r>
      <w:r>
        <w:t xml:space="preserve"> use an LLM-as-judge score (1–10) as the primary measure, with token-level F1 and numeric-tolerant Exact Match as secondary lexical checks, plus a code-level Citation Audit that flags answers which are correct only by coincidence, where the cited evidence does not match the ground truth.</w:t>
      </w:r>
    </w:p>
    <w:p w14:paraId="26CBA82F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rPr>
          <w:b/>
          <w:bCs/>
        </w:rPr>
        <w:t>Efficiency metrics</w:t>
      </w:r>
      <w:r>
        <w:t xml:space="preserve"> cover latency, token consumption, and one-time index-build cost per pipeline.</w:t>
      </w:r>
    </w:p>
    <w:p w14:paraId="6DFF546F" w14:textId="77777777" w:rsidR="003E387E" w:rsidRDefault="00000000">
      <w:pPr>
        <w:spacing w:after="180" w:line="360" w:lineRule="auto"/>
        <w:jc w:val="both"/>
      </w:pPr>
      <w:r>
        <w:t xml:space="preserve">The automated judge is not trusted by default. It must first clear a hard validation gate, reaching greater than 80% agreement with the researcher’s own hand-scored outputs on a disjoint validation set, before it is permitted to grade the full benchmark, mirroring the agreement threshold reported for LLM judges by Zheng </w:t>
      </w:r>
      <w:r>
        <w:rPr>
          <w:i/>
          <w:iCs/>
        </w:rPr>
        <w:t>et al.</w:t>
      </w:r>
      <w:r>
        <w:t xml:space="preserve"> (2023). Every script that calls a language model is first run end-to-end under a hardcoded three-item local throttle, to catch bugs before any free-tier quota is spent at scale.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3E387E" w14:paraId="6088932D" w14:textId="77777777">
        <w:trPr>
          <w:cantSplit/>
        </w:trPr>
        <w:tc>
          <w:tcPr>
            <w:tcW w:w="9072" w:type="dxa"/>
            <w:tcBorders>
              <w:top w:val="single" w:sz="2" w:space="0" w:color="FBF0D6"/>
              <w:left w:val="single" w:sz="28" w:space="0" w:color="D4A017"/>
              <w:bottom w:val="single" w:sz="2" w:space="0" w:color="FBF0D6"/>
              <w:right w:val="single" w:sz="2" w:space="0" w:color="FBF0D6"/>
            </w:tcBorders>
            <w:shd w:val="clear" w:color="auto" w:fill="FBF0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5705DB" w14:textId="77777777" w:rsidR="003E387E" w:rsidRDefault="00000000">
            <w:pPr>
              <w:jc w:val="both"/>
            </w:pPr>
            <w:r>
              <w:rPr>
                <w:b/>
                <w:bCs/>
                <w:color w:val="0A1F33"/>
                <w:sz w:val="23"/>
                <w:szCs w:val="23"/>
              </w:rPr>
              <w:t xml:space="preserve">Key point. </w:t>
            </w:r>
            <w:r>
              <w:rPr>
                <w:color w:val="0A1F33"/>
                <w:sz w:val="23"/>
                <w:szCs w:val="23"/>
              </w:rPr>
              <w:t>The judge is gated, not trusted by default: it must clear 80% agreement with hand-scored human judgements on a disjoint validation set before it is allowed to grade the full 900-run benchmark.</w:t>
            </w:r>
          </w:p>
        </w:tc>
      </w:tr>
    </w:tbl>
    <w:p w14:paraId="7282FF7C" w14:textId="77777777" w:rsidR="003E387E" w:rsidRDefault="00000000">
      <w:pPr>
        <w:pStyle w:val="Heading1"/>
        <w:pBdr>
          <w:bottom w:val="single" w:sz="8" w:space="6" w:color="15406B"/>
        </w:pBdr>
      </w:pPr>
      <w:bookmarkStart w:id="11" w:name="_Toc233304228"/>
      <w:r>
        <w:lastRenderedPageBreak/>
        <w:t>7. Project Ethics and Human Participants</w:t>
      </w:r>
      <w:bookmarkEnd w:id="11"/>
    </w:p>
    <w:p w14:paraId="26902598" w14:textId="77777777" w:rsidR="003E387E" w:rsidRDefault="00000000">
      <w:pPr>
        <w:spacing w:after="180" w:line="360" w:lineRule="auto"/>
        <w:jc w:val="both"/>
      </w:pPr>
      <w:r>
        <w:t>This project involves no human participants and no personal data; all source material is SEC 10-K filings, which are public corporate disclosures (Data Category A0). The two manual steps in the methodology, hand-labelling 20 teaching exemplars and hand-scoring 60 judge-validation outputs, are carried out solely by the researcher as part of constructing the evaluation harness itself, rather than as a study involving external participants, and therefore fall outside the scope of human-participant ethics review. No further ethical approval beyond this statement is required for the activity planned within this assessment.</w:t>
      </w:r>
    </w:p>
    <w:p w14:paraId="02FF0147" w14:textId="77777777" w:rsidR="003E387E" w:rsidRDefault="00000000">
      <w:pPr>
        <w:pStyle w:val="Heading1"/>
        <w:pBdr>
          <w:bottom w:val="single" w:sz="8" w:space="6" w:color="15406B"/>
        </w:pBdr>
      </w:pPr>
      <w:bookmarkStart w:id="12" w:name="_Toc233304229"/>
      <w:r>
        <w:t>8. BCS Project Criteria</w:t>
      </w:r>
      <w:bookmarkEnd w:id="12"/>
    </w:p>
    <w:p w14:paraId="0BE0B818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Systematic understanding: a cross-paradigm RAG comparison grounded in current literature (Lewis et al., 2020; Karpukhin et al., 2020; Sarthi et al., 2024), exposing paradigm limits not yet documented for SEC-filing data.</w:t>
      </w:r>
    </w:p>
    <w:p w14:paraId="47032625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Comprehensive technique understanding: dense retrieval, sparse retrieval, hierarchical summarisation, reranking, and LLM-based evaluation are all designed and built within a single project.</w:t>
      </w:r>
    </w:p>
    <w:p w14:paraId="5EDB3777" w14:textId="66E99ED2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Originality: the cross-family generator/critic adversarial verification pipeline and the disjoint three-set (PQ/GQ/JEQ) evaluation design are original contributions to constructing a RAG benchmark without manual annotation at scale.</w:t>
      </w:r>
    </w:p>
    <w:p w14:paraId="1AEBBF94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Sound judgement under incomplete information: deliberate, documented scoping decisions, such as dropping a metadata pre-filter and accepting a token-per-day-bound runtime, demonstrate judgement under real resource constraints.</w:t>
      </w:r>
    </w:p>
    <w:p w14:paraId="61214118" w14:textId="10C2FFF6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Self-direction: a one person, ten week build plan run entirely on free-tier infrastructure with no managed budget demonstrates autonomous planning.</w:t>
      </w:r>
    </w:p>
    <w:p w14:paraId="53CB15A1" w14:textId="77777777" w:rsidR="003E387E" w:rsidRDefault="00000000">
      <w:pPr>
        <w:pStyle w:val="ListParagraph"/>
        <w:numPr>
          <w:ilvl w:val="0"/>
          <w:numId w:val="2"/>
        </w:numPr>
        <w:spacing w:after="110" w:line="360" w:lineRule="auto"/>
        <w:jc w:val="both"/>
      </w:pPr>
      <w:r>
        <w:t>Critical self-evaluation of the process: the Limitations framing already built into the methodology, a single temperature-zero run per benchmark cell and an approximately eighty per cent judge-validation pass on only sixty hand-scored samples, is treated explicitly as a pragmatic constraint rather than a strong statistical proof, and the dissertation write-up will revisit this self-assessment against the actual results obtained.</w:t>
      </w:r>
    </w:p>
    <w:p w14:paraId="53CB15A0" w14:textId="77777777" w:rsidR="003E387E" w:rsidRDefault="00000000">
      <w:pPr>
        <w:pStyle w:val="Heading1"/>
        <w:pBdr>
          <w:bottom w:val="single" w:sz="8" w:space="6" w:color="15406B"/>
        </w:pBdr>
      </w:pPr>
      <w:bookmarkStart w:id="13" w:name="_Toc233304230"/>
      <w:r>
        <w:t>9. UI/UX Mockup</w:t>
      </w:r>
      <w:bookmarkEnd w:id="13"/>
    </w:p>
    <w:p w14:paraId="31098826" w14:textId="77777777" w:rsidR="003E387E" w:rsidRDefault="00000000">
      <w:pPr>
        <w:spacing w:after="180" w:line="360" w:lineRule="auto"/>
        <w:jc w:val="both"/>
      </w:pPr>
      <w:r>
        <w:t xml:space="preserve">This is a research and benchmarking system rather than an end-user application, so its principal “interface” is the results comparison view produced at the end of the run and consulted directly in the dissertation </w:t>
      </w:r>
      <w:r>
        <w:lastRenderedPageBreak/>
        <w:t>analysis. Day to day, the researcher’s surface is a command line: a phase is started with a single script invocation (for example, running the benchmark executor for a given phase), progress and free-tier token usage are checked by glancing at the run log and the index-build cost file, and intermediate results are inspected directly with SQL queries against the results table while a long phase is still in progress. A wireframe sketch of the final comparison view, the artefact the researcher consults most, is shown below.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1600"/>
        <w:gridCol w:w="1500"/>
        <w:gridCol w:w="1500"/>
        <w:gridCol w:w="1372"/>
      </w:tblGrid>
      <w:tr w:rsidR="003E387E" w14:paraId="534254DF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8D84B" w14:textId="77777777" w:rsidR="003E387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9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EA1D2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</w:t>
            </w:r>
          </w:p>
        </w:tc>
        <w:tc>
          <w:tcPr>
            <w:tcW w:w="16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2B054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Precision@K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38BD0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Recall@K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789CC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Judge Score</w:t>
            </w:r>
          </w:p>
        </w:tc>
        <w:tc>
          <w:tcPr>
            <w:tcW w:w="1372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E2BC7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Latency (s)</w:t>
            </w:r>
          </w:p>
        </w:tc>
      </w:tr>
      <w:tr w:rsidR="003E387E" w14:paraId="32CC0F17" w14:textId="77777777">
        <w:trPr>
          <w:cantSplit/>
        </w:trPr>
        <w:tc>
          <w:tcPr>
            <w:tcW w:w="22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ED836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P1_vector</w:t>
            </w:r>
          </w:p>
        </w:tc>
        <w:tc>
          <w:tcPr>
            <w:tcW w:w="9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96A5B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1FD9F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0.62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BB16D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0.81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27565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8.1</w:t>
            </w:r>
          </w:p>
        </w:tc>
        <w:tc>
          <w:tcPr>
            <w:tcW w:w="1372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E7284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1.84</w:t>
            </w:r>
          </w:p>
        </w:tc>
      </w:tr>
      <w:tr w:rsidR="003E387E" w14:paraId="4B8282AD" w14:textId="77777777">
        <w:trPr>
          <w:cantSplit/>
        </w:trPr>
        <w:tc>
          <w:tcPr>
            <w:tcW w:w="22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BB6BA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P2_bm25</w:t>
            </w:r>
          </w:p>
        </w:tc>
        <w:tc>
          <w:tcPr>
            <w:tcW w:w="9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DE174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ED77E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0.54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DA0AA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0.73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973D2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7.0</w:t>
            </w:r>
          </w:p>
        </w:tc>
        <w:tc>
          <w:tcPr>
            <w:tcW w:w="1372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D25DD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0.91</w:t>
            </w:r>
          </w:p>
        </w:tc>
      </w:tr>
      <w:tr w:rsidR="003E387E" w14:paraId="75F503CE" w14:textId="77777777">
        <w:trPr>
          <w:cantSplit/>
        </w:trPr>
        <w:tc>
          <w:tcPr>
            <w:tcW w:w="22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BF632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P3_structural</w:t>
            </w:r>
          </w:p>
        </w:tc>
        <w:tc>
          <w:tcPr>
            <w:tcW w:w="9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0C3B7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11E5E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0.41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6E2A6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0.66</w:t>
            </w:r>
          </w:p>
        </w:tc>
        <w:tc>
          <w:tcPr>
            <w:tcW w:w="15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1E6BB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6.4</w:t>
            </w:r>
          </w:p>
        </w:tc>
        <w:tc>
          <w:tcPr>
            <w:tcW w:w="1372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D410B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1.10</w:t>
            </w:r>
          </w:p>
        </w:tc>
      </w:tr>
    </w:tbl>
    <w:p w14:paraId="539FFA9C" w14:textId="77777777" w:rsidR="003E387E" w:rsidRDefault="00000000">
      <w:pPr>
        <w:spacing w:before="90" w:after="240"/>
        <w:jc w:val="center"/>
      </w:pPr>
      <w:r>
        <w:rPr>
          <w:rFonts w:ascii="Calibri" w:eastAsia="Calibri" w:hAnsi="Calibri" w:cs="Calibri"/>
          <w:color w:val="44494F"/>
          <w:sz w:val="20"/>
          <w:szCs w:val="20"/>
        </w:rPr>
        <w:t>Figure 9.1: Results Comparison View (Wireframe, illustrative placeholder values, not final results)</w:t>
      </w:r>
    </w:p>
    <w:p w14:paraId="3B5E076B" w14:textId="77777777" w:rsidR="003E387E" w:rsidRDefault="00000000">
      <w:pPr>
        <w:pStyle w:val="Heading1"/>
        <w:pBdr>
          <w:bottom w:val="single" w:sz="8" w:space="6" w:color="15406B"/>
        </w:pBdr>
      </w:pPr>
      <w:bookmarkStart w:id="14" w:name="_Toc233304231"/>
      <w:r>
        <w:t>10. Project Plan</w:t>
      </w:r>
      <w:bookmarkEnd w:id="14"/>
    </w:p>
    <w:p w14:paraId="214F580F" w14:textId="109CB41F" w:rsidR="003E387E" w:rsidRDefault="00000000">
      <w:pPr>
        <w:spacing w:after="180" w:line="360" w:lineRule="auto"/>
        <w:jc w:val="both"/>
      </w:pPr>
      <w:r>
        <w:t>The build is scoped to a one person, ten-week schedule, with active development substantially complete by Week 7 and the final three weeks overlapping the full benchmark run with results analysis and dissertation write-up.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9"/>
      </w:tblGrid>
      <w:tr w:rsidR="003E387E" w14:paraId="6C9DB088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1F629" w14:textId="77777777" w:rsidR="003E387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D8460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W1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C058E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W2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DF8A4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W3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8A68A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W4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9B276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W5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0006E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W6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D5235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W7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7715B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W8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46914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W9</w:t>
            </w:r>
          </w:p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0125F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W10</w:t>
            </w:r>
          </w:p>
        </w:tc>
      </w:tr>
      <w:tr w:rsidR="003E387E" w14:paraId="2EB44DFC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A5281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1. Environment &amp; Infra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C1DDD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2A2FE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3BFEA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66574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EC6C3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C2CD0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FF8B7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52D17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FB66E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66317" w14:textId="77777777" w:rsidR="003E387E" w:rsidRDefault="003E387E"/>
        </w:tc>
      </w:tr>
      <w:tr w:rsidR="003E387E" w14:paraId="352EAB25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09449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2. Ingestion &amp; Parsing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5A942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B22AB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DBDDB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95C31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29146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C2397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E26C1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19E38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F9798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78678" w14:textId="77777777" w:rsidR="003E387E" w:rsidRDefault="003E387E"/>
        </w:tc>
      </w:tr>
      <w:tr w:rsidR="003E387E" w14:paraId="2D5272C3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88674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3. P3 Summary-Index Build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AEC13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F903D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D270A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F6AEC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5B3BB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CD829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D84D2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D43BC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C35CC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8BD4A" w14:textId="77777777" w:rsidR="003E387E" w:rsidRDefault="003E387E"/>
        </w:tc>
      </w:tr>
      <w:tr w:rsidR="003E387E" w14:paraId="58913C13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96321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4. Dataset Gen &amp; Verification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CBCFC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ADAC6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7C5DB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E3A00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3EADD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60A76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C132D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9C0A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6EB65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171A2" w14:textId="77777777" w:rsidR="003E387E" w:rsidRDefault="003E387E"/>
        </w:tc>
      </w:tr>
      <w:tr w:rsidR="003E387E" w14:paraId="5D611ED6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A9837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5. Pipeline Impl. (P1/P2/P3)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E64B9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AF8E1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AAA40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24346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BAF2B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BDD2F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148BC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4D62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57075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819C2" w14:textId="77777777" w:rsidR="003E387E" w:rsidRDefault="003E387E"/>
        </w:tc>
      </w:tr>
      <w:tr w:rsidR="003E387E" w14:paraId="6755A410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DF24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6. Judge Build &amp; Validation Gate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55B65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FFA25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C5016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90C05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F0637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E5A21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457EB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D8120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F8FA8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6CA24" w14:textId="77777777" w:rsidR="003E387E" w:rsidRDefault="003E387E"/>
        </w:tc>
      </w:tr>
      <w:tr w:rsidR="003E387E" w14:paraId="32D0DB30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3EF13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7. Full Benchmark Execution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79001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C69FA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8027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313F6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19C43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46C4A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B2454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D955E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7EB85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34C3E" w14:textId="77777777" w:rsidR="003E387E" w:rsidRDefault="003E387E"/>
        </w:tc>
      </w:tr>
      <w:tr w:rsidR="003E387E" w14:paraId="4A7DB465" w14:textId="77777777">
        <w:trPr>
          <w:cantSplit/>
        </w:trPr>
        <w:tc>
          <w:tcPr>
            <w:tcW w:w="27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59329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8. Results Analysis &amp; Write-up</w:t>
            </w:r>
          </w:p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B53C0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8CE01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3F3B9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9E7AF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9F87E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EE465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CE2BD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343A7" w14:textId="77777777" w:rsidR="003E387E" w:rsidRDefault="003E387E"/>
        </w:tc>
        <w:tc>
          <w:tcPr>
            <w:tcW w:w="637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73317" w14:textId="77777777" w:rsidR="003E387E" w:rsidRDefault="003E387E"/>
        </w:tc>
        <w:tc>
          <w:tcPr>
            <w:tcW w:w="639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FAF87" w14:textId="77777777" w:rsidR="003E387E" w:rsidRDefault="003E387E"/>
        </w:tc>
      </w:tr>
    </w:tbl>
    <w:p w14:paraId="537E6553" w14:textId="77777777" w:rsidR="003E387E" w:rsidRDefault="00000000">
      <w:pPr>
        <w:spacing w:before="90" w:after="240"/>
        <w:jc w:val="center"/>
      </w:pPr>
      <w:r>
        <w:rPr>
          <w:rFonts w:ascii="Calibri" w:eastAsia="Calibri" w:hAnsi="Calibri" w:cs="Calibri"/>
          <w:color w:val="44494F"/>
          <w:sz w:val="20"/>
          <w:szCs w:val="20"/>
        </w:rPr>
        <w:t>Table 10.1: 10-Week Project Gantt Chart</w:t>
      </w:r>
    </w:p>
    <w:p w14:paraId="33020ACD" w14:textId="77777777" w:rsidR="003E387E" w:rsidRDefault="00000000">
      <w:pPr>
        <w:pStyle w:val="Heading1"/>
        <w:pBdr>
          <w:bottom w:val="single" w:sz="8" w:space="6" w:color="15406B"/>
        </w:pBdr>
      </w:pPr>
      <w:bookmarkStart w:id="15" w:name="_Toc233304232"/>
      <w:r>
        <w:t>11. Risks and Contingency Plans</w:t>
      </w:r>
      <w:bookmarkEnd w:id="1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00"/>
        <w:gridCol w:w="1186"/>
        <w:gridCol w:w="1186"/>
      </w:tblGrid>
      <w:tr w:rsidR="003E387E" w14:paraId="4D73DF48" w14:textId="77777777" w:rsidTr="00090D0C">
        <w:trPr>
          <w:cantSplit/>
          <w:tblHeader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single" w:sz="4" w:space="0" w:color="auto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538A8" w14:textId="77777777" w:rsidR="003E387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B6B3B" w14:textId="77777777" w:rsidR="003E387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Contingency</w:t>
            </w:r>
          </w:p>
        </w:tc>
        <w:tc>
          <w:tcPr>
            <w:tcW w:w="1186" w:type="dxa"/>
            <w:tcBorders>
              <w:top w:val="single" w:sz="4" w:space="0" w:color="B7BCC2"/>
              <w:left w:val="single" w:sz="4" w:space="0" w:color="auto"/>
              <w:bottom w:val="single" w:sz="4" w:space="0" w:color="B7BCC2"/>
              <w:right w:val="nil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DAD58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1540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FED00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3E387E" w14:paraId="0CE97378" w14:textId="77777777" w:rsidTr="00090D0C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9B587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Groq free-tier token-per-day limit reached mid-run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5FD38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Exponential backoff with jitter, multi-day paced execution with crash-safe resume, prompt caching, fallback to the paid Developer tier if the schedule slips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02CE0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67DEB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</w:tr>
      <w:tr w:rsidR="003E387E" w14:paraId="0848A550" w14:textId="77777777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F86ED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LlamaParse fragments or bisects a financial table</w:t>
            </w:r>
          </w:p>
        </w:tc>
        <w:tc>
          <w:tcPr>
            <w:tcW w:w="43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8251D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Randomised 20-section manual parsing audit; re-tune parser settings or discard and re-parse the affected filing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49C7C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3F772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73E35"/>
                <w:sz w:val="19"/>
                <w:szCs w:val="19"/>
              </w:rPr>
              <w:t>High</w:t>
            </w:r>
          </w:p>
        </w:tc>
      </w:tr>
      <w:tr w:rsidR="003E387E" w14:paraId="747A0F5A" w14:textId="77777777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A99D2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Automated LLM judge fails the 80% human-agreement gate</w:t>
            </w:r>
          </w:p>
        </w:tc>
        <w:tc>
          <w:tcPr>
            <w:tcW w:w="43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BEA20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Tune the scoring rubric and/or swap the judge to a different model family; re-run the validation gate before proceeding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1A97D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FEE68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73E35"/>
                <w:sz w:val="19"/>
                <w:szCs w:val="19"/>
              </w:rPr>
              <w:t>High</w:t>
            </w:r>
          </w:p>
        </w:tc>
      </w:tr>
      <w:tr w:rsidR="003E387E" w14:paraId="31B4304C" w14:textId="77777777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BEE67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Breaking API changes in a fast-moving dependency (LlamaIndex)</w:t>
            </w:r>
          </w:p>
        </w:tc>
        <w:tc>
          <w:tcPr>
            <w:tcW w:w="43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59EE4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Pin exact package versions at project start; consult current documentation before any upgrade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D5085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B8457"/>
                <w:sz w:val="19"/>
                <w:szCs w:val="19"/>
              </w:rPr>
              <w:t>Low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6C0EE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</w:tr>
      <w:tr w:rsidR="003E387E" w14:paraId="3A15F445" w14:textId="77777777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D922C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Concurrent writes corrupt the SQLite results store mid-run</w:t>
            </w:r>
          </w:p>
        </w:tc>
        <w:tc>
          <w:tcPr>
            <w:tcW w:w="43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D9586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Write-Ahead Logging (WAL) mode; crash-safe resume keyed on a unique constraint; commit after every individual run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E12F8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B8457"/>
                <w:sz w:val="19"/>
                <w:szCs w:val="19"/>
              </w:rPr>
              <w:t>Low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A6D0A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73E35"/>
                <w:sz w:val="19"/>
                <w:szCs w:val="19"/>
              </w:rPr>
              <w:t>High</w:t>
            </w:r>
          </w:p>
        </w:tc>
      </w:tr>
      <w:tr w:rsidR="003E387E" w14:paraId="00D8FAAC" w14:textId="77777777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8DA86" w14:textId="1A32F7B3" w:rsidR="003E387E" w:rsidRDefault="0005556E">
            <w:r>
              <w:rPr>
                <w:rFonts w:ascii="Calibri" w:eastAsia="Calibri" w:hAnsi="Calibri" w:cs="Calibri"/>
                <w:sz w:val="19"/>
                <w:szCs w:val="19"/>
              </w:rPr>
              <w:t>One person, ten-week timeline slips</w:t>
            </w:r>
          </w:p>
        </w:tc>
        <w:tc>
          <w:tcPr>
            <w:tcW w:w="43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43041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Throttle-first testing on every phase before full-scale release; background-paced benchmark execution; buffer reserved across the final three weeks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C04E7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50335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017"/>
                <w:sz w:val="19"/>
                <w:szCs w:val="19"/>
              </w:rPr>
              <w:t>Medium</w:t>
            </w:r>
          </w:p>
        </w:tc>
      </w:tr>
      <w:tr w:rsidR="003E387E" w14:paraId="00D8FAAD" w14:textId="77777777">
        <w:trPr>
          <w:cantSplit/>
        </w:trPr>
        <w:tc>
          <w:tcPr>
            <w:tcW w:w="2400" w:type="dxa"/>
            <w:tcBorders>
              <w:top w:val="single" w:sz="4" w:space="0" w:color="B7BCC2"/>
              <w:left w:val="single" w:sz="4" w:space="0" w:color="B7BCC2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FAA1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Local machine failure or loss of unsynced work (no backups)</w:t>
            </w:r>
          </w:p>
        </w:tc>
        <w:tc>
          <w:tcPr>
            <w:tcW w:w="4300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FAA2" w14:textId="77777777" w:rsidR="003E387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Nightly off-machine backup of the SQLite database, parsed nodes, and code to a second location (a git remote and cloud sync); Write-Ahead Logging commits keep the loss window to minutes of work, not days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nil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FAA3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B8457"/>
                <w:sz w:val="19"/>
                <w:szCs w:val="19"/>
              </w:rPr>
              <w:t>Low</w:t>
            </w:r>
          </w:p>
        </w:tc>
        <w:tc>
          <w:tcPr>
            <w:tcW w:w="1186" w:type="dxa"/>
            <w:tcBorders>
              <w:top w:val="single" w:sz="4" w:space="0" w:color="B7BCC2"/>
              <w:left w:val="nil"/>
              <w:bottom w:val="single" w:sz="4" w:space="0" w:color="B7BCC2"/>
              <w:right w:val="single" w:sz="4" w:space="0" w:color="B7BCC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FAA4" w14:textId="77777777" w:rsidR="003E38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73E35"/>
                <w:sz w:val="19"/>
                <w:szCs w:val="19"/>
              </w:rPr>
              <w:t>High</w:t>
            </w:r>
          </w:p>
        </w:tc>
      </w:tr>
    </w:tbl>
    <w:p w14:paraId="1F1559F9" w14:textId="77777777" w:rsidR="003E387E" w:rsidRDefault="00000000">
      <w:pPr>
        <w:spacing w:before="90" w:after="240"/>
        <w:jc w:val="center"/>
      </w:pPr>
      <w:r>
        <w:rPr>
          <w:rFonts w:ascii="Calibri" w:eastAsia="Calibri" w:hAnsi="Calibri" w:cs="Calibri"/>
          <w:color w:val="44494F"/>
          <w:sz w:val="20"/>
          <w:szCs w:val="20"/>
        </w:rPr>
        <w:t>Table 11.1: Risk Management Plan</w:t>
      </w:r>
    </w:p>
    <w:p w14:paraId="112975DC" w14:textId="77777777" w:rsidR="003E387E" w:rsidRDefault="00000000">
      <w:r>
        <w:br w:type="page"/>
      </w:r>
    </w:p>
    <w:p w14:paraId="7E9B3413" w14:textId="77777777" w:rsidR="003E387E" w:rsidRDefault="00000000">
      <w:pPr>
        <w:pStyle w:val="Heading1"/>
        <w:pBdr>
          <w:bottom w:val="single" w:sz="8" w:space="6" w:color="15406B"/>
        </w:pBdr>
      </w:pPr>
      <w:bookmarkStart w:id="16" w:name="_Toc233304233"/>
      <w:r>
        <w:lastRenderedPageBreak/>
        <w:t>12. References</w:t>
      </w:r>
      <w:bookmarkEnd w:id="16"/>
    </w:p>
    <w:p w14:paraId="2329B979" w14:textId="77777777" w:rsidR="003E387E" w:rsidRDefault="00000000">
      <w:pPr>
        <w:spacing w:after="180" w:line="360" w:lineRule="auto"/>
        <w:ind w:left="102" w:hanging="102"/>
        <w:jc w:val="both"/>
      </w:pPr>
      <w:r>
        <w:t>Chen, Z., Chen, W., Smiley, C., Shah, S., Borova, I., Langdon, D., Moussa, R., Beane, M., Huang, T.-H., Routledge, B. and Wang, W.Y. (2021) 'FinQA: A Dataset of Numerical Reasoning over Financial Data', Proceedings of the 2021 Conference on Empirical Methods in Natural Language Processing (EMNLP 2021), pp. 3697–3711.</w:t>
      </w:r>
    </w:p>
    <w:p w14:paraId="12BD1CDE" w14:textId="77777777" w:rsidR="003E387E" w:rsidRDefault="00000000">
      <w:pPr>
        <w:spacing w:after="180" w:line="360" w:lineRule="auto"/>
        <w:ind w:left="102" w:hanging="102"/>
        <w:jc w:val="both"/>
      </w:pPr>
      <w:r>
        <w:t>Karpukhin, V., Oguz, B., Min, S., Lewis, P., Wu, L., Edunov, S., Chen, D. and Yih, W.-t. (2020) 'Dense Passage Retrieval for Open-Domain Question Answering', Proceedings of the 2020 Conference on Empirical Methods in Natural Language Processing (EMNLP 2020), pp. 6769–6781.</w:t>
      </w:r>
    </w:p>
    <w:p w14:paraId="7C09362E" w14:textId="77777777" w:rsidR="003E387E" w:rsidRDefault="00000000">
      <w:pPr>
        <w:spacing w:after="180" w:line="360" w:lineRule="auto"/>
        <w:ind w:left="102" w:hanging="102"/>
        <w:jc w:val="both"/>
      </w:pPr>
      <w:r>
        <w:t>Lewis, P., Perez, E., Piktus, A., Petroni, F., Karpukhin, V., Goyal, N., Küttler, H., Lewis, M., Yih, W.-t., Rocktäschel, T., Riedel, S. and Kiela, D. (2020) 'Retrieval-Augmented Generation for Knowledge-Intensive NLP Tasks', Advances in Neural Information Processing Systems, 33 (NeurIPS 2020).</w:t>
      </w:r>
    </w:p>
    <w:p w14:paraId="08707222" w14:textId="77777777" w:rsidR="003E387E" w:rsidRDefault="00000000">
      <w:pPr>
        <w:spacing w:after="180" w:line="360" w:lineRule="auto"/>
        <w:ind w:left="102" w:hanging="102"/>
        <w:jc w:val="both"/>
      </w:pPr>
      <w:r>
        <w:t>Liu, N.F., Lin, K., Hewitt, J., Paranjape, A., Bevilacqua, M., Petroni, F. and Liang, P. (2024) 'Lost in the Middle: How Language Models Use Long Contexts', Transactions of the Association for Computational Linguistics, 12, pp. 157–173.</w:t>
      </w:r>
    </w:p>
    <w:p w14:paraId="5CD739B9" w14:textId="77777777" w:rsidR="003E387E" w:rsidRDefault="00000000">
      <w:pPr>
        <w:spacing w:after="180" w:line="360" w:lineRule="auto"/>
        <w:ind w:left="102" w:hanging="102"/>
        <w:jc w:val="both"/>
      </w:pPr>
      <w:r>
        <w:t>Nogueira, R. and Cho, K. (2019) 'Passage Re-ranking with BERT', arXiv preprint, arXiv:1901.04085.</w:t>
      </w:r>
    </w:p>
    <w:p w14:paraId="47CE50F6" w14:textId="77777777" w:rsidR="003E387E" w:rsidRDefault="00000000">
      <w:pPr>
        <w:spacing w:after="180" w:line="360" w:lineRule="auto"/>
        <w:ind w:left="102" w:hanging="102"/>
        <w:jc w:val="both"/>
      </w:pPr>
      <w:r>
        <w:t>Robertson, S. and Zaragoza, H. (2009) 'The Probabilistic Relevance Framework: BM25 and Beyond', Foundations and Trends in Information Retrieval, 3(4), pp. 333–389.</w:t>
      </w:r>
    </w:p>
    <w:p w14:paraId="5104D6A4" w14:textId="77777777" w:rsidR="003E387E" w:rsidRDefault="00000000">
      <w:pPr>
        <w:spacing w:after="180" w:line="360" w:lineRule="auto"/>
        <w:ind w:left="102" w:hanging="102"/>
        <w:jc w:val="both"/>
      </w:pPr>
      <w:r>
        <w:t>Sarthi, P., Abdullah, S., Tuli, A., Khanna, S., Goldie, A. and Manning, C.D. (2024) 'RAPTOR: Recursive Abstractive Processing for Tree-Organized Retrieval', Proceedings of the International Conference on Learning Representations (ICLR 2024).</w:t>
      </w:r>
    </w:p>
    <w:p w14:paraId="41AB3349" w14:textId="77777777" w:rsidR="003E387E" w:rsidRDefault="00000000">
      <w:pPr>
        <w:spacing w:after="180" w:line="360" w:lineRule="auto"/>
        <w:ind w:left="102" w:hanging="102"/>
        <w:jc w:val="both"/>
      </w:pPr>
      <w:r>
        <w:t>Xiao, S., Liu, Z., Zhang, P. and Muennighoff, N. (2023) 'C-Pack: Packaged Resources to Advance General Chinese Embedding', arXiv preprint, arXiv:2309.07597.</w:t>
      </w:r>
    </w:p>
    <w:p w14:paraId="5FDB4BF6" w14:textId="77777777" w:rsidR="003E387E" w:rsidRDefault="00000000">
      <w:pPr>
        <w:spacing w:after="180" w:line="360" w:lineRule="auto"/>
        <w:ind w:left="102" w:hanging="102"/>
        <w:jc w:val="both"/>
      </w:pPr>
      <w:r>
        <w:t>Zheng, L., Chiang, W.-L., Sheng, Y., Zhuang, S., Wu, Z., Zhuang, Y., Lin, Z., Li, Z., Li, D., Xing, E.P., Zhang, H., Gonzalez, J.E. and Stoica, I. (2023) 'Judging LLM-as-a-Judge with MT-Bench and Chatbot Arena', Advances in Neural Information Processing Systems, 36 (NeurIPS 2023).</w:t>
      </w:r>
    </w:p>
    <w:sectPr w:rsidR="003E387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5620" w14:textId="77777777" w:rsidR="00DC2929" w:rsidRDefault="00DC2929">
      <w:r>
        <w:separator/>
      </w:r>
    </w:p>
  </w:endnote>
  <w:endnote w:type="continuationSeparator" w:id="0">
    <w:p w14:paraId="0DCC668E" w14:textId="77777777" w:rsidR="00DC2929" w:rsidRDefault="00DC2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7573" w14:textId="77777777" w:rsidR="003E387E" w:rsidRDefault="003E38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2F5B" w14:textId="77777777" w:rsidR="003E387E" w:rsidRDefault="00000000">
    <w:pPr>
      <w:pBdr>
        <w:top w:val="single" w:sz="4" w:space="4" w:color="B7BCC2"/>
      </w:pBdr>
      <w:jc w:val="right"/>
    </w:pPr>
    <w:r>
      <w:rPr>
        <w:rFonts w:ascii="Calibri" w:eastAsia="Calibri" w:hAnsi="Calibri" w:cs="Calibri"/>
        <w:color w:val="767C84"/>
        <w:sz w:val="18"/>
        <w:szCs w:val="18"/>
      </w:rPr>
      <w:t xml:space="preserve">Page </w:t>
    </w:r>
    <w:r>
      <w:rPr>
        <w:rFonts w:ascii="Calibri" w:eastAsia="Calibri" w:hAnsi="Calibri" w:cs="Calibri"/>
        <w:color w:val="767C84"/>
        <w:sz w:val="18"/>
        <w:szCs w:val="18"/>
      </w:rPr>
      <w:fldChar w:fldCharType="begin"/>
    </w:r>
    <w:r>
      <w:rPr>
        <w:rFonts w:ascii="Calibri" w:eastAsia="Calibri" w:hAnsi="Calibri" w:cs="Calibri"/>
        <w:color w:val="767C84"/>
        <w:sz w:val="18"/>
        <w:szCs w:val="18"/>
      </w:rPr>
      <w:instrText>PAGE</w:instrText>
    </w:r>
    <w:r>
      <w:rPr>
        <w:rFonts w:ascii="Calibri" w:eastAsia="Calibri" w:hAnsi="Calibri" w:cs="Calibri"/>
        <w:color w:val="767C84"/>
        <w:sz w:val="18"/>
        <w:szCs w:val="18"/>
      </w:rPr>
      <w:fldChar w:fldCharType="separate"/>
    </w:r>
    <w:r w:rsidR="00E645EF">
      <w:rPr>
        <w:rFonts w:ascii="Calibri" w:eastAsia="Calibri" w:hAnsi="Calibri" w:cs="Calibri"/>
        <w:noProof/>
        <w:color w:val="767C84"/>
        <w:sz w:val="18"/>
        <w:szCs w:val="18"/>
      </w:rPr>
      <w:t>2</w:t>
    </w:r>
    <w:r>
      <w:rPr>
        <w:rFonts w:ascii="Calibri" w:eastAsia="Calibri" w:hAnsi="Calibri" w:cs="Calibri"/>
        <w:color w:val="767C84"/>
        <w:sz w:val="18"/>
        <w:szCs w:val="18"/>
      </w:rPr>
      <w:fldChar w:fldCharType="end"/>
    </w:r>
    <w:r>
      <w:rPr>
        <w:rFonts w:ascii="Calibri" w:eastAsia="Calibri" w:hAnsi="Calibri" w:cs="Calibri"/>
        <w:color w:val="767C84"/>
        <w:sz w:val="18"/>
        <w:szCs w:val="18"/>
      </w:rPr>
      <w:t xml:space="preserve"> of </w:t>
    </w:r>
    <w:r>
      <w:rPr>
        <w:rFonts w:ascii="Calibri" w:eastAsia="Calibri" w:hAnsi="Calibri" w:cs="Calibri"/>
        <w:color w:val="767C84"/>
        <w:sz w:val="18"/>
        <w:szCs w:val="18"/>
      </w:rPr>
      <w:fldChar w:fldCharType="begin"/>
    </w:r>
    <w:r>
      <w:rPr>
        <w:rFonts w:ascii="Calibri" w:eastAsia="Calibri" w:hAnsi="Calibri" w:cs="Calibri"/>
        <w:color w:val="767C84"/>
        <w:sz w:val="18"/>
        <w:szCs w:val="18"/>
      </w:rPr>
      <w:instrText>NUMPAGES</w:instrText>
    </w:r>
    <w:r>
      <w:rPr>
        <w:rFonts w:ascii="Calibri" w:eastAsia="Calibri" w:hAnsi="Calibri" w:cs="Calibri"/>
        <w:color w:val="767C84"/>
        <w:sz w:val="18"/>
        <w:szCs w:val="18"/>
      </w:rPr>
      <w:fldChar w:fldCharType="separate"/>
    </w:r>
    <w:r w:rsidR="00E645EF">
      <w:rPr>
        <w:rFonts w:ascii="Calibri" w:eastAsia="Calibri" w:hAnsi="Calibri" w:cs="Calibri"/>
        <w:noProof/>
        <w:color w:val="767C84"/>
        <w:sz w:val="18"/>
        <w:szCs w:val="18"/>
      </w:rPr>
      <w:t>3</w:t>
    </w:r>
    <w:r>
      <w:rPr>
        <w:rFonts w:ascii="Calibri" w:eastAsia="Calibri" w:hAnsi="Calibri" w:cs="Calibri"/>
        <w:color w:val="767C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DFE9" w14:textId="77777777" w:rsidR="00DC2929" w:rsidRDefault="00DC2929">
      <w:r>
        <w:separator/>
      </w:r>
    </w:p>
  </w:footnote>
  <w:footnote w:type="continuationSeparator" w:id="0">
    <w:p w14:paraId="7093BA0D" w14:textId="77777777" w:rsidR="00DC2929" w:rsidRDefault="00DC2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A51C" w14:textId="77777777" w:rsidR="003E387E" w:rsidRDefault="003E38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86F4" w14:textId="77777777" w:rsidR="003E387E" w:rsidRDefault="00000000">
    <w:pPr>
      <w:pBdr>
        <w:bottom w:val="single" w:sz="4" w:space="4" w:color="B7BCC2"/>
      </w:pBdr>
      <w:jc w:val="center"/>
    </w:pPr>
    <w:r>
      <w:rPr>
        <w:rFonts w:ascii="Calibri" w:eastAsia="Calibri" w:hAnsi="Calibri" w:cs="Calibri"/>
        <w:caps/>
        <w:color w:val="767C84"/>
        <w:sz w:val="18"/>
        <w:szCs w:val="18"/>
      </w:rPr>
      <w:t>Semantic, Statistical &amp; Structural RAG Retrieval Paradigms over SEC 10-K Filings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1227"/>
    <w:multiLevelType w:val="hybridMultilevel"/>
    <w:tmpl w:val="501479A8"/>
    <w:lvl w:ilvl="0" w:tplc="8DE6387C">
      <w:start w:val="1"/>
      <w:numFmt w:val="bullet"/>
      <w:lvlText w:val="•"/>
      <w:lvlJc w:val="left"/>
      <w:pPr>
        <w:ind w:left="454" w:hanging="227"/>
      </w:pPr>
    </w:lvl>
    <w:lvl w:ilvl="1" w:tplc="64266812">
      <w:numFmt w:val="decimal"/>
      <w:lvlText w:val=""/>
      <w:lvlJc w:val="left"/>
    </w:lvl>
    <w:lvl w:ilvl="2" w:tplc="D42E6C6E">
      <w:numFmt w:val="decimal"/>
      <w:lvlText w:val=""/>
      <w:lvlJc w:val="left"/>
    </w:lvl>
    <w:lvl w:ilvl="3" w:tplc="4948C26C">
      <w:numFmt w:val="decimal"/>
      <w:lvlText w:val=""/>
      <w:lvlJc w:val="left"/>
    </w:lvl>
    <w:lvl w:ilvl="4" w:tplc="36D6121E">
      <w:numFmt w:val="decimal"/>
      <w:lvlText w:val=""/>
      <w:lvlJc w:val="left"/>
    </w:lvl>
    <w:lvl w:ilvl="5" w:tplc="7FC426CE">
      <w:numFmt w:val="decimal"/>
      <w:lvlText w:val=""/>
      <w:lvlJc w:val="left"/>
    </w:lvl>
    <w:lvl w:ilvl="6" w:tplc="1C8A63CC">
      <w:numFmt w:val="decimal"/>
      <w:lvlText w:val=""/>
      <w:lvlJc w:val="left"/>
    </w:lvl>
    <w:lvl w:ilvl="7" w:tplc="00007BDE">
      <w:numFmt w:val="decimal"/>
      <w:lvlText w:val=""/>
      <w:lvlJc w:val="left"/>
    </w:lvl>
    <w:lvl w:ilvl="8" w:tplc="75A47260">
      <w:numFmt w:val="decimal"/>
      <w:lvlText w:val=""/>
      <w:lvlJc w:val="left"/>
    </w:lvl>
  </w:abstractNum>
  <w:abstractNum w:abstractNumId="1" w15:restartNumberingAfterBreak="0">
    <w:nsid w:val="73BC40F7"/>
    <w:multiLevelType w:val="hybridMultilevel"/>
    <w:tmpl w:val="2C4EEFD4"/>
    <w:lvl w:ilvl="0" w:tplc="33FEFAA4">
      <w:start w:val="1"/>
      <w:numFmt w:val="bullet"/>
      <w:lvlText w:val="●"/>
      <w:lvlJc w:val="left"/>
      <w:pPr>
        <w:ind w:left="720" w:hanging="360"/>
      </w:pPr>
    </w:lvl>
    <w:lvl w:ilvl="1" w:tplc="0478AC7E">
      <w:start w:val="1"/>
      <w:numFmt w:val="bullet"/>
      <w:lvlText w:val="○"/>
      <w:lvlJc w:val="left"/>
      <w:pPr>
        <w:ind w:left="1440" w:hanging="360"/>
      </w:pPr>
    </w:lvl>
    <w:lvl w:ilvl="2" w:tplc="0B88ADEA">
      <w:start w:val="1"/>
      <w:numFmt w:val="bullet"/>
      <w:lvlText w:val="■"/>
      <w:lvlJc w:val="left"/>
      <w:pPr>
        <w:ind w:left="2160" w:hanging="360"/>
      </w:pPr>
    </w:lvl>
    <w:lvl w:ilvl="3" w:tplc="8FDED884">
      <w:start w:val="1"/>
      <w:numFmt w:val="bullet"/>
      <w:lvlText w:val="●"/>
      <w:lvlJc w:val="left"/>
      <w:pPr>
        <w:ind w:left="2880" w:hanging="360"/>
      </w:pPr>
    </w:lvl>
    <w:lvl w:ilvl="4" w:tplc="DD78C44C">
      <w:start w:val="1"/>
      <w:numFmt w:val="bullet"/>
      <w:lvlText w:val="○"/>
      <w:lvlJc w:val="left"/>
      <w:pPr>
        <w:ind w:left="3600" w:hanging="360"/>
      </w:pPr>
    </w:lvl>
    <w:lvl w:ilvl="5" w:tplc="2A568F52">
      <w:start w:val="1"/>
      <w:numFmt w:val="bullet"/>
      <w:lvlText w:val="■"/>
      <w:lvlJc w:val="left"/>
      <w:pPr>
        <w:ind w:left="4320" w:hanging="360"/>
      </w:pPr>
    </w:lvl>
    <w:lvl w:ilvl="6" w:tplc="D6169CE0">
      <w:start w:val="1"/>
      <w:numFmt w:val="bullet"/>
      <w:lvlText w:val="●"/>
      <w:lvlJc w:val="left"/>
      <w:pPr>
        <w:ind w:left="5040" w:hanging="360"/>
      </w:pPr>
    </w:lvl>
    <w:lvl w:ilvl="7" w:tplc="EB62C106">
      <w:start w:val="1"/>
      <w:numFmt w:val="bullet"/>
      <w:lvlText w:val="●"/>
      <w:lvlJc w:val="left"/>
      <w:pPr>
        <w:ind w:left="5760" w:hanging="360"/>
      </w:pPr>
    </w:lvl>
    <w:lvl w:ilvl="8" w:tplc="BEC4E5E0">
      <w:start w:val="1"/>
      <w:numFmt w:val="bullet"/>
      <w:lvlText w:val="●"/>
      <w:lvlJc w:val="left"/>
      <w:pPr>
        <w:ind w:left="6480" w:hanging="360"/>
      </w:pPr>
    </w:lvl>
  </w:abstractNum>
  <w:num w:numId="1" w16cid:durableId="874124432">
    <w:abstractNumId w:val="1"/>
    <w:lvlOverride w:ilvl="0">
      <w:startOverride w:val="1"/>
    </w:lvlOverride>
  </w:num>
  <w:num w:numId="2" w16cid:durableId="2091392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87E"/>
    <w:rsid w:val="0005556E"/>
    <w:rsid w:val="00083725"/>
    <w:rsid w:val="00090D0C"/>
    <w:rsid w:val="000B46F7"/>
    <w:rsid w:val="000C1D22"/>
    <w:rsid w:val="00155609"/>
    <w:rsid w:val="001F56A0"/>
    <w:rsid w:val="003C48F1"/>
    <w:rsid w:val="003E387E"/>
    <w:rsid w:val="004C2B45"/>
    <w:rsid w:val="005F5F8E"/>
    <w:rsid w:val="00807DF3"/>
    <w:rsid w:val="00914064"/>
    <w:rsid w:val="00AE43CD"/>
    <w:rsid w:val="00B81957"/>
    <w:rsid w:val="00C27E6E"/>
    <w:rsid w:val="00CC10D0"/>
    <w:rsid w:val="00D4027E"/>
    <w:rsid w:val="00D7358B"/>
    <w:rsid w:val="00DC2929"/>
    <w:rsid w:val="00E07A15"/>
    <w:rsid w:val="00E645EF"/>
    <w:rsid w:val="00EC2192"/>
    <w:rsid w:val="00F1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B9FFF"/>
  <w15:docId w15:val="{043A51BB-A09F-3741-AE6A-A1ABB94BD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1A1D21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40" w:after="220"/>
      <w:outlineLvl w:val="0"/>
    </w:pPr>
    <w:rPr>
      <w:rFonts w:ascii="Calibri" w:eastAsia="Calibri" w:hAnsi="Calibri" w:cs="Calibri"/>
      <w:b/>
      <w:bCs/>
      <w:color w:val="0A1F33"/>
      <w:sz w:val="40"/>
      <w:szCs w:val="40"/>
    </w:rPr>
  </w:style>
  <w:style w:type="paragraph" w:styleId="Heading2">
    <w:name w:val="heading 2"/>
    <w:uiPriority w:val="9"/>
    <w:unhideWhenUsed/>
    <w:qFormat/>
    <w:pPr>
      <w:keepNext/>
      <w:keepLines/>
      <w:spacing w:before="260" w:after="140"/>
      <w:outlineLvl w:val="1"/>
    </w:pPr>
    <w:rPr>
      <w:rFonts w:ascii="Calibri" w:eastAsia="Calibri" w:hAnsi="Calibri" w:cs="Calibri"/>
      <w:b/>
      <w:bCs/>
      <w:color w:val="15406B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45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45E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Ojaswi Athghara</cp:lastModifiedBy>
  <cp:revision>18</cp:revision>
  <dcterms:created xsi:type="dcterms:W3CDTF">2026-06-25T10:18:00Z</dcterms:created>
  <dcterms:modified xsi:type="dcterms:W3CDTF">2026-06-26T00:13:00Z</dcterms:modified>
</cp:coreProperties>
</file>