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line="276"/>
        <w:jc w:val="center"/>
      </w:pPr>
      <w:r>
        <w:rPr>
          <w:rFonts w:ascii="Times New Roman" w:cs="Times New Roman" w:eastAsia="Times New Roman" w:hAnsi="Times New Roman"/>
          <w:b w:val="false"/>
          <w:bCs w:val="false"/>
          <w:sz w:val="48"/>
          <w:szCs w:val="48"/>
        </w:rPr>
        <w:t xml:space="preserve">RL-Based Mixed-Criticality RTOS Scheduler: From PPO Training to Bare-Metal Deployment</w:t>
      </w:r>
    </w:p>
    <w:p>
      <w:pPr>
        <w:spacing w:after="40" w:before="0" w:line="240"/>
        <w:jc w:val="center"/>
      </w:pPr>
      <w:r>
        <w:rPr>
          <w:rFonts w:ascii="Times New Roman" w:cs="Times New Roman" w:eastAsia="Times New Roman" w:hAnsi="Times New Roman"/>
          <w:sz w:val="22"/>
          <w:szCs w:val="22"/>
        </w:rPr>
        <w:t xml:space="preserve">Arnav Jyoti, Breeti Bandyopadhyay, Daksh Jain, Ojasw Kant</w:t>
      </w:r>
    </w:p>
    <w:p>
      <w:pPr>
        <w:spacing w:after="40" w:before="0" w:line="240"/>
        <w:jc w:val="center"/>
      </w:pPr>
      <w:r>
        <w:rPr>
          <w:rFonts w:ascii="Times New Roman" w:cs="Times New Roman" w:eastAsia="Times New Roman" w:hAnsi="Times New Roman"/>
          <w:sz w:val="22"/>
          <w:szCs w:val="22"/>
        </w:rPr>
        <w:t xml:space="preserve">2410110071, 2410110105, 2410110113, 2410110226  |  Group 35</w:t>
      </w:r>
    </w:p>
    <w:p>
      <w:pPr>
        <w:spacing w:after="40" w:before="0" w:line="240"/>
        <w:jc w:val="center"/>
      </w:pPr>
      <w:r>
        <w:rPr>
          <w:rFonts w:ascii="Times New Roman" w:cs="Times New Roman" w:eastAsia="Times New Roman" w:hAnsi="Times New Roman"/>
          <w:i/>
          <w:iCs/>
          <w:sz w:val="20"/>
          <w:szCs w:val="20"/>
        </w:rPr>
        <w:t xml:space="preserve">Department of Computer Science and Engineering</w:t>
      </w:r>
    </w:p>
    <w:p>
      <w:pPr>
        <w:spacing w:after="40" w:before="0" w:line="240"/>
        <w:jc w:val="center"/>
      </w:pPr>
      <w:r>
        <w:rPr>
          <w:rFonts w:ascii="Times New Roman" w:cs="Times New Roman" w:eastAsia="Times New Roman" w:hAnsi="Times New Roman"/>
          <w:i/>
          <w:iCs/>
          <w:sz w:val="20"/>
          <w:szCs w:val="20"/>
        </w:rPr>
        <w:t xml:space="preserve">Shiv Nadar Institute of Eminence, Delhi NCR, India</w:t>
      </w:r>
    </w:p>
    <w:p>
      <w:pPr>
        <w:spacing w:after="100" w:before="0" w:line="240"/>
      </w:pPr>
      <w:r>
        <w:rPr>
          <w:rFonts w:ascii="Times New Roman" w:cs="Times New Roman" w:eastAsia="Times New Roman" w:hAnsi="Times New Roman"/>
          <w:sz w:val="20"/>
          <w:szCs w:val="20"/>
        </w:rPr>
        <w:t xml:space="preserve"/>
      </w:r>
    </w:p>
    <w:p>
      <w:pPr>
        <w:spacing w:after="0" w:before="0" w:line="220"/>
        <w:ind w:left="500" w:right="500"/>
        <w:jc w:val="both"/>
      </w:pPr>
      <w:r>
        <w:rPr>
          <w:rFonts w:ascii="Times New Roman" w:cs="Times New Roman" w:eastAsia="Times New Roman" w:hAnsi="Times New Roman"/>
          <w:b/>
          <w:bCs/>
          <w:i/>
          <w:iCs/>
          <w:sz w:val="18"/>
          <w:szCs w:val="18"/>
        </w:rPr>
        <w:t xml:space="preserve">Abstract—Classical real-time schedulers such as EDF (Earliest Deadline First) and RMS (Rate Monotonic Scheduling) are provably optimal for uniprocessor workloads with uniform criticality and utilization ≤1, but degrade systematically under two realistic conditions: mixed criticality, where tasks carry different safety importance, and overload (U&gt;1), where deadline misses are unavoidable and the scheduler must choose which tasks to sacrifice. We train a PPO reinforcement learning agent with asymmetric criticality rewards (5× penalty for HI-critical (high-criticality) misses) using a 3-phase curriculum strategy and deploy the learned policy as a Q10 fixed-point integer neural network (Q10: 10 fractional bits, scale factor 1024) inside the timer interrupt handler of two real operating systems: a bare-metal ARM Cortex-M4 RTOS (Real-Time Operating System) in Rust and MIT’s xv6-riscv teaching OS. On the Vestal (2007) inverted-priority mixed-criticality taskset, the RL policy achieves 0 HI-critical misses versus EDF’s 5 and RMS’s 8 on xv6. On hard overload simulation (U = 1.87), the policy achieves 59% fewer critical misses than EDF and 96% fewer than Round Robin. Code footprint is 5.1 KB on ARM and 54 KB in the xv6 kernel including weights, with inference completing in under one scheduler tick.</w:t>
      </w:r>
    </w:p>
    <w:p>
      <w:pPr>
        <w:spacing w:after="40" w:before="0" w:line="240"/>
      </w:pPr>
      <w:r>
        <w:rPr>
          <w:rFonts w:ascii="Times New Roman" w:cs="Times New Roman" w:eastAsia="Times New Roman" w:hAnsi="Times New Roman"/>
          <w:sz w:val="20"/>
          <w:szCs w:val="20"/>
        </w:rPr>
        <w:t xml:space="preserve"/>
      </w:r>
    </w:p>
    <w:p>
      <w:pPr>
        <w:spacing w:after="0" w:before="0" w:line="220"/>
        <w:ind w:left="500" w:right="500"/>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sz w:val="18"/>
          <w:szCs w:val="18"/>
        </w:rPr>
        <w:t xml:space="preserve">real-time scheduling, mixed criticality, reinforcement learning, proximal policy optimization, embedded systems, RTOS, Vestal failure mode, fixed-point inference.</w:t>
      </w:r>
    </w:p>
    <w:p>
      <w:pPr>
        <w:spacing w:after="80" w:before="0" w:line="240"/>
      </w:pPr>
      <w:r>
        <w:rPr>
          <w:rFonts w:ascii="Times New Roman" w:cs="Times New Roman" w:eastAsia="Times New Roman" w:hAnsi="Times New Roman"/>
          <w:sz w:val="20"/>
          <w:szCs w:val="20"/>
        </w:rPr>
        <w:t xml:space="preserve"/>
      </w:r>
    </w:p>
    <w:p>
      <w:pPr>
        <w:pBdr>
          <w:bottom w:val="single" w:color="000000" w:sz="6"/>
        </w:pBdr>
        <w:spacing w:after="60" w:before="60"/>
      </w:pPr>
    </w:p>
    <w:p>
      <w:pPr>
        <w:sectPr>
          <w:footerReference w:type="default" r:id="rId7"/>
          <w:pgSz w:w="12240" w:h="15840" w:orient="portrait"/>
          <w:pgMar w:top="1080" w:right="900" w:bottom="1440" w:left="900" w:header="708" w:footer="708" w:gutter="0"/>
          <w:pgNumType/>
          <w:cols w:num="1"/>
          <w:docGrid w:linePitch="360"/>
        </w:sectPr>
      </w:pPr>
    </w:p>
    <w:p>
      <w:pPr>
        <w:spacing w:after="60" w:before="120" w:line="240"/>
        <w:jc w:val="center"/>
      </w:pPr>
      <w:r>
        <w:rPr>
          <w:rFonts w:ascii="Times New Roman" w:cs="Times New Roman" w:eastAsia="Times New Roman" w:hAnsi="Times New Roman"/>
          <w:b/>
          <w:bCs/>
          <w:smallCaps/>
          <w:sz w:val="20"/>
          <w:szCs w:val="20"/>
        </w:rPr>
        <w:t xml:space="preserve">I. INTRODUCTION</w:t>
      </w:r>
    </w:p>
    <w:p>
      <w:pPr>
        <w:spacing w:after="60" w:before="0" w:line="240"/>
      </w:pPr>
      <w:r>
        <w:rPr>
          <w:rFonts w:ascii="Times New Roman" w:cs="Times New Roman" w:eastAsia="Times New Roman" w:hAnsi="Times New Roman"/>
          <w:b/>
          <w:bCs/>
          <w:sz w:val="20"/>
          <w:szCs w:val="20"/>
        </w:rPr>
        <w:t xml:space="preserve">E</w:t>
      </w:r>
      <w:r>
        <w:rPr>
          <w:rFonts w:ascii="Times New Roman" w:cs="Times New Roman" w:eastAsia="Times New Roman" w:hAnsi="Times New Roman"/>
          <w:sz w:val="20"/>
          <w:szCs w:val="20"/>
        </w:rPr>
        <w:t xml:space="preserve">DF is provably optimal for deadline misses on a single core when all tasks have equal importance and utilization ≤1 [1]. Real embedded systems routinely violate both assumptions. </w:t>
      </w:r>
    </w:p>
    <w:p>
      <w:pPr>
        <w:spacing w:after="60" w:before="0" w:line="240"/>
      </w:pPr>
      <w:r>
        <w:rPr>
          <w:rFonts w:ascii="Times New Roman" w:cs="Times New Roman" w:eastAsia="Times New Roman" w:hAnsi="Times New Roman"/>
          <w:sz w:val="20"/>
          <w:szCs w:val="20"/>
        </w:rPr>
        <w:t xml:space="preserve">First, mixed-criticality systems assign different safety levels to tasks—HI-critical (high-criticality, safety-essential) and LO-soft (low-criticality, expendable)—: flight attitude control must never miss its deadline; telemetry logging is expendable. EDF treats all deadlines identically and cannot encode this distinction. Second, safety-critical embedded systems are routinely designed with superutilization (U &gt; 1) [2]: worst-case execution times are rarely achieved simultaneously, so the system meets its deadlines under normal conditions but the scheduler must make principled choices during worst-case bursts. EDF's greedy nearest-deadline heuristic has no concept of task importance; it will sacrifice a safety-critical task with a far deadline to serve a soft task with a near deadline.</w:t>
      </w:r>
    </w:p>
    <w:p>
      <w:pPr>
        <w:spacing w:after="60" w:before="0" w:line="240"/>
      </w:pPr>
      <w:r>
        <w:rPr>
          <w:rFonts w:ascii="Times New Roman" w:cs="Times New Roman" w:eastAsia="Times New Roman" w:hAnsi="Times New Roman"/>
          <w:sz w:val="20"/>
          <w:szCs w:val="20"/>
        </w:rPr>
        <w:t xml:space="preserve">Vestal (2007) [2] formalized this failure mode: when HI-critical tasks have longer periods than LO-soft tasks (the inverted-priority scenario), EDF perpetually selects LO tasks first (nearer deadlines), starving HI tasks entirely. This is not a pathological edge case—it arises naturally in applications such as drone flight controllers, where safety-critical IMU and PID loops have fixed high-frequency periods while soft telemetry and logging tasks run at shorter burst intervals.</w:t>
      </w:r>
    </w:p>
    <w:p>
      <w:pPr>
        <w:spacing w:after="60" w:before="0" w:line="240"/>
      </w:pPr>
      <w:r>
        <w:rPr>
          <w:rFonts w:ascii="Times New Roman" w:cs="Times New Roman" w:eastAsia="Times New Roman" w:hAnsi="Times New Roman"/>
          <w:sz w:val="20"/>
          <w:szCs w:val="20"/>
        </w:rPr>
        <w:t xml:space="preserve">This paper presents an end-to-end system that trains a PPO reinforcement learning agent to act as a mixed-criticality RTOS scheduler and deploys the learned policy as a Q10 fixed-point integer neural network on bare metal. The agent receives asymmetric rewards (5× penalty for HI-critical misses) and is trained with a 3-phase curriculum, learning first to respond to urgency signals and then to override them in favor of criticality. The trained policy is exported as integer arrays and runs identically in a bare-metal ARM Cortex-M4 RTOS (Rust) and MIT's xv6-riscv OS (C), executing 72 integer multiply-accumulate operations per scheduler tick with no floating-point hardware and no external runtime.</w:t>
      </w:r>
    </w:p>
    <w:p>
      <w:pPr>
        <w:spacing w:after="60" w:before="0" w:line="240"/>
      </w:pPr>
      <w:r>
        <w:rPr>
          <w:rFonts w:ascii="Times New Roman" w:cs="Times New Roman" w:eastAsia="Times New Roman" w:hAnsi="Times New Roman"/>
          <w:sz w:val="20"/>
          <w:szCs w:val="20"/>
        </w:rPr>
        <w:t xml:space="preserve">The main contributions are: (1) a Gymnasium-compatible RTOS simulation environment with mixed criticality and curriculum learning; (2) an end-to-end Q10 fixed-point export pipeline for kernel deployment; (3) full integration of five runtime-switchable schedulers into xv6-riscv with new syscalls and starvation prevention; and (4) empirical evaluation across 35 scheduler×taskset combinations confirming Vestal's theoretical predictions.</w:t>
      </w:r>
    </w:p>
    <w:p>
      <w:pPr>
        <w:spacing w:after="60" w:before="120" w:line="240"/>
        <w:jc w:val="center"/>
      </w:pPr>
      <w:r>
        <w:rPr>
          <w:rFonts w:ascii="Times New Roman" w:cs="Times New Roman" w:eastAsia="Times New Roman" w:hAnsi="Times New Roman"/>
          <w:b/>
          <w:bCs/>
          <w:smallCaps/>
          <w:sz w:val="20"/>
          <w:szCs w:val="20"/>
        </w:rPr>
        <w:t xml:space="preserve">II. RELATED WORK</w:t>
      </w:r>
    </w:p>
    <w:p>
      <w:pPr>
        <w:spacing w:after="40" w:before="80" w:line="240"/>
      </w:pPr>
      <w:r>
        <w:rPr>
          <w:rFonts w:ascii="Times New Roman" w:cs="Times New Roman" w:eastAsia="Times New Roman" w:hAnsi="Times New Roman"/>
          <w:b/>
          <w:bCs/>
          <w:i/>
          <w:iCs/>
          <w:sz w:val="20"/>
          <w:szCs w:val="20"/>
        </w:rPr>
        <w:t xml:space="preserve">A. Classical Real-Time Scheduling</w:t>
      </w:r>
    </w:p>
    <w:p>
      <w:pPr>
        <w:spacing w:after="60" w:before="0" w:line="240"/>
      </w:pPr>
      <w:r>
        <w:rPr>
          <w:rFonts w:ascii="Times New Roman" w:cs="Times New Roman" w:eastAsia="Times New Roman" w:hAnsi="Times New Roman"/>
          <w:sz w:val="20"/>
          <w:szCs w:val="20"/>
        </w:rPr>
        <w:t xml:space="preserve">Liu &amp; Layland [1] proved EDF optimal for uniprocessor implicit-deadline periodic tasks when U≤1 and all tasks are equally important. Rate Monotonic Scheduling (RMS) [1] assigns static priorities by period; it is optimal among fixed-priority schedulers with the same constraints. Our results confirm both: on uniform-criticality tasksets with U &lt; 1, EDF and RMS achieve 0 misses, matching the NN policy. The contribution of this work lies in the regime where Liu &amp; Layland's assumptions break.</w:t>
      </w:r>
    </w:p>
    <w:p>
      <w:pPr>
        <w:spacing w:after="60" w:before="0" w:line="240"/>
      </w:pPr>
      <w:r>
        <w:rPr>
          <w:rFonts w:ascii="Times New Roman" w:cs="Times New Roman" w:eastAsia="Times New Roman" w:hAnsi="Times New Roman"/>
          <w:sz w:val="20"/>
          <w:szCs w:val="20"/>
        </w:rPr>
        <w:t xml:space="preserve">Vestal [2] introduced the mixed-criticality model and demonstrated that EDF fails to protect HI-critical tasks when their periods are longer than LO-soft tasks under superutilization—the inverted-priority scenario. Our experimental results directly confirm this prediction on both Python simulation and live xv6-riscv execution.</w:t>
      </w:r>
    </w:p>
    <w:p>
      <w:pPr>
        <w:spacing w:after="40" w:before="80" w:line="240"/>
      </w:pPr>
      <w:r>
        <w:rPr>
          <w:rFonts w:ascii="Times New Roman" w:cs="Times New Roman" w:eastAsia="Times New Roman" w:hAnsi="Times New Roman"/>
          <w:b/>
          <w:bCs/>
          <w:i/>
          <w:iCs/>
          <w:sz w:val="20"/>
          <w:szCs w:val="20"/>
        </w:rPr>
        <w:t xml:space="preserve">B. RL for Scheduling</w:t>
      </w:r>
    </w:p>
    <w:p>
      <w:pPr>
        <w:spacing w:after="60" w:before="0" w:line="240"/>
      </w:pPr>
      <w:r>
        <w:rPr>
          <w:rFonts w:ascii="Times New Roman" w:cs="Times New Roman" w:eastAsia="Times New Roman" w:hAnsi="Times New Roman"/>
          <w:sz w:val="20"/>
          <w:szCs w:val="20"/>
        </w:rPr>
        <w:t xml:space="preserve">DeepRM [6] and Decima [7] apply deep RL to data-center job scheduling, demonstrating that learned policies outperform hand-tuned heuristics for cluster bin-packing and DAG scheduling. However, both targets differ fundamentally from hard real-time embedded systems: they operate at millisecond-to-second decision intervals, use Python/TensorFlow inference, and do not encode task criticality. Our policy must complete inference in under 1 ms on a microcontroller without an FPU; the Q10 fixed-point MLP is purpose-built for this constraint. To our knowledge, this work is the first to deploy a PPO-trained scheduler as Q10 integer arrays inside a kernel interrupt handler.</w:t>
      </w:r>
    </w:p>
    <w:p>
      <w:pPr>
        <w:spacing w:after="40" w:before="80" w:line="240"/>
      </w:pPr>
      <w:r>
        <w:rPr>
          <w:rFonts w:ascii="Times New Roman" w:cs="Times New Roman" w:eastAsia="Times New Roman" w:hAnsi="Times New Roman"/>
          <w:b/>
          <w:bCs/>
          <w:i/>
          <w:iCs/>
          <w:sz w:val="20"/>
          <w:szCs w:val="20"/>
        </w:rPr>
        <w:t xml:space="preserve">C. Multi-Level Feedback Queue</w:t>
      </w:r>
    </w:p>
    <w:p>
      <w:pPr>
        <w:spacing w:after="60" w:before="0" w:line="240"/>
      </w:pPr>
      <w:r>
        <w:rPr>
          <w:rFonts w:ascii="Times New Roman" w:cs="Times New Roman" w:eastAsia="Times New Roman" w:hAnsi="Times New Roman"/>
          <w:sz w:val="20"/>
          <w:szCs w:val="20"/>
        </w:rPr>
        <w:t xml:space="preserve">MLFQ [8] is the closest classical scheduler to “adaptive” behavior and the default in macOS (BSD). It demotes CPU-bound tasks to lower priority queues and promotes them via aging. We implement MLFQ as mode 4 in xv6 (4 queues, aging every 100 ticks). Our results show a fundamental incompatibility with hard real-time mixed-criticality workloads: any task whose WCET exceeds the Q0 quantum (2 ticks) is demoted on first execution, making MLFQ unable to distinguish a safety-critical sensor loop from a background logger. On the drone benchmark, MLFQ produces 50 HI-critical misses—identical to Round Robin.</w:t>
      </w:r>
    </w:p>
    <w:p>
      <w:pPr>
        <w:spacing w:after="60" w:before="120" w:line="240"/>
        <w:jc w:val="center"/>
      </w:pPr>
      <w:r>
        <w:rPr>
          <w:rFonts w:ascii="Times New Roman" w:cs="Times New Roman" w:eastAsia="Times New Roman" w:hAnsi="Times New Roman"/>
          <w:b/>
          <w:bCs/>
          <w:smallCaps/>
          <w:sz w:val="20"/>
          <w:szCs w:val="20"/>
        </w:rPr>
        <w:t xml:space="preserve">III. SYSTEM ARCHITECTURE</w:t>
      </w:r>
    </w:p>
    <w:p>
      <w:pPr>
        <w:spacing w:after="60" w:before="0" w:line="240"/>
      </w:pPr>
      <w:r>
        <w:rPr>
          <w:rFonts w:ascii="Times New Roman" w:cs="Times New Roman" w:eastAsia="Times New Roman" w:hAnsi="Times New Roman"/>
          <w:sz w:val="20"/>
          <w:szCs w:val="20"/>
        </w:rPr>
        <w:t xml:space="preserve">The system spans three layers: a Python training environment, a bare-metal ARM Cortex-M4 RTOS in Rust, and the xv6-riscv OS in C. The same Q10 fixed-point weights run on both hardware targets without modification.</w:t>
      </w:r>
    </w:p>
    <w:p>
      <w:pPr>
        <w:spacing w:after="40" w:before="80" w:line="240"/>
      </w:pPr>
      <w:r>
        <w:rPr>
          <w:rFonts w:ascii="Times New Roman" w:cs="Times New Roman" w:eastAsia="Times New Roman" w:hAnsi="Times New Roman"/>
          <w:b/>
          <w:bCs/>
          <w:i/>
          <w:iCs/>
          <w:sz w:val="20"/>
          <w:szCs w:val="20"/>
        </w:rPr>
        <w:t xml:space="preserve">A. Python Training Environment</w:t>
      </w:r>
    </w:p>
    <w:p>
      <w:pPr>
        <w:spacing w:after="60" w:before="0" w:line="240"/>
      </w:pPr>
      <w:r>
        <w:rPr>
          <w:rFonts w:ascii="Times New Roman" w:cs="Times New Roman" w:eastAsia="Times New Roman" w:hAnsi="Times New Roman"/>
          <w:sz w:val="20"/>
          <w:szCs w:val="20"/>
        </w:rPr>
        <w:t xml:space="preserve">The training environment is a Gymnasium-compatible RTOS simulation. Key design decisions:</w:t>
      </w:r>
    </w:p>
    <w:p>
      <w:pPr>
        <w:spacing w:after="30" w:before="0" w:line="240"/>
        <w:ind w:left="280" w:hanging="20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RandomRTOSEnv: fresh random taskset every episode, forcing generalization and preventing period-distribution overfitting.</w:t>
      </w:r>
    </w:p>
    <w:p>
      <w:pPr>
        <w:spacing w:after="30" w:before="0" w:line="240"/>
        <w:ind w:left="280" w:hanging="20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3-phase curriculum: U = 1.03 → 1.57 → 1.87. Phase 1 teaches urgency response; phase 3 teaches criticality override.</w:t>
      </w:r>
    </w:p>
    <w:p>
      <w:pPr>
        <w:spacing w:after="30" w:before="0" w:line="240"/>
        <w:ind w:left="280" w:hanging="20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Variable execution: actual exec ∈ [WCET/2, WCET] per job; NN observes remaining_work.</w:t>
      </w:r>
    </w:p>
    <w:p>
      <w:pPr>
        <w:spacing w:after="30" w:before="0" w:line="240"/>
        <w:ind w:left="280" w:hanging="20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Asymmetric reward: HI-critical miss = −5 per episode; LO-soft miss = −1. Completion = +1.</w:t>
      </w:r>
    </w:p>
    <w:p>
      <w:pPr>
        <w:spacing w:after="30" w:before="0" w:line="240"/>
        <w:ind w:left="280" w:hanging="20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Multi-objective terms: completions, misses, urgency, starvation penalty, jitter, context-switch cost.</w:t>
      </w:r>
    </w:p>
    <w:p>
      <w:pPr>
        <w:spacing w:after="60" w:before="0" w:line="240"/>
      </w:pPr>
      <w:r>
        <w:rPr>
          <w:rFonts w:ascii="Times New Roman" w:cs="Times New Roman" w:eastAsia="Times New Roman" w:hAnsi="Times New Roman"/>
          <w:sz w:val="20"/>
          <w:szCs w:val="20"/>
        </w:rPr>
        <w:t xml:space="preserve">Training uses PPO (stable-baselines3) for 2M timesteps with clipped surrogate objective (ε = 0.2). A 108-configuration hyperparameter sweep was conducted over learning rate, entropy coefficient, and network width. PPO was chosen over DQN (avoids value-network export complexity) and A3C (avoids non-deterministic gradient accumulation incompatible with curriculum phase transitions).</w:t>
      </w:r>
      <w:r>
        <w:rPr>
          <w:rFonts w:ascii="Times New Roman" w:cs="Times New Roman" w:eastAsia="Times New Roman" w:hAnsi="Times New Roman"/>
          <w:sz w:val="20"/>
          <w:szCs w:val="20"/>
        </w:rPr>
        <w:t xml:space="preserve"> The trained policy is thereafter referred to as NN throughout this paper (PPO is the training algorithm; NN is the deployed artifact).</w:t>
      </w:r>
    </w:p>
    <w:p>
      <w:pPr>
        <w:spacing w:after="40" w:before="80" w:line="240"/>
      </w:pPr>
      <w:r>
        <w:rPr>
          <w:rFonts w:ascii="Times New Roman" w:cs="Times New Roman" w:eastAsia="Times New Roman" w:hAnsi="Times New Roman"/>
          <w:b/>
          <w:bCs/>
          <w:i/>
          <w:iCs/>
          <w:sz w:val="20"/>
          <w:szCs w:val="20"/>
        </w:rPr>
        <w:t xml:space="preserve">B. Bare-Metal ARM Cortex-M4 RTOS</w:t>
      </w:r>
    </w:p>
    <w:p>
      <w:pPr>
        <w:spacing w:after="60" w:before="0" w:line="240"/>
      </w:pPr>
      <w:r>
        <w:rPr>
          <w:rFonts w:ascii="Times New Roman" w:cs="Times New Roman" w:eastAsia="Times New Roman" w:hAnsi="Times New Roman"/>
          <w:sz w:val="20"/>
          <w:szCs w:val="20"/>
        </w:rPr>
        <w:t xml:space="preserve">The ARM target is a no_std Rust program for the STM32F411 (emulated in QEMU). Preemption uses ARM exception mechanisms:</w:t>
      </w:r>
    </w:p>
    <w:p>
      <w:pPr>
        <w:spacing w:after="30" w:before="0" w:line="240"/>
        <w:ind w:left="280" w:hanging="20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SysTick (1 ms tick): deadline checking, job releases, NN inference, PendSV trigger.</w:t>
      </w:r>
    </w:p>
    <w:p>
      <w:pPr>
        <w:spacing w:after="30" w:before="0" w:line="240"/>
        <w:ind w:left="280" w:hanging="20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PendSV: assembly context switch—saves/restores r4–r11, swaps stack pointers.</w:t>
      </w:r>
    </w:p>
    <w:p>
      <w:pPr>
        <w:spacing w:after="30" w:before="0" w:line="240"/>
        <w:ind w:left="280" w:hanging="20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Per-task stacks: 6×1 KB + idle, initialized with Cortex-M exception frames.</w:t>
      </w:r>
    </w:p>
    <w:p>
      <w:pPr>
        <w:spacing w:after="30" w:before="0" w:line="240"/>
        <w:ind w:left="280" w:hanging="20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Binary: 5.1 KB code + 6.7 KB RAM. Fits STM32F411 (512 KB flash, 128 KB RAM).</w:t>
      </w:r>
    </w:p>
    <w:p>
      <w:pPr>
        <w:spacing w:after="40" w:before="80" w:line="240"/>
      </w:pPr>
      <w:r>
        <w:rPr>
          <w:rFonts w:ascii="Times New Roman" w:cs="Times New Roman" w:eastAsia="Times New Roman" w:hAnsi="Times New Roman"/>
          <w:b/>
          <w:bCs/>
          <w:i/>
          <w:iCs/>
          <w:sz w:val="20"/>
          <w:szCs w:val="20"/>
        </w:rPr>
        <w:t xml:space="preserve">C. xv6-riscv Integration</w:t>
      </w:r>
    </w:p>
    <w:p>
      <w:pPr>
        <w:spacing w:after="60" w:before="0" w:line="240"/>
      </w:pPr>
      <w:r>
        <w:rPr>
          <w:rFonts w:ascii="Times New Roman" w:cs="Times New Roman" w:eastAsia="Times New Roman" w:hAnsi="Times New Roman"/>
          <w:sz w:val="20"/>
          <w:szCs w:val="20"/>
        </w:rPr>
        <w:t xml:space="preserve">The xv6 integration adds a three-tier scheduler to MIT's RISC-V teaching OS: Tier 0 handles RT task cleanup; Tier 1 dispatches via the selected scheduler mode; Tier 2 provides starvation-prevention round-robin for non-RT processes (shell, init). Five new syscalls expose RT functionality: rtregister, rtjobdone, rtstats, setscheduler (modes 0–4), and rtremaining. The scheduler mode is switchable at runtime without reboot. The kernel compiles to 54 KB with Q10 weights baked in; all existing xv6 programs execute unmodified.</w:t>
      </w:r>
    </w:p>
    <w:p>
      <w:pPr>
        <w:spacing w:after="40" w:before="80" w:line="240"/>
      </w:pPr>
      <w:r>
        <w:rPr>
          <w:rFonts w:ascii="Times New Roman" w:cs="Times New Roman" w:eastAsia="Times New Roman" w:hAnsi="Times New Roman"/>
          <w:b/>
          <w:bCs/>
          <w:i/>
          <w:iCs/>
          <w:sz w:val="20"/>
          <w:szCs w:val="20"/>
        </w:rPr>
        <w:t xml:space="preserve">D. Neural Network and Deployment</w:t>
      </w:r>
    </w:p>
    <w:p>
      <w:pPr>
        <w:spacing w:after="60" w:before="0" w:line="240"/>
      </w:pPr>
      <w:r>
        <w:rPr>
          <w:rFonts w:ascii="Times New Roman" w:cs="Times New Roman" w:eastAsia="Times New Roman" w:hAnsi="Times New Roman"/>
          <w:sz w:val="20"/>
          <w:szCs w:val="20"/>
        </w:rPr>
        <w:t xml:space="preserve">The actor network is a 24→32→32→7 MLP (multilayer perceptron) with ReLU activations. Each of 6 task slots contributes 4 Q10 fixed-point features: time_to_deadline, time_since_scheduled, remaining_ratio, and urgency_rank, each normalized to [0, 1024]. Inference performs 72 integer multiply-accumulate operations per tick in int32_t with saturation on overflow. Weights are exported via export_weights.py, which patches both src/policy.rs (Rust) and kernel/policy.c (C) simultaneously. The critic network is discarded at deployment.</w:t>
      </w:r>
    </w:p>
    <w:p>
      <w:pPr>
        <w:spacing w:after="60" w:before="120" w:line="240"/>
        <w:jc w:val="center"/>
      </w:pPr>
      <w:r>
        <w:rPr>
          <w:rFonts w:ascii="Times New Roman" w:cs="Times New Roman" w:eastAsia="Times New Roman" w:hAnsi="Times New Roman"/>
          <w:b/>
          <w:bCs/>
          <w:smallCaps/>
          <w:sz w:val="20"/>
          <w:szCs w:val="20"/>
        </w:rPr>
        <w:t xml:space="preserve">IV. EXPERIMENTAL SETUP</w:t>
      </w:r>
    </w:p>
    <w:p>
      <w:pPr>
        <w:spacing w:after="60" w:before="0" w:line="240"/>
      </w:pPr>
      <w:r>
        <w:rPr>
          <w:rFonts w:ascii="Times New Roman" w:cs="Times New Roman" w:eastAsia="Times New Roman" w:hAnsi="Times New Roman"/>
          <w:sz w:val="20"/>
          <w:szCs w:val="20"/>
        </w:rPr>
        <w:t xml:space="preserve">All xv6 experiments run on QEMU qemu-system-riscv64 with CPUS=1. ARM experiments run on qemu-system-arm -machine lm3s6965evb. Python experiments average results over 20 evaluation episodes per scheduler.</w:t>
      </w:r>
    </w:p>
    <w:p>
      <w:pPr>
        <w:spacing w:after="40" w:before="80" w:line="240"/>
        <w:jc w:val="center"/>
      </w:pPr>
      <w:r>
        <w:rPr>
          <w:rFonts w:ascii="Times New Roman" w:cs="Times New Roman" w:eastAsia="Times New Roman" w:hAnsi="Times New Roman"/>
          <w:b/>
          <w:bCs/>
          <w:caps/>
          <w:sz w:val="16"/>
          <w:szCs w:val="16"/>
        </w:rPr>
        <w:t xml:space="preserve">Table I
Python Simulation Tasksets</w:t>
      </w:r>
    </w:p>
    <w:tbl>
      <w:tblPr>
        <w:tblW w:type="dxa" w:w="4540"/>
        <w:tblBorders>
          <w:top w:val="single" w:color="auto" w:sz="4"/>
          <w:left w:val="single" w:color="auto" w:sz="4"/>
          <w:bottom w:val="single" w:color="auto" w:sz="4"/>
          <w:right w:val="single" w:color="auto" w:sz="4"/>
          <w:insideH w:val="single" w:color="auto" w:sz="4"/>
          <w:insideV w:val="single" w:color="auto" w:sz="4"/>
        </w:tblBorders>
      </w:tblPr>
      <w:tblGrid>
        <w:gridCol w:w="1400"/>
        <w:gridCol w:w="480"/>
        <w:gridCol w:w="2660"/>
      </w:tblGrid>
      <w:tr>
        <w:tc>
          <w:tcPr>
            <w:tcW w:type="dxa" w:w="1400"/>
            <w:tcBorders>
              <w:top w:val="single" w:color="AAAAAA" w:sz="4"/>
              <w:left w:val="single" w:color="AAAAAA" w:sz="4"/>
              <w:bottom w:val="single" w:color="AAAAAA" w:sz="4"/>
              <w:right w:val="single" w:color="AAAAAA" w:sz="4"/>
            </w:tcBorders>
            <w:shd w:fill="E8E8E8" w:val="clear"/>
            <w:tcMar>
              <w:top w:type="dxa" w:w="40"/>
              <w:left w:type="dxa" w:w="80"/>
              <w:bottom w:type="dxa" w:w="40"/>
              <w:right w:type="dxa" w:w="80"/>
            </w:tcMar>
          </w:tcPr>
          <w:p>
            <w:pPr>
              <w:spacing w:after="0" w:before="0"/>
            </w:pPr>
            <w:r>
              <w:rPr>
                <w:rFonts w:ascii="Times New Roman" w:cs="Times New Roman" w:eastAsia="Times New Roman" w:hAnsi="Times New Roman"/>
                <w:b/>
                <w:bCs/>
                <w:sz w:val="16"/>
                <w:szCs w:val="16"/>
              </w:rPr>
              <w:t xml:space="preserve">Taskset</w:t>
            </w:r>
          </w:p>
        </w:tc>
        <w:tc>
          <w:tcPr>
            <w:tcW w:type="dxa" w:w="480"/>
            <w:tcBorders>
              <w:top w:val="single" w:color="AAAAAA" w:sz="4"/>
              <w:left w:val="single" w:color="AAAAAA" w:sz="4"/>
              <w:bottom w:val="single" w:color="AAAAAA" w:sz="4"/>
              <w:right w:val="single" w:color="AAAAAA" w:sz="4"/>
            </w:tcBorders>
            <w:shd w:fill="E8E8E8" w:val="clear"/>
            <w:tcMar>
              <w:top w:type="dxa" w:w="40"/>
              <w:left w:type="dxa" w:w="80"/>
              <w:bottom w:type="dxa" w:w="40"/>
              <w:right w:type="dxa" w:w="80"/>
            </w:tcMar>
          </w:tcPr>
          <w:p>
            <w:pPr>
              <w:spacing w:after="0" w:before="0"/>
            </w:pPr>
            <w:r>
              <w:rPr>
                <w:rFonts w:ascii="Times New Roman" w:cs="Times New Roman" w:eastAsia="Times New Roman" w:hAnsi="Times New Roman"/>
                <w:b/>
                <w:bCs/>
                <w:sz w:val="16"/>
                <w:szCs w:val="16"/>
              </w:rPr>
              <w:t xml:space="preserve">Uₙₒₘ</w:t>
            </w:r>
          </w:p>
        </w:tc>
        <w:tc>
          <w:tcPr>
            <w:tcW w:type="dxa" w:w="2660"/>
            <w:tcBorders>
              <w:top w:val="single" w:color="AAAAAA" w:sz="4"/>
              <w:left w:val="single" w:color="AAAAAA" w:sz="4"/>
              <w:bottom w:val="single" w:color="AAAAAA" w:sz="4"/>
              <w:right w:val="single" w:color="AAAAAA" w:sz="4"/>
            </w:tcBorders>
            <w:shd w:fill="E8E8E8" w:val="clear"/>
            <w:tcMar>
              <w:top w:type="dxa" w:w="40"/>
              <w:left w:type="dxa" w:w="80"/>
              <w:bottom w:type="dxa" w:w="40"/>
              <w:right w:type="dxa" w:w="80"/>
            </w:tcMar>
          </w:tcPr>
          <w:p>
            <w:pPr>
              <w:spacing w:after="0" w:before="0"/>
            </w:pPr>
            <w:r>
              <w:rPr>
                <w:rFonts w:ascii="Times New Roman" w:cs="Times New Roman" w:eastAsia="Times New Roman" w:hAnsi="Times New Roman"/>
                <w:b/>
                <w:bCs/>
                <w:sz w:val="16"/>
                <w:szCs w:val="16"/>
              </w:rPr>
              <w:t xml:space="preserve">Description</w:t>
            </w:r>
          </w:p>
        </w:tc>
      </w:tr>
      <w:tr>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left"/>
            </w:pPr>
            <w:r>
              <w:rPr>
                <w:rFonts w:ascii="Times New Roman" w:cs="Times New Roman" w:eastAsia="Times New Roman" w:hAnsi="Times New Roman"/>
                <w:sz w:val="16"/>
                <w:szCs w:val="16"/>
              </w:rPr>
              <w:t xml:space="preserve">Normal</w:t>
            </w:r>
          </w:p>
        </w:tc>
        <w:tc>
          <w:tcPr>
            <w:tcW w:type="dxa" w:w="48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1.03</w:t>
            </w:r>
          </w:p>
        </w:tc>
        <w:tc>
          <w:tcPr>
            <w:tcW w:type="dxa" w:w="266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left"/>
            </w:pPr>
            <w:r>
              <w:rPr>
                <w:rFonts w:ascii="Times New Roman" w:cs="Times New Roman" w:eastAsia="Times New Roman" w:hAnsi="Times New Roman"/>
                <w:sz w:val="16"/>
                <w:szCs w:val="16"/>
              </w:rPr>
              <w:t xml:space="preserve">Baseline; EDF optimal (Liu &amp; Layland regime)</w:t>
            </w:r>
          </w:p>
        </w:tc>
      </w:tr>
      <w:tr>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left"/>
            </w:pPr>
            <w:r>
              <w:rPr>
                <w:rFonts w:ascii="Times New Roman" w:cs="Times New Roman" w:eastAsia="Times New Roman" w:hAnsi="Times New Roman"/>
                <w:sz w:val="16"/>
                <w:szCs w:val="16"/>
              </w:rPr>
              <w:t xml:space="preserve">Stressed</w:t>
            </w:r>
          </w:p>
        </w:tc>
        <w:tc>
          <w:tcPr>
            <w:tcW w:type="dxa" w:w="48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1.15</w:t>
            </w:r>
          </w:p>
        </w:tc>
        <w:tc>
          <w:tcPr>
            <w:tcW w:type="dxa" w:w="266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left"/>
            </w:pPr>
            <w:r>
              <w:rPr>
                <w:rFonts w:ascii="Times New Roman" w:cs="Times New Roman" w:eastAsia="Times New Roman" w:hAnsi="Times New Roman"/>
                <w:sz w:val="16"/>
                <w:szCs w:val="16"/>
              </w:rPr>
              <w:t xml:space="preserve">Mild overload</w:t>
            </w:r>
          </w:p>
        </w:tc>
      </w:tr>
      <w:tr>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left"/>
            </w:pPr>
            <w:r>
              <w:rPr>
                <w:rFonts w:ascii="Times New Roman" w:cs="Times New Roman" w:eastAsia="Times New Roman" w:hAnsi="Times New Roman"/>
                <w:sz w:val="16"/>
                <w:szCs w:val="16"/>
              </w:rPr>
              <w:t xml:space="preserve">Hard</w:t>
            </w:r>
          </w:p>
        </w:tc>
        <w:tc>
          <w:tcPr>
            <w:tcW w:type="dxa" w:w="48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1.57</w:t>
            </w:r>
          </w:p>
        </w:tc>
        <w:tc>
          <w:tcPr>
            <w:tcW w:type="dxa" w:w="266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left"/>
            </w:pPr>
            <w:r>
              <w:rPr>
                <w:rFonts w:ascii="Times New Roman" w:cs="Times New Roman" w:eastAsia="Times New Roman" w:hAnsi="Times New Roman"/>
                <w:sz w:val="16"/>
                <w:szCs w:val="16"/>
              </w:rPr>
              <w:t xml:space="preserve">Mixed crit., variable exec. times</w:t>
            </w:r>
          </w:p>
        </w:tc>
      </w:tr>
      <w:tr>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left"/>
            </w:pPr>
            <w:r>
              <w:rPr>
                <w:rFonts w:ascii="Times New Roman" w:cs="Times New Roman" w:eastAsia="Times New Roman" w:hAnsi="Times New Roman"/>
                <w:sz w:val="16"/>
                <w:szCs w:val="16"/>
              </w:rPr>
              <w:t xml:space="preserve">Very Hard</w:t>
            </w:r>
          </w:p>
        </w:tc>
        <w:tc>
          <w:tcPr>
            <w:tcW w:type="dxa" w:w="48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1.87</w:t>
            </w:r>
          </w:p>
        </w:tc>
        <w:tc>
          <w:tcPr>
            <w:tcW w:type="dxa" w:w="266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left"/>
            </w:pPr>
            <w:r>
              <w:rPr>
                <w:rFonts w:ascii="Times New Roman" w:cs="Times New Roman" w:eastAsia="Times New Roman" w:hAnsi="Times New Roman"/>
                <w:sz w:val="16"/>
                <w:szCs w:val="16"/>
              </w:rPr>
              <w:t xml:space="preserve">Severe overload; main comparison</w:t>
            </w:r>
          </w:p>
        </w:tc>
      </w:tr>
      <w:tr>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left"/>
            </w:pPr>
            <w:r>
              <w:rPr>
                <w:rFonts w:ascii="Times New Roman" w:cs="Times New Roman" w:eastAsia="Times New Roman" w:hAnsi="Times New Roman"/>
                <w:sz w:val="16"/>
                <w:szCs w:val="16"/>
              </w:rPr>
              <w:t xml:space="preserve">Vestal MC</w:t>
            </w:r>
          </w:p>
        </w:tc>
        <w:tc>
          <w:tcPr>
            <w:tcW w:type="dxa" w:w="48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1.33</w:t>
            </w:r>
          </w:p>
        </w:tc>
        <w:tc>
          <w:tcPr>
            <w:tcW w:type="dxa" w:w="266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left"/>
            </w:pPr>
            <w:r>
              <w:rPr>
                <w:rFonts w:ascii="Times New Roman" w:cs="Times New Roman" w:eastAsia="Times New Roman" w:hAnsi="Times New Roman"/>
                <w:sz w:val="16"/>
                <w:szCs w:val="16"/>
              </w:rPr>
              <w:t xml:space="preserve">Inverted priority: LO tasks shorter periods than HI tasks</w:t>
            </w:r>
          </w:p>
        </w:tc>
      </w:tr>
    </w:tbl>
    <w:p>
      <w:pPr>
        <w:spacing w:after="60" w:before="0" w:line="240"/>
      </w:pPr>
      <w:r>
        <w:rPr>
          <w:rFonts w:ascii="Times New Roman" w:cs="Times New Roman" w:eastAsia="Times New Roman" w:hAnsi="Times New Roman"/>
          <w:sz w:val="20"/>
          <w:szCs w:val="20"/>
        </w:rPr>
        <w:t xml:space="preserve"/>
      </w:r>
    </w:p>
    <w:p>
      <w:pPr>
        <w:spacing w:after="40" w:before="80" w:line="240"/>
        <w:jc w:val="center"/>
      </w:pPr>
      <w:r>
        <w:rPr>
          <w:rFonts w:ascii="Times New Roman" w:cs="Times New Roman" w:eastAsia="Times New Roman" w:hAnsi="Times New Roman"/>
          <w:b/>
          <w:bCs/>
          <w:caps/>
          <w:sz w:val="16"/>
          <w:szCs w:val="16"/>
        </w:rPr>
        <w:t xml:space="preserve">Table II
xv6 Benchmark Programs</w:t>
      </w:r>
    </w:p>
    <w:tbl>
      <w:tblPr>
        <w:tblW w:type="dxa" w:w="4540"/>
        <w:tblBorders>
          <w:top w:val="single" w:color="auto" w:sz="4"/>
          <w:left w:val="single" w:color="auto" w:sz="4"/>
          <w:bottom w:val="single" w:color="auto" w:sz="4"/>
          <w:right w:val="single" w:color="auto" w:sz="4"/>
          <w:insideH w:val="single" w:color="auto" w:sz="4"/>
          <w:insideV w:val="single" w:color="auto" w:sz="4"/>
        </w:tblBorders>
      </w:tblPr>
      <w:tblGrid>
        <w:gridCol w:w="1000"/>
        <w:gridCol w:w="420"/>
        <w:gridCol w:w="3120"/>
      </w:tblGrid>
      <w:tr>
        <w:tc>
          <w:tcPr>
            <w:tcW w:type="dxa" w:w="1000"/>
            <w:tcBorders>
              <w:top w:val="single" w:color="AAAAAA" w:sz="4"/>
              <w:left w:val="single" w:color="AAAAAA" w:sz="4"/>
              <w:bottom w:val="single" w:color="AAAAAA" w:sz="4"/>
              <w:right w:val="single" w:color="AAAAAA" w:sz="4"/>
            </w:tcBorders>
            <w:shd w:fill="E8E8E8" w:val="clear"/>
            <w:tcMar>
              <w:top w:type="dxa" w:w="40"/>
              <w:left w:type="dxa" w:w="80"/>
              <w:bottom w:type="dxa" w:w="40"/>
              <w:right w:type="dxa" w:w="80"/>
            </w:tcMar>
          </w:tcPr>
          <w:p>
            <w:pPr>
              <w:spacing w:after="0" w:before="0"/>
            </w:pPr>
            <w:r>
              <w:rPr>
                <w:rFonts w:ascii="Times New Roman" w:cs="Times New Roman" w:eastAsia="Times New Roman" w:hAnsi="Times New Roman"/>
                <w:b/>
                <w:bCs/>
                <w:sz w:val="16"/>
                <w:szCs w:val="16"/>
              </w:rPr>
              <w:t xml:space="preserve">Program</w:t>
            </w:r>
          </w:p>
        </w:tc>
        <w:tc>
          <w:tcPr>
            <w:tcW w:type="dxa" w:w="420"/>
            <w:tcBorders>
              <w:top w:val="single" w:color="AAAAAA" w:sz="4"/>
              <w:left w:val="single" w:color="AAAAAA" w:sz="4"/>
              <w:bottom w:val="single" w:color="AAAAAA" w:sz="4"/>
              <w:right w:val="single" w:color="AAAAAA" w:sz="4"/>
            </w:tcBorders>
            <w:shd w:fill="E8E8E8" w:val="clear"/>
            <w:tcMar>
              <w:top w:type="dxa" w:w="40"/>
              <w:left w:type="dxa" w:w="80"/>
              <w:bottom w:type="dxa" w:w="40"/>
              <w:right w:type="dxa" w:w="80"/>
            </w:tcMar>
          </w:tcPr>
          <w:p>
            <w:pPr>
              <w:spacing w:after="0" w:before="0"/>
            </w:pPr>
            <w:r>
              <w:rPr>
                <w:rFonts w:ascii="Times New Roman" w:cs="Times New Roman" w:eastAsia="Times New Roman" w:hAnsi="Times New Roman"/>
                <w:b/>
                <w:bCs/>
                <w:sz w:val="16"/>
                <w:szCs w:val="16"/>
              </w:rPr>
              <w:t xml:space="preserve">U</w:t>
            </w:r>
          </w:p>
        </w:tc>
        <w:tc>
          <w:tcPr>
            <w:tcW w:type="dxa" w:w="3120"/>
            <w:tcBorders>
              <w:top w:val="single" w:color="AAAAAA" w:sz="4"/>
              <w:left w:val="single" w:color="AAAAAA" w:sz="4"/>
              <w:bottom w:val="single" w:color="AAAAAA" w:sz="4"/>
              <w:right w:val="single" w:color="AAAAAA" w:sz="4"/>
            </w:tcBorders>
            <w:shd w:fill="E8E8E8" w:val="clear"/>
            <w:tcMar>
              <w:top w:type="dxa" w:w="40"/>
              <w:left w:type="dxa" w:w="80"/>
              <w:bottom w:type="dxa" w:w="40"/>
              <w:right w:type="dxa" w:w="80"/>
            </w:tcMar>
          </w:tcPr>
          <w:p>
            <w:pPr>
              <w:spacing w:after="0" w:before="0"/>
            </w:pPr>
            <w:r>
              <w:rPr>
                <w:rFonts w:ascii="Times New Roman" w:cs="Times New Roman" w:eastAsia="Times New Roman" w:hAnsi="Times New Roman"/>
                <w:b/>
                <w:bCs/>
                <w:sz w:val="16"/>
                <w:szCs w:val="16"/>
              </w:rPr>
              <w:t xml:space="preserve">Task Bodies</w:t>
            </w:r>
          </w:p>
        </w:tc>
      </w:tr>
      <w:tr>
        <w:tc>
          <w:tcPr>
            <w:tcW w:type="dxa" w:w="10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left"/>
            </w:pPr>
            <w:r>
              <w:rPr>
                <w:rFonts w:ascii="Times New Roman" w:cs="Times New Roman" w:eastAsia="Times New Roman" w:hAnsi="Times New Roman"/>
                <w:sz w:val="16"/>
                <w:szCs w:val="16"/>
              </w:rPr>
              <w:t xml:space="preserve">rtbench</w:t>
            </w:r>
          </w:p>
        </w:tc>
        <w:tc>
          <w:tcPr>
            <w:tcW w:type="dxa" w:w="42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1.90</w:t>
            </w:r>
          </w:p>
        </w:tc>
        <w:tc>
          <w:tcPr>
            <w:tcW w:type="dxa" w:w="312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left"/>
            </w:pPr>
            <w:r>
              <w:rPr>
                <w:rFonts w:ascii="Times New Roman" w:cs="Times New Roman" w:eastAsia="Times New Roman" w:hAnsi="Times New Roman"/>
                <w:sz w:val="16"/>
                <w:szCs w:val="16"/>
              </w:rPr>
              <w:t xml:space="preserve">Spin loops; IoT workload (sensor→sync)</w:t>
            </w:r>
          </w:p>
        </w:tc>
      </w:tr>
      <w:tr>
        <w:tc>
          <w:tcPr>
            <w:tcW w:type="dxa" w:w="10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left"/>
            </w:pPr>
            <w:r>
              <w:rPr>
                <w:rFonts w:ascii="Times New Roman" w:cs="Times New Roman" w:eastAsia="Times New Roman" w:hAnsi="Times New Roman"/>
                <w:sz w:val="16"/>
                <w:szCs w:val="16"/>
              </w:rPr>
              <w:t xml:space="preserve">rtvestal</w:t>
            </w:r>
          </w:p>
        </w:tc>
        <w:tc>
          <w:tcPr>
            <w:tcW w:type="dxa" w:w="42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1.33</w:t>
            </w:r>
          </w:p>
        </w:tc>
        <w:tc>
          <w:tcPr>
            <w:tcW w:type="dxa" w:w="312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left"/>
            </w:pPr>
            <w:r>
              <w:rPr>
                <w:rFonts w:ascii="Times New Roman" w:cs="Times New Roman" w:eastAsia="Times New Roman" w:hAnsi="Times New Roman"/>
                <w:sz w:val="16"/>
                <w:szCs w:val="16"/>
              </w:rPr>
              <w:t xml:space="preserve">Spin loops; Vestal (2007) inverted-priority MC</w:t>
            </w:r>
          </w:p>
        </w:tc>
      </w:tr>
      <w:tr>
        <w:tc>
          <w:tcPr>
            <w:tcW w:type="dxa" w:w="10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left"/>
            </w:pPr>
            <w:r>
              <w:rPr>
                <w:rFonts w:ascii="Times New Roman" w:cs="Times New Roman" w:eastAsia="Times New Roman" w:hAnsi="Times New Roman"/>
                <w:sz w:val="16"/>
                <w:szCs w:val="16"/>
              </w:rPr>
              <w:t xml:space="preserve">rtdrone</w:t>
            </w:r>
          </w:p>
        </w:tc>
        <w:tc>
          <w:tcPr>
            <w:tcW w:type="dxa" w:w="42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1.50</w:t>
            </w:r>
          </w:p>
        </w:tc>
        <w:tc>
          <w:tcPr>
            <w:tcW w:type="dxa" w:w="312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left"/>
            </w:pPr>
            <w:r>
              <w:rPr>
                <w:rFonts w:ascii="Times New Roman" w:cs="Times New Roman" w:eastAsia="Times New Roman" w:hAnsi="Times New Roman"/>
                <w:sz w:val="16"/>
                <w:szCs w:val="16"/>
              </w:rPr>
              <w:t xml:space="preserve">Q10 AHRS filter, PID + discrete plant model</w:t>
            </w:r>
          </w:p>
        </w:tc>
      </w:tr>
      <w:tr>
        <w:tc>
          <w:tcPr>
            <w:tcW w:type="dxa" w:w="10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left"/>
            </w:pPr>
            <w:r>
              <w:rPr>
                <w:rFonts w:ascii="Times New Roman" w:cs="Times New Roman" w:eastAsia="Times New Roman" w:hAnsi="Times New Roman"/>
                <w:sz w:val="16"/>
                <w:szCs w:val="16"/>
              </w:rPr>
              <w:t xml:space="preserve">rtmaladalen</w:t>
            </w:r>
          </w:p>
        </w:tc>
        <w:tc>
          <w:tcPr>
            <w:tcW w:type="dxa" w:w="42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1.16</w:t>
            </w:r>
          </w:p>
        </w:tc>
        <w:tc>
          <w:tcPr>
            <w:tcW w:type="dxa" w:w="312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left"/>
            </w:pPr>
            <w:r>
              <w:rPr>
                <w:rFonts w:ascii="Times New Roman" w:cs="Times New Roman" w:eastAsia="Times New Roman" w:hAnsi="Times New Roman"/>
                <w:sz w:val="16"/>
                <w:szCs w:val="16"/>
              </w:rPr>
              <w:t xml:space="preserve">Mälardalen WCET benchmarks (matmul, CRC-32, etc.)</w:t>
            </w:r>
          </w:p>
        </w:tc>
      </w:tr>
      <w:tr>
        <w:tc>
          <w:tcPr>
            <w:tcW w:type="dxa" w:w="10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left"/>
            </w:pPr>
            <w:r>
              <w:rPr>
                <w:rFonts w:ascii="Times New Roman" w:cs="Times New Roman" w:eastAsia="Times New Roman" w:hAnsi="Times New Roman"/>
                <w:sz w:val="16"/>
                <w:szCs w:val="16"/>
              </w:rPr>
              <w:t xml:space="preserve">rtgui</w:t>
            </w:r>
          </w:p>
        </w:tc>
        <w:tc>
          <w:tcPr>
            <w:tcW w:type="dxa" w:w="42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1.04</w:t>
            </w:r>
          </w:p>
        </w:tc>
        <w:tc>
          <w:tcPr>
            <w:tcW w:type="dxa" w:w="312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left"/>
            </w:pPr>
            <w:r>
              <w:rPr>
                <w:rFonts w:ascii="Times New Roman" w:cs="Times New Roman" w:eastAsia="Times New Roman" w:hAnsi="Times New Roman"/>
                <w:sz w:val="16"/>
                <w:szCs w:val="16"/>
              </w:rPr>
              <w:t xml:space="preserve">Real computation: LFSR, BFS, brush render</w:t>
            </w:r>
          </w:p>
        </w:tc>
      </w:tr>
      <w:tr>
        <w:tc>
          <w:tcPr>
            <w:tcW w:type="dxa" w:w="10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left"/>
            </w:pPr>
            <w:r>
              <w:rPr>
                <w:rFonts w:ascii="Times New Roman" w:cs="Times New Roman" w:eastAsia="Times New Roman" w:hAnsi="Times New Roman"/>
                <w:sz w:val="16"/>
                <w:szCs w:val="16"/>
              </w:rPr>
              <w:t xml:space="preserve">rtgui_a</w:t>
            </w:r>
          </w:p>
        </w:tc>
        <w:tc>
          <w:tcPr>
            <w:tcW w:type="dxa" w:w="42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1.37</w:t>
            </w:r>
          </w:p>
        </w:tc>
        <w:tc>
          <w:tcPr>
            <w:tcW w:type="dxa" w:w="312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left"/>
            </w:pPr>
            <w:r>
              <w:rPr>
                <w:rFonts w:ascii="Times New Roman" w:cs="Times New Roman" w:eastAsia="Times New Roman" w:hAnsi="Times New Roman"/>
                <w:sz w:val="16"/>
                <w:szCs w:val="16"/>
              </w:rPr>
              <w:t xml:space="preserve">Heavier GUI: 7×7 brush, alpha blend (Uₕᴵ=0.88)</w:t>
            </w:r>
          </w:p>
        </w:tc>
      </w:tr>
      <w:tr>
        <w:tc>
          <w:tcPr>
            <w:tcW w:type="dxa" w:w="10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left"/>
            </w:pPr>
            <w:r>
              <w:rPr>
                <w:rFonts w:ascii="Times New Roman" w:cs="Times New Roman" w:eastAsia="Times New Roman" w:hAnsi="Times New Roman"/>
                <w:sz w:val="16"/>
                <w:szCs w:val="16"/>
              </w:rPr>
              <w:t xml:space="preserve">rtgui_b</w:t>
            </w:r>
          </w:p>
        </w:tc>
        <w:tc>
          <w:tcPr>
            <w:tcW w:type="dxa" w:w="42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1.69</w:t>
            </w:r>
          </w:p>
        </w:tc>
        <w:tc>
          <w:tcPr>
            <w:tcW w:type="dxa" w:w="312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left"/>
            </w:pPr>
            <w:r>
              <w:rPr>
                <w:rFonts w:ascii="Times New Roman" w:cs="Times New Roman" w:eastAsia="Times New Roman" w:hAnsi="Times New Roman"/>
                <w:sz w:val="16"/>
                <w:szCs w:val="16"/>
              </w:rPr>
              <w:t xml:space="preserve">Vestal GUI: compositor LO T=12 vs render HI T=16</w:t>
            </w:r>
          </w:p>
        </w:tc>
      </w:tr>
    </w:tbl>
    <w:p>
      <w:pPr>
        <w:spacing w:after="60" w:before="0" w:line="240"/>
      </w:pPr>
      <w:r>
        <w:rPr>
          <w:rFonts w:ascii="Times New Roman" w:cs="Times New Roman" w:eastAsia="Times New Roman" w:hAnsi="Times New Roman"/>
          <w:sz w:val="20"/>
          <w:szCs w:val="20"/>
        </w:rPr>
        <w:t xml:space="preserve"/>
      </w:r>
    </w:p>
    <w:p>
      <w:pPr>
        <w:spacing w:after="60" w:before="120" w:line="240"/>
        <w:jc w:val="center"/>
      </w:pPr>
      <w:r>
        <w:rPr>
          <w:rFonts w:ascii="Times New Roman" w:cs="Times New Roman" w:eastAsia="Times New Roman" w:hAnsi="Times New Roman"/>
          <w:b/>
          <w:bCs/>
          <w:smallCaps/>
          <w:sz w:val="20"/>
          <w:szCs w:val="20"/>
        </w:rPr>
        <w:t xml:space="preserve">V. RESULTS</w:t>
      </w:r>
    </w:p>
    <w:p>
      <w:pPr>
        <w:spacing w:after="60" w:before="0" w:line="240"/>
      </w:pPr>
      <w:r>
        <w:rPr>
          <w:rFonts w:ascii="Times New Roman" w:cs="Times New Roman" w:eastAsia="Times New Roman" w:hAnsi="Times New Roman"/>
          <w:sz w:val="20"/>
          <w:szCs w:val="20"/>
        </w:rPr>
        <w:t xml:space="preserve">All results report HI-critical (high-criticality) and LO-soft (low-criticality) deadline miss counts. Lower is better. Bold values indicate the best (or tied-best) scheduler for HI-critical misses.</w:t>
      </w:r>
    </w:p>
    <w:p>
      <w:pPr>
        <w:spacing w:after="40" w:before="80" w:line="240"/>
      </w:pPr>
      <w:r>
        <w:rPr>
          <w:rFonts w:ascii="Times New Roman" w:cs="Times New Roman" w:eastAsia="Times New Roman" w:hAnsi="Times New Roman"/>
          <w:b/>
          <w:bCs/>
          <w:i/>
          <w:iCs/>
          <w:sz w:val="20"/>
          <w:szCs w:val="20"/>
        </w:rPr>
        <w:t xml:space="preserve">A. Python Simulation: Very Hard Taskset</w:t>
      </w:r>
    </w:p>
    <w:p>
      <w:pPr>
        <w:spacing w:after="60" w:before="0" w:line="240"/>
      </w:pPr>
      <w:r>
        <w:rPr>
          <w:rFonts w:ascii="Times New Roman" w:cs="Times New Roman" w:eastAsia="Times New Roman" w:hAnsi="Times New Roman"/>
          <w:sz w:val="20"/>
          <w:szCs w:val="20"/>
        </w:rPr>
        <w:t xml:space="preserve">Table III shows results on the Very Hard taskset (U = 1.87, 3 HI-critical, 3 LO-soft tasks, variable execution times).</w:t>
      </w:r>
    </w:p>
    <w:p>
      <w:pPr>
        <w:spacing w:after="40" w:before="80" w:line="240"/>
        <w:jc w:val="center"/>
      </w:pPr>
      <w:r>
        <w:rPr>
          <w:rFonts w:ascii="Times New Roman" w:cs="Times New Roman" w:eastAsia="Times New Roman" w:hAnsi="Times New Roman"/>
          <w:b/>
          <w:bCs/>
          <w:caps/>
          <w:sz w:val="16"/>
          <w:szCs w:val="16"/>
        </w:rPr>
        <w:t xml:space="preserve">Table III
Python Simulation: Very Hard Taskset (U = 1.87)</w:t>
      </w:r>
    </w:p>
    <w:tbl>
      <w:tblPr>
        <w:tblW w:type="dxa" w:w="454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900"/>
        <w:gridCol w:w="1540"/>
      </w:tblGrid>
      <w:tr>
        <w:tc>
          <w:tcPr>
            <w:tcW w:type="dxa" w:w="1200"/>
            <w:tcBorders>
              <w:top w:val="single" w:color="AAAAAA" w:sz="4"/>
              <w:left w:val="single" w:color="AAAAAA" w:sz="4"/>
              <w:bottom w:val="single" w:color="AAAAAA" w:sz="4"/>
              <w:right w:val="single" w:color="AAAAAA" w:sz="4"/>
            </w:tcBorders>
            <w:shd w:fill="E8E8E8" w:val="clear"/>
            <w:tcMar>
              <w:top w:type="dxa" w:w="40"/>
              <w:left w:type="dxa" w:w="80"/>
              <w:bottom w:type="dxa" w:w="40"/>
              <w:right w:type="dxa" w:w="80"/>
            </w:tcMar>
          </w:tcPr>
          <w:p>
            <w:pPr>
              <w:spacing w:after="0" w:before="0"/>
            </w:pPr>
            <w:r>
              <w:rPr>
                <w:rFonts w:ascii="Times New Roman" w:cs="Times New Roman" w:eastAsia="Times New Roman" w:hAnsi="Times New Roman"/>
                <w:b/>
                <w:bCs/>
                <w:sz w:val="16"/>
                <w:szCs w:val="16"/>
              </w:rPr>
              <w:t xml:space="preserve">Scheduler</w:t>
            </w:r>
          </w:p>
        </w:tc>
        <w:tc>
          <w:tcPr>
            <w:tcW w:type="dxa" w:w="900"/>
            <w:tcBorders>
              <w:top w:val="single" w:color="AAAAAA" w:sz="4"/>
              <w:left w:val="single" w:color="AAAAAA" w:sz="4"/>
              <w:bottom w:val="single" w:color="AAAAAA" w:sz="4"/>
              <w:right w:val="single" w:color="AAAAAA" w:sz="4"/>
            </w:tcBorders>
            <w:shd w:fill="E8E8E8" w:val="clear"/>
            <w:tcMar>
              <w:top w:type="dxa" w:w="40"/>
              <w:left w:type="dxa" w:w="80"/>
              <w:bottom w:type="dxa" w:w="40"/>
              <w:right w:type="dxa" w:w="80"/>
            </w:tcMar>
          </w:tcPr>
          <w:p>
            <w:pPr>
              <w:spacing w:after="0" w:before="0"/>
            </w:pPr>
            <w:r>
              <w:rPr>
                <w:rFonts w:ascii="Times New Roman" w:cs="Times New Roman" w:eastAsia="Times New Roman" w:hAnsi="Times New Roman"/>
                <w:b/>
                <w:bCs/>
                <w:sz w:val="16"/>
                <w:szCs w:val="16"/>
              </w:rPr>
              <w:t xml:space="preserve">HI Misses</w:t>
            </w:r>
          </w:p>
        </w:tc>
        <w:tc>
          <w:tcPr>
            <w:tcW w:type="dxa" w:w="900"/>
            <w:tcBorders>
              <w:top w:val="single" w:color="AAAAAA" w:sz="4"/>
              <w:left w:val="single" w:color="AAAAAA" w:sz="4"/>
              <w:bottom w:val="single" w:color="AAAAAA" w:sz="4"/>
              <w:right w:val="single" w:color="AAAAAA" w:sz="4"/>
            </w:tcBorders>
            <w:shd w:fill="E8E8E8" w:val="clear"/>
            <w:tcMar>
              <w:top w:type="dxa" w:w="40"/>
              <w:left w:type="dxa" w:w="80"/>
              <w:bottom w:type="dxa" w:w="40"/>
              <w:right w:type="dxa" w:w="80"/>
            </w:tcMar>
          </w:tcPr>
          <w:p>
            <w:pPr>
              <w:spacing w:after="0" w:before="0"/>
            </w:pPr>
            <w:r>
              <w:rPr>
                <w:rFonts w:ascii="Times New Roman" w:cs="Times New Roman" w:eastAsia="Times New Roman" w:hAnsi="Times New Roman"/>
                <w:b/>
                <w:bCs/>
                <w:sz w:val="16"/>
                <w:szCs w:val="16"/>
              </w:rPr>
              <w:t xml:space="preserve">LO Misses</w:t>
            </w:r>
          </w:p>
        </w:tc>
        <w:tc>
          <w:tcPr>
            <w:tcW w:type="dxa" w:w="1540"/>
            <w:tcBorders>
              <w:top w:val="single" w:color="AAAAAA" w:sz="4"/>
              <w:left w:val="single" w:color="AAAAAA" w:sz="4"/>
              <w:bottom w:val="single" w:color="AAAAAA" w:sz="4"/>
              <w:right w:val="single" w:color="AAAAAA" w:sz="4"/>
            </w:tcBorders>
            <w:shd w:fill="E8E8E8" w:val="clear"/>
            <w:tcMar>
              <w:top w:type="dxa" w:w="40"/>
              <w:left w:type="dxa" w:w="80"/>
              <w:bottom w:type="dxa" w:w="40"/>
              <w:right w:type="dxa" w:w="80"/>
            </w:tcMar>
          </w:tcPr>
          <w:p>
            <w:pPr>
              <w:spacing w:after="0" w:before="0"/>
            </w:pPr>
            <w:r>
              <w:rPr>
                <w:rFonts w:ascii="Times New Roman" w:cs="Times New Roman" w:eastAsia="Times New Roman" w:hAnsi="Times New Roman"/>
                <w:b/>
                <w:bCs/>
                <w:sz w:val="16"/>
                <w:szCs w:val="16"/>
              </w:rPr>
              <w:t xml:space="preserve">Reward</w:t>
            </w:r>
          </w:p>
        </w:tc>
      </w:tr>
      <w:tr>
        <w:tc>
          <w:tcPr>
            <w:tcW w:type="dxa" w:w="1200"/>
            <w:tcBorders>
              <w:top w:val="single" w:color="AAAAAA" w:sz="4"/>
              <w:left w:val="single" w:color="AAAAAA" w:sz="4"/>
              <w:bottom w:val="single" w:color="AAAAAA" w:sz="4"/>
              <w:right w:val="single" w:color="AAAAAA" w:sz="4"/>
            </w:tcBorders>
            <w:shd w:fill="F0FAF0" w:val="clear"/>
            <w:tcMar>
              <w:top w:type="dxa" w:w="40"/>
              <w:left w:type="dxa" w:w="80"/>
              <w:bottom w:type="dxa" w:w="40"/>
              <w:right w:type="dxa" w:w="80"/>
            </w:tcMar>
          </w:tcPr>
          <w:p>
            <w:pPr>
              <w:spacing w:after="0" w:before="0"/>
              <w:jc w:val="right"/>
            </w:pPr>
            <w:r>
              <w:rPr>
                <w:rFonts w:ascii="Times New Roman" w:cs="Times New Roman" w:eastAsia="Times New Roman" w:hAnsi="Times New Roman"/>
                <w:b/>
                <w:bCs/>
                <w:sz w:val="16"/>
                <w:szCs w:val="16"/>
              </w:rPr>
              <w:t xml:space="preserve">PPO</w:t>
            </w:r>
          </w:p>
        </w:tc>
        <w:tc>
          <w:tcPr>
            <w:tcW w:type="dxa" w:w="900"/>
            <w:tcBorders>
              <w:top w:val="single" w:color="AAAAAA" w:sz="4"/>
              <w:left w:val="single" w:color="AAAAAA" w:sz="4"/>
              <w:bottom w:val="single" w:color="AAAAAA" w:sz="4"/>
              <w:right w:val="single" w:color="AAAAAA" w:sz="4"/>
            </w:tcBorders>
            <w:shd w:fill="F0FAF0" w:val="clear"/>
            <w:tcMar>
              <w:top w:type="dxa" w:w="40"/>
              <w:left w:type="dxa" w:w="80"/>
              <w:bottom w:type="dxa" w:w="40"/>
              <w:right w:type="dxa" w:w="80"/>
            </w:tcMar>
          </w:tcPr>
          <w:p>
            <w:pPr>
              <w:spacing w:after="0" w:before="0"/>
              <w:jc w:val="right"/>
            </w:pPr>
            <w:r>
              <w:rPr>
                <w:rFonts w:ascii="Times New Roman" w:cs="Times New Roman" w:eastAsia="Times New Roman" w:hAnsi="Times New Roman"/>
                <w:b/>
                <w:bCs/>
                <w:sz w:val="16"/>
                <w:szCs w:val="16"/>
              </w:rPr>
              <w:t xml:space="preserve">2.0</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16.8</w:t>
            </w:r>
          </w:p>
        </w:tc>
        <w:tc>
          <w:tcPr>
            <w:tcW w:type="dxa" w:w="1540"/>
            <w:tcBorders>
              <w:top w:val="single" w:color="AAAAAA" w:sz="4"/>
              <w:left w:val="single" w:color="AAAAAA" w:sz="4"/>
              <w:bottom w:val="single" w:color="AAAAAA" w:sz="4"/>
              <w:right w:val="single" w:color="AAAAAA" w:sz="4"/>
            </w:tcBorders>
            <w:shd w:fill="F0FAF0" w:val="clear"/>
            <w:tcMar>
              <w:top w:type="dxa" w:w="40"/>
              <w:left w:type="dxa" w:w="80"/>
              <w:bottom w:type="dxa" w:w="40"/>
              <w:right w:type="dxa" w:w="80"/>
            </w:tcMar>
          </w:tcPr>
          <w:p>
            <w:pPr>
              <w:spacing w:after="0" w:before="0"/>
              <w:jc w:val="right"/>
            </w:pPr>
            <w:r>
              <w:rPr>
                <w:rFonts w:ascii="Times New Roman" w:cs="Times New Roman" w:eastAsia="Times New Roman" w:hAnsi="Times New Roman"/>
                <w:b/>
                <w:bCs/>
                <w:sz w:val="16"/>
                <w:szCs w:val="16"/>
              </w:rPr>
              <w:t xml:space="preserve">558</w:t>
            </w:r>
          </w:p>
        </w:tc>
      </w:tr>
      <w:tr>
        <w:tc>
          <w:tcPr>
            <w:tcW w:type="dxa" w:w="12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left"/>
            </w:pPr>
            <w:r>
              <w:rPr>
                <w:rFonts w:ascii="Times New Roman" w:cs="Times New Roman" w:eastAsia="Times New Roman" w:hAnsi="Times New Roman"/>
                <w:sz w:val="16"/>
                <w:szCs w:val="16"/>
              </w:rPr>
              <w:t xml:space="preserve">RMS</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3.4</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16.0</w:t>
            </w:r>
          </w:p>
        </w:tc>
        <w:tc>
          <w:tcPr>
            <w:tcW w:type="dxa" w:w="154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525</w:t>
            </w:r>
          </w:p>
        </w:tc>
      </w:tr>
      <w:tr>
        <w:tc>
          <w:tcPr>
            <w:tcW w:type="dxa" w:w="12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left"/>
            </w:pPr>
            <w:r>
              <w:rPr>
                <w:rFonts w:ascii="Times New Roman" w:cs="Times New Roman" w:eastAsia="Times New Roman" w:hAnsi="Times New Roman"/>
                <w:sz w:val="16"/>
                <w:szCs w:val="16"/>
              </w:rPr>
              <w:t xml:space="preserve">EDF</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4.9</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16.7</w:t>
            </w:r>
          </w:p>
        </w:tc>
        <w:tc>
          <w:tcPr>
            <w:tcW w:type="dxa" w:w="154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489</w:t>
            </w:r>
          </w:p>
        </w:tc>
      </w:tr>
      <w:tr>
        <w:tc>
          <w:tcPr>
            <w:tcW w:type="dxa" w:w="12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left"/>
            </w:pPr>
            <w:r>
              <w:rPr>
                <w:rFonts w:ascii="Times New Roman" w:cs="Times New Roman" w:eastAsia="Times New Roman" w:hAnsi="Times New Roman"/>
                <w:sz w:val="16"/>
                <w:szCs w:val="16"/>
              </w:rPr>
              <w:t xml:space="preserve">Round Robin</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50.8</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8.9</w:t>
            </w:r>
          </w:p>
        </w:tc>
        <w:tc>
          <w:tcPr>
            <w:tcW w:type="dxa" w:w="154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left"/>
            </w:pPr>
            <w:r>
              <w:rPr>
                <w:rFonts w:ascii="Times New Roman" w:cs="Times New Roman" w:eastAsia="Times New Roman" w:hAnsi="Times New Roman"/>
                <w:sz w:val="16"/>
                <w:szCs w:val="16"/>
              </w:rPr>
              <w:t xml:space="preserve">−631</w:t>
            </w:r>
          </w:p>
        </w:tc>
      </w:tr>
    </w:tbl>
    <w:p>
      <w:pPr>
        <w:spacing w:after="60" w:before="0" w:line="240"/>
      </w:pPr>
      <w:r>
        <w:rPr>
          <w:rFonts w:ascii="Times New Roman" w:cs="Times New Roman" w:eastAsia="Times New Roman" w:hAnsi="Times New Roman"/>
          <w:sz w:val="20"/>
          <w:szCs w:val="20"/>
        </w:rPr>
        <w:t xml:space="preserve">PPO reduces HI-critical misses by </w:t>
      </w:r>
      <w:r>
        <w:rPr>
          <w:rFonts w:ascii="Times New Roman" w:cs="Times New Roman" w:eastAsia="Times New Roman" w:hAnsi="Times New Roman"/>
          <w:b/>
          <w:bCs/>
          <w:sz w:val="20"/>
          <w:szCs w:val="20"/>
        </w:rPr>
        <w:t xml:space="preserve">59%</w:t>
      </w:r>
      <w:r>
        <w:rPr>
          <w:rFonts w:ascii="Times New Roman" w:cs="Times New Roman" w:eastAsia="Times New Roman" w:hAnsi="Times New Roman"/>
          <w:sz w:val="20"/>
          <w:szCs w:val="20"/>
        </w:rPr>
        <w:t xml:space="preserve"> versus EDF (2.0 vs 4.9) and 41% versus RMS. The reward differential confirms that the PPO policy is not merely minimizing total misses—it is specifically protecting critical tasks at the expense of soft-task throughput, exactly as the asymmetric training reward intended.</w:t>
      </w:r>
    </w:p>
    <w:p>
      <w:pPr>
        <w:spacing w:after="40" w:before="80" w:line="240"/>
      </w:pPr>
      <w:r>
        <w:rPr>
          <w:rFonts w:ascii="Times New Roman" w:cs="Times New Roman" w:eastAsia="Times New Roman" w:hAnsi="Times New Roman"/>
          <w:b/>
          <w:bCs/>
          <w:i/>
          <w:iCs/>
          <w:sz w:val="20"/>
          <w:szCs w:val="20"/>
        </w:rPr>
        <w:t xml:space="preserve">B. Python Simulation: Vestal Inverted-Priority</w:t>
      </w:r>
    </w:p>
    <w:p>
      <w:pPr>
        <w:spacing w:after="60" w:before="0" w:line="240"/>
      </w:pPr>
      <w:r>
        <w:rPr>
          <w:rFonts w:ascii="Times New Roman" w:cs="Times New Roman" w:eastAsia="Times New Roman" w:hAnsi="Times New Roman"/>
          <w:sz w:val="20"/>
          <w:szCs w:val="20"/>
        </w:rPr>
        <w:t xml:space="preserve">Table IV shows the canonical Vestal failure mode: HI-critical tasks have periods 3–6× longer than LO-soft tasks; U₂ₒ = 1.075 &gt; 1. EDF's greedy deadline rule perpetually selects LO tasks, starving HI tasks.</w:t>
      </w:r>
    </w:p>
    <w:p>
      <w:pPr>
        <w:spacing w:after="40" w:before="80" w:line="240"/>
        <w:jc w:val="center"/>
      </w:pPr>
      <w:r>
        <w:rPr>
          <w:rFonts w:ascii="Times New Roman" w:cs="Times New Roman" w:eastAsia="Times New Roman" w:hAnsi="Times New Roman"/>
          <w:b/>
          <w:bCs/>
          <w:caps/>
          <w:sz w:val="16"/>
          <w:szCs w:val="16"/>
        </w:rPr>
        <w:t xml:space="preserve">Table IV
Python Simulation: Vestal Taskset (U = 1.33)</w:t>
      </w:r>
    </w:p>
    <w:tbl>
      <w:tblPr>
        <w:tblW w:type="dxa" w:w="454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900"/>
        <w:gridCol w:w="1540"/>
      </w:tblGrid>
      <w:tr>
        <w:tc>
          <w:tcPr>
            <w:tcW w:type="dxa" w:w="1200"/>
            <w:tcBorders>
              <w:top w:val="single" w:color="AAAAAA" w:sz="4"/>
              <w:left w:val="single" w:color="AAAAAA" w:sz="4"/>
              <w:bottom w:val="single" w:color="AAAAAA" w:sz="4"/>
              <w:right w:val="single" w:color="AAAAAA" w:sz="4"/>
            </w:tcBorders>
            <w:shd w:fill="E8E8E8" w:val="clear"/>
            <w:tcMar>
              <w:top w:type="dxa" w:w="40"/>
              <w:left w:type="dxa" w:w="80"/>
              <w:bottom w:type="dxa" w:w="40"/>
              <w:right w:type="dxa" w:w="80"/>
            </w:tcMar>
          </w:tcPr>
          <w:p>
            <w:pPr>
              <w:spacing w:after="0" w:before="0"/>
            </w:pPr>
            <w:r>
              <w:rPr>
                <w:rFonts w:ascii="Times New Roman" w:cs="Times New Roman" w:eastAsia="Times New Roman" w:hAnsi="Times New Roman"/>
                <w:b/>
                <w:bCs/>
                <w:sz w:val="16"/>
                <w:szCs w:val="16"/>
              </w:rPr>
              <w:t xml:space="preserve">Scheduler</w:t>
            </w:r>
          </w:p>
        </w:tc>
        <w:tc>
          <w:tcPr>
            <w:tcW w:type="dxa" w:w="900"/>
            <w:tcBorders>
              <w:top w:val="single" w:color="AAAAAA" w:sz="4"/>
              <w:left w:val="single" w:color="AAAAAA" w:sz="4"/>
              <w:bottom w:val="single" w:color="AAAAAA" w:sz="4"/>
              <w:right w:val="single" w:color="AAAAAA" w:sz="4"/>
            </w:tcBorders>
            <w:shd w:fill="E8E8E8" w:val="clear"/>
            <w:tcMar>
              <w:top w:type="dxa" w:w="40"/>
              <w:left w:type="dxa" w:w="80"/>
              <w:bottom w:type="dxa" w:w="40"/>
              <w:right w:type="dxa" w:w="80"/>
            </w:tcMar>
          </w:tcPr>
          <w:p>
            <w:pPr>
              <w:spacing w:after="0" w:before="0"/>
            </w:pPr>
            <w:r>
              <w:rPr>
                <w:rFonts w:ascii="Times New Roman" w:cs="Times New Roman" w:eastAsia="Times New Roman" w:hAnsi="Times New Roman"/>
                <w:b/>
                <w:bCs/>
                <w:sz w:val="16"/>
                <w:szCs w:val="16"/>
              </w:rPr>
              <w:t xml:space="preserve">HI Misses</w:t>
            </w:r>
          </w:p>
        </w:tc>
        <w:tc>
          <w:tcPr>
            <w:tcW w:type="dxa" w:w="900"/>
            <w:tcBorders>
              <w:top w:val="single" w:color="AAAAAA" w:sz="4"/>
              <w:left w:val="single" w:color="AAAAAA" w:sz="4"/>
              <w:bottom w:val="single" w:color="AAAAAA" w:sz="4"/>
              <w:right w:val="single" w:color="AAAAAA" w:sz="4"/>
            </w:tcBorders>
            <w:shd w:fill="E8E8E8" w:val="clear"/>
            <w:tcMar>
              <w:top w:type="dxa" w:w="40"/>
              <w:left w:type="dxa" w:w="80"/>
              <w:bottom w:type="dxa" w:w="40"/>
              <w:right w:type="dxa" w:w="80"/>
            </w:tcMar>
          </w:tcPr>
          <w:p>
            <w:pPr>
              <w:spacing w:after="0" w:before="0"/>
            </w:pPr>
            <w:r>
              <w:rPr>
                <w:rFonts w:ascii="Times New Roman" w:cs="Times New Roman" w:eastAsia="Times New Roman" w:hAnsi="Times New Roman"/>
                <w:b/>
                <w:bCs/>
                <w:sz w:val="16"/>
                <w:szCs w:val="16"/>
              </w:rPr>
              <w:t xml:space="preserve">LO Misses</w:t>
            </w:r>
          </w:p>
        </w:tc>
        <w:tc>
          <w:tcPr>
            <w:tcW w:type="dxa" w:w="1540"/>
            <w:tcBorders>
              <w:top w:val="single" w:color="AAAAAA" w:sz="4"/>
              <w:left w:val="single" w:color="AAAAAA" w:sz="4"/>
              <w:bottom w:val="single" w:color="AAAAAA" w:sz="4"/>
              <w:right w:val="single" w:color="AAAAAA" w:sz="4"/>
            </w:tcBorders>
            <w:shd w:fill="E8E8E8" w:val="clear"/>
            <w:tcMar>
              <w:top w:type="dxa" w:w="40"/>
              <w:left w:type="dxa" w:w="80"/>
              <w:bottom w:type="dxa" w:w="40"/>
              <w:right w:type="dxa" w:w="80"/>
            </w:tcMar>
          </w:tcPr>
          <w:p>
            <w:pPr>
              <w:spacing w:after="0" w:before="0"/>
            </w:pPr>
            <w:r>
              <w:rPr>
                <w:rFonts w:ascii="Times New Roman" w:cs="Times New Roman" w:eastAsia="Times New Roman" w:hAnsi="Times New Roman"/>
                <w:b/>
                <w:bCs/>
                <w:sz w:val="16"/>
                <w:szCs w:val="16"/>
              </w:rPr>
              <w:t xml:space="preserve">Total</w:t>
            </w:r>
          </w:p>
        </w:tc>
      </w:tr>
      <w:tr>
        <w:tc>
          <w:tcPr>
            <w:tcW w:type="dxa" w:w="1200"/>
            <w:tcBorders>
              <w:top w:val="single" w:color="AAAAAA" w:sz="4"/>
              <w:left w:val="single" w:color="AAAAAA" w:sz="4"/>
              <w:bottom w:val="single" w:color="AAAAAA" w:sz="4"/>
              <w:right w:val="single" w:color="AAAAAA" w:sz="4"/>
            </w:tcBorders>
            <w:shd w:fill="F0FAF0" w:val="clear"/>
            <w:tcMar>
              <w:top w:type="dxa" w:w="40"/>
              <w:left w:type="dxa" w:w="80"/>
              <w:bottom w:type="dxa" w:w="40"/>
              <w:right w:type="dxa" w:w="80"/>
            </w:tcMar>
          </w:tcPr>
          <w:p>
            <w:pPr>
              <w:spacing w:after="0" w:before="0"/>
              <w:jc w:val="right"/>
            </w:pPr>
            <w:r>
              <w:rPr>
                <w:rFonts w:ascii="Times New Roman" w:cs="Times New Roman" w:eastAsia="Times New Roman" w:hAnsi="Times New Roman"/>
                <w:b/>
                <w:bCs/>
                <w:sz w:val="16"/>
                <w:szCs w:val="16"/>
              </w:rPr>
              <w:t xml:space="preserve">PPO</w:t>
            </w:r>
          </w:p>
        </w:tc>
        <w:tc>
          <w:tcPr>
            <w:tcW w:type="dxa" w:w="900"/>
            <w:tcBorders>
              <w:top w:val="single" w:color="AAAAAA" w:sz="4"/>
              <w:left w:val="single" w:color="AAAAAA" w:sz="4"/>
              <w:bottom w:val="single" w:color="AAAAAA" w:sz="4"/>
              <w:right w:val="single" w:color="AAAAAA" w:sz="4"/>
            </w:tcBorders>
            <w:shd w:fill="F0FAF0" w:val="clear"/>
            <w:tcMar>
              <w:top w:type="dxa" w:w="40"/>
              <w:left w:type="dxa" w:w="80"/>
              <w:bottom w:type="dxa" w:w="40"/>
              <w:right w:type="dxa" w:w="80"/>
            </w:tcMar>
          </w:tcPr>
          <w:p>
            <w:pPr>
              <w:spacing w:after="0" w:before="0"/>
              <w:jc w:val="right"/>
            </w:pPr>
            <w:r>
              <w:rPr>
                <w:rFonts w:ascii="Times New Roman" w:cs="Times New Roman" w:eastAsia="Times New Roman" w:hAnsi="Times New Roman"/>
                <w:b/>
                <w:bCs/>
                <w:sz w:val="16"/>
                <w:szCs w:val="16"/>
              </w:rPr>
              <w:t xml:space="preserve">2</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127</w:t>
            </w:r>
          </w:p>
        </w:tc>
        <w:tc>
          <w:tcPr>
            <w:tcW w:type="dxa" w:w="154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129</w:t>
            </w:r>
          </w:p>
        </w:tc>
      </w:tr>
      <w:tr>
        <w:tc>
          <w:tcPr>
            <w:tcW w:type="dxa" w:w="12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left"/>
            </w:pPr>
            <w:r>
              <w:rPr>
                <w:rFonts w:ascii="Times New Roman" w:cs="Times New Roman" w:eastAsia="Times New Roman" w:hAnsi="Times New Roman"/>
                <w:sz w:val="16"/>
                <w:szCs w:val="16"/>
              </w:rPr>
              <w:t xml:space="preserve">Round Robin</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0*</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88</w:t>
            </w:r>
          </w:p>
        </w:tc>
        <w:tc>
          <w:tcPr>
            <w:tcW w:type="dxa" w:w="154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88</w:t>
            </w:r>
          </w:p>
        </w:tc>
      </w:tr>
      <w:tr>
        <w:tc>
          <w:tcPr>
            <w:tcW w:type="dxa" w:w="12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left"/>
            </w:pPr>
            <w:r>
              <w:rPr>
                <w:rFonts w:ascii="Times New Roman" w:cs="Times New Roman" w:eastAsia="Times New Roman" w:hAnsi="Times New Roman"/>
                <w:sz w:val="16"/>
                <w:szCs w:val="16"/>
              </w:rPr>
              <w:t xml:space="preserve">EDF</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7</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28</w:t>
            </w:r>
          </w:p>
        </w:tc>
        <w:tc>
          <w:tcPr>
            <w:tcW w:type="dxa" w:w="154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35</w:t>
            </w:r>
          </w:p>
        </w:tc>
      </w:tr>
      <w:tr>
        <w:tc>
          <w:tcPr>
            <w:tcW w:type="dxa" w:w="12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left"/>
            </w:pPr>
            <w:r>
              <w:rPr>
                <w:rFonts w:ascii="Times New Roman" w:cs="Times New Roman" w:eastAsia="Times New Roman" w:hAnsi="Times New Roman"/>
                <w:sz w:val="16"/>
                <w:szCs w:val="16"/>
              </w:rPr>
              <w:t xml:space="preserve">RMS</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13</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16</w:t>
            </w:r>
          </w:p>
        </w:tc>
        <w:tc>
          <w:tcPr>
            <w:tcW w:type="dxa" w:w="154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29</w:t>
            </w:r>
          </w:p>
        </w:tc>
      </w:tr>
    </w:tbl>
    <w:p>
      <w:pPr>
        <w:spacing w:after="60" w:before="0" w:line="240"/>
      </w:pPr>
      <w:r>
        <w:rPr>
          <w:rFonts w:ascii="Times New Roman" w:cs="Times New Roman" w:eastAsia="Times New Roman" w:hAnsi="Times New Roman"/>
          <w:sz w:val="20"/>
          <w:szCs w:val="20"/>
        </w:rPr>
        <w:t xml:space="preserve">PPO achieves </w:t>
      </w:r>
      <w:r>
        <w:rPr>
          <w:rFonts w:ascii="Times New Roman" w:cs="Times New Roman" w:eastAsia="Times New Roman" w:hAnsi="Times New Roman"/>
          <w:b/>
          <w:bCs/>
          <w:sz w:val="20"/>
          <w:szCs w:val="20"/>
        </w:rPr>
        <w:t xml:space="preserve">71% fewer HI-critical misses than EDF</w:t>
      </w:r>
      <w:r>
        <w:rPr>
          <w:rFonts w:ascii="Times New Roman" w:cs="Times New Roman" w:eastAsia="Times New Roman" w:hAnsi="Times New Roman"/>
          <w:sz w:val="20"/>
          <w:szCs w:val="20"/>
        </w:rPr>
        <w:t xml:space="preserve"> (2 vs 7). Round Robin achieves 0 HI misses coincidentally: Uₕᴵ = 0.25, so equal CPU share (1/6 per task) accidentally covers all HI deadlines. On any taskset where Uₕᴵ &gt; 1/n this coincidence disappears.</w:t>
      </w:r>
    </w:p>
    <w:p>
      <w:pPr>
        <w:spacing w:after="40" w:before="60"/>
        <w:jc w:val="center"/>
      </w:pPr>
      <w:r>
        <w:drawing>
          <wp:inline distT="0" distB="0" distL="0" distR="0">
            <wp:extent cx="3200400" cy="1943100"/>
            <wp:effectExtent t="0" r="0" b="0" l="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00400" cy="1943100"/>
                    </a:xfrm>
                    <a:prstGeom prst="rect">
                      <a:avLst/>
                    </a:prstGeom>
                  </pic:spPr>
                </pic:pic>
              </a:graphicData>
            </a:graphic>
          </wp:inline>
        </w:drawing>
      </w:r>
    </w:p>
    <w:p>
      <w:pPr>
        <w:spacing w:after="80" w:before="40" w:line="240"/>
        <w:jc w:val="center"/>
      </w:pPr>
      <w:r>
        <w:rPr>
          <w:rFonts w:ascii="Times New Roman" w:cs="Times New Roman" w:eastAsia="Times New Roman" w:hAnsi="Times New Roman"/>
          <w:sz w:val="16"/>
          <w:szCs w:val="16"/>
        </w:rPr>
        <w:t xml:space="preserve">Fig. 2. Python simulation results. Dark fill = HI-critical misses, light fill = LO-soft misses. (a) Very Hard U=1.87. (b) Vestal inverted-priority.</w:t>
      </w:r>
    </w:p>
    <w:p>
      <w:pPr>
        <w:spacing w:after="40" w:before="80" w:line="240"/>
      </w:pPr>
      <w:r>
        <w:rPr>
          <w:rFonts w:ascii="Times New Roman" w:cs="Times New Roman" w:eastAsia="Times New Roman" w:hAnsi="Times New Roman"/>
          <w:b/>
          <w:bCs/>
          <w:i/>
          <w:iCs/>
          <w:sz w:val="20"/>
          <w:szCs w:val="20"/>
        </w:rPr>
        <w:t xml:space="preserve">C. xv6: Vestal and Mälardalen Benchmarks</w:t>
      </w:r>
    </w:p>
    <w:p>
      <w:pPr>
        <w:spacing w:after="60" w:before="0" w:line="240"/>
      </w:pPr>
      <w:r>
        <w:rPr>
          <w:rFonts w:ascii="Times New Roman" w:cs="Times New Roman" w:eastAsia="Times New Roman" w:hAnsi="Times New Roman"/>
          <w:sz w:val="20"/>
          <w:szCs w:val="20"/>
        </w:rPr>
        <w:t xml:space="preserve">Tables V and VI report live execution results on xv6-riscv in QEMU, confirming Vestal’s theoretical prediction on a real OS.</w:t>
      </w:r>
      <w:r>
        <w:rPr>
          <w:rFonts w:ascii="Times New Roman" w:cs="Times New Roman" w:eastAsia="Times New Roman" w:hAnsi="Times New Roman"/>
          <w:sz w:val="20"/>
          <w:szCs w:val="20"/>
        </w:rPr>
        <w:t xml:space="preserve"> Throughout xv6 result tables, the column labeled NN denotes the deployed PPO-trained policy—identical to the PPO column in Python simulation tables (Tables III–IV); the label changes to reflect that only the Q10 integer weights are present at runtime, with no Python or training infrastructure.</w:t>
      </w:r>
    </w:p>
    <w:p>
      <w:pPr>
        <w:spacing w:after="40" w:before="80" w:line="240"/>
        <w:jc w:val="center"/>
      </w:pPr>
      <w:r>
        <w:rPr>
          <w:rFonts w:ascii="Times New Roman" w:cs="Times New Roman" w:eastAsia="Times New Roman" w:hAnsi="Times New Roman"/>
          <w:b/>
          <w:bCs/>
          <w:caps/>
          <w:sz w:val="16"/>
          <w:szCs w:val="16"/>
        </w:rPr>
        <w:t xml:space="preserve">Table V
xv6 Vestal MC Benchmark (rtvestal, 200 ticks, U = 1.33)</w:t>
      </w:r>
    </w:p>
    <w:tbl>
      <w:tblPr>
        <w:tblW w:type="dxa" w:w="454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900"/>
        <w:gridCol w:w="1540"/>
      </w:tblGrid>
      <w:tr>
        <w:tc>
          <w:tcPr>
            <w:tcW w:type="dxa" w:w="1200"/>
            <w:tcBorders>
              <w:top w:val="single" w:color="AAAAAA" w:sz="4"/>
              <w:left w:val="single" w:color="AAAAAA" w:sz="4"/>
              <w:bottom w:val="single" w:color="AAAAAA" w:sz="4"/>
              <w:right w:val="single" w:color="AAAAAA" w:sz="4"/>
            </w:tcBorders>
            <w:shd w:fill="E8E8E8" w:val="clear"/>
            <w:tcMar>
              <w:top w:type="dxa" w:w="40"/>
              <w:left w:type="dxa" w:w="80"/>
              <w:bottom w:type="dxa" w:w="40"/>
              <w:right w:type="dxa" w:w="80"/>
            </w:tcMar>
          </w:tcPr>
          <w:p>
            <w:pPr>
              <w:spacing w:after="0" w:before="0"/>
            </w:pPr>
            <w:r>
              <w:rPr>
                <w:rFonts w:ascii="Times New Roman" w:cs="Times New Roman" w:eastAsia="Times New Roman" w:hAnsi="Times New Roman"/>
                <w:b/>
                <w:bCs/>
                <w:sz w:val="16"/>
                <w:szCs w:val="16"/>
              </w:rPr>
              <w:t xml:space="preserve">Scheduler</w:t>
            </w:r>
          </w:p>
        </w:tc>
        <w:tc>
          <w:tcPr>
            <w:tcW w:type="dxa" w:w="900"/>
            <w:tcBorders>
              <w:top w:val="single" w:color="AAAAAA" w:sz="4"/>
              <w:left w:val="single" w:color="AAAAAA" w:sz="4"/>
              <w:bottom w:val="single" w:color="AAAAAA" w:sz="4"/>
              <w:right w:val="single" w:color="AAAAAA" w:sz="4"/>
            </w:tcBorders>
            <w:shd w:fill="E8E8E8" w:val="clear"/>
            <w:tcMar>
              <w:top w:type="dxa" w:w="40"/>
              <w:left w:type="dxa" w:w="80"/>
              <w:bottom w:type="dxa" w:w="40"/>
              <w:right w:type="dxa" w:w="80"/>
            </w:tcMar>
          </w:tcPr>
          <w:p>
            <w:pPr>
              <w:spacing w:after="0" w:before="0"/>
            </w:pPr>
            <w:r>
              <w:rPr>
                <w:rFonts w:ascii="Times New Roman" w:cs="Times New Roman" w:eastAsia="Times New Roman" w:hAnsi="Times New Roman"/>
                <w:b/>
                <w:bCs/>
                <w:sz w:val="16"/>
                <w:szCs w:val="16"/>
              </w:rPr>
              <w:t xml:space="preserve">HI Misses</w:t>
            </w:r>
          </w:p>
        </w:tc>
        <w:tc>
          <w:tcPr>
            <w:tcW w:type="dxa" w:w="900"/>
            <w:tcBorders>
              <w:top w:val="single" w:color="AAAAAA" w:sz="4"/>
              <w:left w:val="single" w:color="AAAAAA" w:sz="4"/>
              <w:bottom w:val="single" w:color="AAAAAA" w:sz="4"/>
              <w:right w:val="single" w:color="AAAAAA" w:sz="4"/>
            </w:tcBorders>
            <w:shd w:fill="E8E8E8" w:val="clear"/>
            <w:tcMar>
              <w:top w:type="dxa" w:w="40"/>
              <w:left w:type="dxa" w:w="80"/>
              <w:bottom w:type="dxa" w:w="40"/>
              <w:right w:type="dxa" w:w="80"/>
            </w:tcMar>
          </w:tcPr>
          <w:p>
            <w:pPr>
              <w:spacing w:after="0" w:before="0"/>
            </w:pPr>
            <w:r>
              <w:rPr>
                <w:rFonts w:ascii="Times New Roman" w:cs="Times New Roman" w:eastAsia="Times New Roman" w:hAnsi="Times New Roman"/>
                <w:b/>
                <w:bCs/>
                <w:sz w:val="16"/>
                <w:szCs w:val="16"/>
              </w:rPr>
              <w:t xml:space="preserve">LO Misses</w:t>
            </w:r>
          </w:p>
        </w:tc>
        <w:tc>
          <w:tcPr>
            <w:tcW w:type="dxa" w:w="1540"/>
            <w:tcBorders>
              <w:top w:val="single" w:color="AAAAAA" w:sz="4"/>
              <w:left w:val="single" w:color="AAAAAA" w:sz="4"/>
              <w:bottom w:val="single" w:color="AAAAAA" w:sz="4"/>
              <w:right w:val="single" w:color="AAAAAA" w:sz="4"/>
            </w:tcBorders>
            <w:shd w:fill="E8E8E8" w:val="clear"/>
            <w:tcMar>
              <w:top w:type="dxa" w:w="40"/>
              <w:left w:type="dxa" w:w="80"/>
              <w:bottom w:type="dxa" w:w="40"/>
              <w:right w:type="dxa" w:w="80"/>
            </w:tcMar>
          </w:tcPr>
          <w:p>
            <w:pPr>
              <w:spacing w:after="0" w:before="0"/>
            </w:pPr>
            <w:r>
              <w:rPr>
                <w:rFonts w:ascii="Times New Roman" w:cs="Times New Roman" w:eastAsia="Times New Roman" w:hAnsi="Times New Roman"/>
                <w:b/>
                <w:bCs/>
                <w:sz w:val="16"/>
                <w:szCs w:val="16"/>
              </w:rPr>
              <w:t xml:space="preserve">Total</w:t>
            </w:r>
          </w:p>
        </w:tc>
      </w:tr>
      <w:tr>
        <w:tc>
          <w:tcPr>
            <w:tcW w:type="dxa" w:w="1200"/>
            <w:tcBorders>
              <w:top w:val="single" w:color="AAAAAA" w:sz="4"/>
              <w:left w:val="single" w:color="AAAAAA" w:sz="4"/>
              <w:bottom w:val="single" w:color="AAAAAA" w:sz="4"/>
              <w:right w:val="single" w:color="AAAAAA" w:sz="4"/>
            </w:tcBorders>
            <w:shd w:fill="F0FAF0" w:val="clear"/>
            <w:tcMar>
              <w:top w:type="dxa" w:w="40"/>
              <w:left w:type="dxa" w:w="80"/>
              <w:bottom w:type="dxa" w:w="40"/>
              <w:right w:type="dxa" w:w="80"/>
            </w:tcMar>
          </w:tcPr>
          <w:p>
            <w:pPr>
              <w:spacing w:after="0" w:before="0"/>
              <w:jc w:val="right"/>
            </w:pPr>
            <w:r>
              <w:rPr>
                <w:rFonts w:ascii="Times New Roman" w:cs="Times New Roman" w:eastAsia="Times New Roman" w:hAnsi="Times New Roman"/>
                <w:b/>
                <w:bCs/>
                <w:sz w:val="16"/>
                <w:szCs w:val="16"/>
              </w:rPr>
              <w:t xml:space="preserve">NN</w:t>
            </w:r>
          </w:p>
        </w:tc>
        <w:tc>
          <w:tcPr>
            <w:tcW w:type="dxa" w:w="900"/>
            <w:tcBorders>
              <w:top w:val="single" w:color="AAAAAA" w:sz="4"/>
              <w:left w:val="single" w:color="AAAAAA" w:sz="4"/>
              <w:bottom w:val="single" w:color="AAAAAA" w:sz="4"/>
              <w:right w:val="single" w:color="AAAAAA" w:sz="4"/>
            </w:tcBorders>
            <w:shd w:fill="F0FAF0" w:val="clear"/>
            <w:tcMar>
              <w:top w:type="dxa" w:w="40"/>
              <w:left w:type="dxa" w:w="80"/>
              <w:bottom w:type="dxa" w:w="40"/>
              <w:right w:type="dxa" w:w="80"/>
            </w:tcMar>
          </w:tcPr>
          <w:p>
            <w:pPr>
              <w:spacing w:after="0" w:before="0"/>
              <w:jc w:val="right"/>
            </w:pPr>
            <w:r>
              <w:rPr>
                <w:rFonts w:ascii="Times New Roman" w:cs="Times New Roman" w:eastAsia="Times New Roman" w:hAnsi="Times New Roman"/>
                <w:b/>
                <w:bCs/>
                <w:sz w:val="16"/>
                <w:szCs w:val="16"/>
              </w:rPr>
              <w:t xml:space="preserve">0</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44</w:t>
            </w:r>
          </w:p>
        </w:tc>
        <w:tc>
          <w:tcPr>
            <w:tcW w:type="dxa" w:w="154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44</w:t>
            </w:r>
          </w:p>
        </w:tc>
      </w:tr>
      <w:tr>
        <w:tc>
          <w:tcPr>
            <w:tcW w:type="dxa" w:w="12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left"/>
            </w:pPr>
            <w:r>
              <w:rPr>
                <w:rFonts w:ascii="Times New Roman" w:cs="Times New Roman" w:eastAsia="Times New Roman" w:hAnsi="Times New Roman"/>
                <w:sz w:val="16"/>
                <w:szCs w:val="16"/>
              </w:rPr>
              <w:t xml:space="preserve">MLFQ</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0†</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37</w:t>
            </w:r>
          </w:p>
        </w:tc>
        <w:tc>
          <w:tcPr>
            <w:tcW w:type="dxa" w:w="154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37</w:t>
            </w:r>
          </w:p>
        </w:tc>
      </w:tr>
      <w:tr>
        <w:tc>
          <w:tcPr>
            <w:tcW w:type="dxa" w:w="12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left"/>
            </w:pPr>
            <w:r>
              <w:rPr>
                <w:rFonts w:ascii="Times New Roman" w:cs="Times New Roman" w:eastAsia="Times New Roman" w:hAnsi="Times New Roman"/>
                <w:sz w:val="16"/>
                <w:szCs w:val="16"/>
              </w:rPr>
              <w:t xml:space="preserve">Round Robin</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0*</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77</w:t>
            </w:r>
          </w:p>
        </w:tc>
        <w:tc>
          <w:tcPr>
            <w:tcW w:type="dxa" w:w="154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77</w:t>
            </w:r>
          </w:p>
        </w:tc>
      </w:tr>
      <w:tr>
        <w:tc>
          <w:tcPr>
            <w:tcW w:type="dxa" w:w="12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left"/>
            </w:pPr>
            <w:r>
              <w:rPr>
                <w:rFonts w:ascii="Times New Roman" w:cs="Times New Roman" w:eastAsia="Times New Roman" w:hAnsi="Times New Roman"/>
                <w:sz w:val="16"/>
                <w:szCs w:val="16"/>
              </w:rPr>
              <w:t xml:space="preserve">EDF</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5</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23</w:t>
            </w:r>
          </w:p>
        </w:tc>
        <w:tc>
          <w:tcPr>
            <w:tcW w:type="dxa" w:w="154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28</w:t>
            </w:r>
          </w:p>
        </w:tc>
      </w:tr>
      <w:tr>
        <w:tc>
          <w:tcPr>
            <w:tcW w:type="dxa" w:w="12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left"/>
            </w:pPr>
            <w:r>
              <w:rPr>
                <w:rFonts w:ascii="Times New Roman" w:cs="Times New Roman" w:eastAsia="Times New Roman" w:hAnsi="Times New Roman"/>
                <w:sz w:val="16"/>
                <w:szCs w:val="16"/>
              </w:rPr>
              <w:t xml:space="preserve">RMS</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8</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15</w:t>
            </w:r>
          </w:p>
        </w:tc>
        <w:tc>
          <w:tcPr>
            <w:tcW w:type="dxa" w:w="154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23</w:t>
            </w:r>
          </w:p>
        </w:tc>
      </w:tr>
    </w:tbl>
    <w:p>
      <w:pPr>
        <w:spacing w:after="60" w:before="0" w:line="240"/>
      </w:pPr>
      <w:r>
        <w:rPr>
          <w:rFonts w:ascii="Times New Roman" w:cs="Times New Roman" w:eastAsia="Times New Roman" w:hAnsi="Times New Roman"/>
          <w:i/>
          <w:iCs/>
          <w:sz w:val="18"/>
          <w:szCs w:val="18"/>
        </w:rPr>
        <w:t xml:space="preserve">*RR coincidence: Uₕᴵ = 0.25. †MLFQ: aging artifact, not a design guarantee.</w:t>
      </w:r>
    </w:p>
    <w:p>
      <w:pPr>
        <w:spacing w:after="40" w:before="80" w:line="240"/>
        <w:jc w:val="center"/>
      </w:pPr>
      <w:r>
        <w:rPr>
          <w:rFonts w:ascii="Times New Roman" w:cs="Times New Roman" w:eastAsia="Times New Roman" w:hAnsi="Times New Roman"/>
          <w:b/>
          <w:bCs/>
          <w:caps/>
          <w:sz w:val="16"/>
          <w:szCs w:val="16"/>
        </w:rPr>
        <w:t xml:space="preserve">Table VI
xv6 Mälardalen Ports (rtmaladalen, 200 ticks, U = 1.16)</w:t>
      </w:r>
    </w:p>
    <w:tbl>
      <w:tblPr>
        <w:tblW w:type="dxa" w:w="454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900"/>
        <w:gridCol w:w="1540"/>
      </w:tblGrid>
      <w:tr>
        <w:tc>
          <w:tcPr>
            <w:tcW w:type="dxa" w:w="1200"/>
            <w:tcBorders>
              <w:top w:val="single" w:color="AAAAAA" w:sz="4"/>
              <w:left w:val="single" w:color="AAAAAA" w:sz="4"/>
              <w:bottom w:val="single" w:color="AAAAAA" w:sz="4"/>
              <w:right w:val="single" w:color="AAAAAA" w:sz="4"/>
            </w:tcBorders>
            <w:shd w:fill="E8E8E8" w:val="clear"/>
            <w:tcMar>
              <w:top w:type="dxa" w:w="40"/>
              <w:left w:type="dxa" w:w="80"/>
              <w:bottom w:type="dxa" w:w="40"/>
              <w:right w:type="dxa" w:w="80"/>
            </w:tcMar>
          </w:tcPr>
          <w:p>
            <w:pPr>
              <w:spacing w:after="0" w:before="0"/>
            </w:pPr>
            <w:r>
              <w:rPr>
                <w:rFonts w:ascii="Times New Roman" w:cs="Times New Roman" w:eastAsia="Times New Roman" w:hAnsi="Times New Roman"/>
                <w:b/>
                <w:bCs/>
                <w:sz w:val="16"/>
                <w:szCs w:val="16"/>
              </w:rPr>
              <w:t xml:space="preserve">Scheduler</w:t>
            </w:r>
          </w:p>
        </w:tc>
        <w:tc>
          <w:tcPr>
            <w:tcW w:type="dxa" w:w="900"/>
            <w:tcBorders>
              <w:top w:val="single" w:color="AAAAAA" w:sz="4"/>
              <w:left w:val="single" w:color="AAAAAA" w:sz="4"/>
              <w:bottom w:val="single" w:color="AAAAAA" w:sz="4"/>
              <w:right w:val="single" w:color="AAAAAA" w:sz="4"/>
            </w:tcBorders>
            <w:shd w:fill="E8E8E8" w:val="clear"/>
            <w:tcMar>
              <w:top w:type="dxa" w:w="40"/>
              <w:left w:type="dxa" w:w="80"/>
              <w:bottom w:type="dxa" w:w="40"/>
              <w:right w:type="dxa" w:w="80"/>
            </w:tcMar>
          </w:tcPr>
          <w:p>
            <w:pPr>
              <w:spacing w:after="0" w:before="0"/>
            </w:pPr>
            <w:r>
              <w:rPr>
                <w:rFonts w:ascii="Times New Roman" w:cs="Times New Roman" w:eastAsia="Times New Roman" w:hAnsi="Times New Roman"/>
                <w:b/>
                <w:bCs/>
                <w:sz w:val="16"/>
                <w:szCs w:val="16"/>
              </w:rPr>
              <w:t xml:space="preserve">HI Misses</w:t>
            </w:r>
          </w:p>
        </w:tc>
        <w:tc>
          <w:tcPr>
            <w:tcW w:type="dxa" w:w="900"/>
            <w:tcBorders>
              <w:top w:val="single" w:color="AAAAAA" w:sz="4"/>
              <w:left w:val="single" w:color="AAAAAA" w:sz="4"/>
              <w:bottom w:val="single" w:color="AAAAAA" w:sz="4"/>
              <w:right w:val="single" w:color="AAAAAA" w:sz="4"/>
            </w:tcBorders>
            <w:shd w:fill="E8E8E8" w:val="clear"/>
            <w:tcMar>
              <w:top w:type="dxa" w:w="40"/>
              <w:left w:type="dxa" w:w="80"/>
              <w:bottom w:type="dxa" w:w="40"/>
              <w:right w:type="dxa" w:w="80"/>
            </w:tcMar>
          </w:tcPr>
          <w:p>
            <w:pPr>
              <w:spacing w:after="0" w:before="0"/>
            </w:pPr>
            <w:r>
              <w:rPr>
                <w:rFonts w:ascii="Times New Roman" w:cs="Times New Roman" w:eastAsia="Times New Roman" w:hAnsi="Times New Roman"/>
                <w:b/>
                <w:bCs/>
                <w:sz w:val="16"/>
                <w:szCs w:val="16"/>
              </w:rPr>
              <w:t xml:space="preserve">LO Misses</w:t>
            </w:r>
          </w:p>
        </w:tc>
        <w:tc>
          <w:tcPr>
            <w:tcW w:type="dxa" w:w="1540"/>
            <w:tcBorders>
              <w:top w:val="single" w:color="AAAAAA" w:sz="4"/>
              <w:left w:val="single" w:color="AAAAAA" w:sz="4"/>
              <w:bottom w:val="single" w:color="AAAAAA" w:sz="4"/>
              <w:right w:val="single" w:color="AAAAAA" w:sz="4"/>
            </w:tcBorders>
            <w:shd w:fill="E8E8E8" w:val="clear"/>
            <w:tcMar>
              <w:top w:type="dxa" w:w="40"/>
              <w:left w:type="dxa" w:w="80"/>
              <w:bottom w:type="dxa" w:w="40"/>
              <w:right w:type="dxa" w:w="80"/>
            </w:tcMar>
          </w:tcPr>
          <w:p>
            <w:pPr>
              <w:spacing w:after="0" w:before="0"/>
            </w:pPr>
            <w:r>
              <w:rPr>
                <w:rFonts w:ascii="Times New Roman" w:cs="Times New Roman" w:eastAsia="Times New Roman" w:hAnsi="Times New Roman"/>
                <w:b/>
                <w:bCs/>
                <w:sz w:val="16"/>
                <w:szCs w:val="16"/>
              </w:rPr>
              <w:t xml:space="preserve">Total</w:t>
            </w:r>
          </w:p>
        </w:tc>
      </w:tr>
      <w:tr>
        <w:tc>
          <w:tcPr>
            <w:tcW w:type="dxa" w:w="1200"/>
            <w:tcBorders>
              <w:top w:val="single" w:color="AAAAAA" w:sz="4"/>
              <w:left w:val="single" w:color="AAAAAA" w:sz="4"/>
              <w:bottom w:val="single" w:color="AAAAAA" w:sz="4"/>
              <w:right w:val="single" w:color="AAAAAA" w:sz="4"/>
            </w:tcBorders>
            <w:shd w:fill="F0FAF0" w:val="clear"/>
            <w:tcMar>
              <w:top w:type="dxa" w:w="40"/>
              <w:left w:type="dxa" w:w="80"/>
              <w:bottom w:type="dxa" w:w="40"/>
              <w:right w:type="dxa" w:w="80"/>
            </w:tcMar>
          </w:tcPr>
          <w:p>
            <w:pPr>
              <w:spacing w:after="0" w:before="0"/>
              <w:jc w:val="right"/>
            </w:pPr>
            <w:r>
              <w:rPr>
                <w:rFonts w:ascii="Times New Roman" w:cs="Times New Roman" w:eastAsia="Times New Roman" w:hAnsi="Times New Roman"/>
                <w:b/>
                <w:bCs/>
                <w:sz w:val="16"/>
                <w:szCs w:val="16"/>
              </w:rPr>
              <w:t xml:space="preserve">NN</w:t>
            </w:r>
          </w:p>
        </w:tc>
        <w:tc>
          <w:tcPr>
            <w:tcW w:type="dxa" w:w="900"/>
            <w:tcBorders>
              <w:top w:val="single" w:color="AAAAAA" w:sz="4"/>
              <w:left w:val="single" w:color="AAAAAA" w:sz="4"/>
              <w:bottom w:val="single" w:color="AAAAAA" w:sz="4"/>
              <w:right w:val="single" w:color="AAAAAA" w:sz="4"/>
            </w:tcBorders>
            <w:shd w:fill="F0FAF0" w:val="clear"/>
            <w:tcMar>
              <w:top w:type="dxa" w:w="40"/>
              <w:left w:type="dxa" w:w="80"/>
              <w:bottom w:type="dxa" w:w="40"/>
              <w:right w:type="dxa" w:w="80"/>
            </w:tcMar>
          </w:tcPr>
          <w:p>
            <w:pPr>
              <w:spacing w:after="0" w:before="0"/>
              <w:jc w:val="right"/>
            </w:pPr>
            <w:r>
              <w:rPr>
                <w:rFonts w:ascii="Times New Roman" w:cs="Times New Roman" w:eastAsia="Times New Roman" w:hAnsi="Times New Roman"/>
                <w:b/>
                <w:bCs/>
                <w:sz w:val="16"/>
                <w:szCs w:val="16"/>
              </w:rPr>
              <w:t xml:space="preserve">0</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22</w:t>
            </w:r>
          </w:p>
        </w:tc>
        <w:tc>
          <w:tcPr>
            <w:tcW w:type="dxa" w:w="154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22</w:t>
            </w:r>
          </w:p>
        </w:tc>
      </w:tr>
      <w:tr>
        <w:tc>
          <w:tcPr>
            <w:tcW w:type="dxa" w:w="12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left"/>
            </w:pPr>
            <w:r>
              <w:rPr>
                <w:rFonts w:ascii="Times New Roman" w:cs="Times New Roman" w:eastAsia="Times New Roman" w:hAnsi="Times New Roman"/>
                <w:sz w:val="16"/>
                <w:szCs w:val="16"/>
              </w:rPr>
              <w:t xml:space="preserve">MLFQ</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0†</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22</w:t>
            </w:r>
          </w:p>
        </w:tc>
        <w:tc>
          <w:tcPr>
            <w:tcW w:type="dxa" w:w="154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22</w:t>
            </w:r>
          </w:p>
        </w:tc>
      </w:tr>
      <w:tr>
        <w:tc>
          <w:tcPr>
            <w:tcW w:type="dxa" w:w="12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left"/>
            </w:pPr>
            <w:r>
              <w:rPr>
                <w:rFonts w:ascii="Times New Roman" w:cs="Times New Roman" w:eastAsia="Times New Roman" w:hAnsi="Times New Roman"/>
                <w:sz w:val="16"/>
                <w:szCs w:val="16"/>
              </w:rPr>
              <w:t xml:space="preserve">EDF</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1</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9</w:t>
            </w:r>
          </w:p>
        </w:tc>
        <w:tc>
          <w:tcPr>
            <w:tcW w:type="dxa" w:w="154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10</w:t>
            </w:r>
          </w:p>
        </w:tc>
      </w:tr>
      <w:tr>
        <w:tc>
          <w:tcPr>
            <w:tcW w:type="dxa" w:w="12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left"/>
            </w:pPr>
            <w:r>
              <w:rPr>
                <w:rFonts w:ascii="Times New Roman" w:cs="Times New Roman" w:eastAsia="Times New Roman" w:hAnsi="Times New Roman"/>
                <w:sz w:val="16"/>
                <w:szCs w:val="16"/>
              </w:rPr>
              <w:t xml:space="preserve">RMS</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4</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0</w:t>
            </w:r>
          </w:p>
        </w:tc>
        <w:tc>
          <w:tcPr>
            <w:tcW w:type="dxa" w:w="154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4</w:t>
            </w:r>
          </w:p>
        </w:tc>
      </w:tr>
      <w:tr>
        <w:tc>
          <w:tcPr>
            <w:tcW w:type="dxa" w:w="12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left"/>
            </w:pPr>
            <w:r>
              <w:rPr>
                <w:rFonts w:ascii="Times New Roman" w:cs="Times New Roman" w:eastAsia="Times New Roman" w:hAnsi="Times New Roman"/>
                <w:sz w:val="16"/>
                <w:szCs w:val="16"/>
              </w:rPr>
              <w:t xml:space="preserve">Round Robin</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3</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38</w:t>
            </w:r>
          </w:p>
        </w:tc>
        <w:tc>
          <w:tcPr>
            <w:tcW w:type="dxa" w:w="154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41</w:t>
            </w:r>
          </w:p>
        </w:tc>
      </w:tr>
    </w:tbl>
    <w:p>
      <w:pPr>
        <w:spacing w:after="40" w:before="0" w:line="240"/>
      </w:pPr>
      <w:r>
        <w:rPr>
          <w:rFonts w:ascii="Times New Roman" w:cs="Times New Roman" w:eastAsia="Times New Roman" w:hAnsi="Times New Roman"/>
          <w:sz w:val="20"/>
          <w:szCs w:val="20"/>
        </w:rPr>
        <w:t xml:space="preserve"/>
      </w:r>
    </w:p>
    <w:p>
      <w:pPr>
        <w:spacing w:after="40" w:before="80" w:line="240"/>
      </w:pPr>
      <w:r>
        <w:rPr>
          <w:rFonts w:ascii="Times New Roman" w:cs="Times New Roman" w:eastAsia="Times New Roman" w:hAnsi="Times New Roman"/>
          <w:b/>
          <w:bCs/>
          <w:i/>
          <w:iCs/>
          <w:sz w:val="20"/>
          <w:szCs w:val="20"/>
        </w:rPr>
        <w:t xml:space="preserve">D. xv6: GUI and Drone Benchmarks</w:t>
      </w:r>
    </w:p>
    <w:p>
      <w:pPr>
        <w:spacing w:after="60" w:before="0" w:line="240"/>
      </w:pPr>
      <w:r>
        <w:rPr>
          <w:rFonts w:ascii="Times New Roman" w:cs="Times New Roman" w:eastAsia="Times New Roman" w:hAnsi="Times New Roman"/>
          <w:sz w:val="20"/>
          <w:szCs w:val="20"/>
        </w:rPr>
        <w:t xml:space="preserve">Table VII consolidates all xv6 GUI variants and the drone benchmark. The rtgui_b benchmark recreates the Vestal failure mode in a realistic GUI workload: the compositor task (LO, T=12, WCET=8) has a shorter period than the render task (HI, T=16, WCET=5), replicating the inverted-priority structure.</w:t>
      </w:r>
    </w:p>
    <w:p>
      <w:pPr>
        <w:spacing w:after="40" w:before="80" w:line="240"/>
        <w:jc w:val="center"/>
      </w:pPr>
      <w:r>
        <w:rPr>
          <w:rFonts w:ascii="Times New Roman" w:cs="Times New Roman" w:eastAsia="Times New Roman" w:hAnsi="Times New Roman"/>
          <w:b/>
          <w:bCs/>
          <w:caps/>
          <w:sz w:val="16"/>
          <w:szCs w:val="16"/>
        </w:rPr>
        <w:t xml:space="preserve">Table VII
xv6 GUI and Drone Benchmarks (HI-Critical Misses)</w:t>
      </w:r>
    </w:p>
    <w:tbl>
      <w:tblPr>
        <w:tblW w:type="dxa" w:w="4540"/>
        <w:tblBorders>
          <w:top w:val="single" w:color="auto" w:sz="4"/>
          <w:left w:val="single" w:color="auto" w:sz="4"/>
          <w:bottom w:val="single" w:color="auto" w:sz="4"/>
          <w:right w:val="single" w:color="auto" w:sz="4"/>
          <w:insideH w:val="single" w:color="auto" w:sz="4"/>
          <w:insideV w:val="single" w:color="auto" w:sz="4"/>
        </w:tblBorders>
      </w:tblPr>
      <w:tblGrid>
        <w:gridCol w:w="1200"/>
        <w:gridCol w:w="570"/>
        <w:gridCol w:w="570"/>
        <w:gridCol w:w="570"/>
        <w:gridCol w:w="570"/>
        <w:gridCol w:w="1060"/>
      </w:tblGrid>
      <w:tr>
        <w:tc>
          <w:tcPr>
            <w:tcW w:type="dxa" w:w="1200"/>
            <w:tcBorders>
              <w:top w:val="single" w:color="AAAAAA" w:sz="4"/>
              <w:left w:val="single" w:color="AAAAAA" w:sz="4"/>
              <w:bottom w:val="single" w:color="AAAAAA" w:sz="4"/>
              <w:right w:val="single" w:color="AAAAAA" w:sz="4"/>
            </w:tcBorders>
            <w:shd w:fill="E8E8E8" w:val="clear"/>
            <w:tcMar>
              <w:top w:type="dxa" w:w="40"/>
              <w:left w:type="dxa" w:w="80"/>
              <w:bottom w:type="dxa" w:w="40"/>
              <w:right w:type="dxa" w:w="80"/>
            </w:tcMar>
          </w:tcPr>
          <w:p>
            <w:pPr>
              <w:spacing w:after="0" w:before="0"/>
            </w:pPr>
            <w:r>
              <w:rPr>
                <w:rFonts w:ascii="Times New Roman" w:cs="Times New Roman" w:eastAsia="Times New Roman" w:hAnsi="Times New Roman"/>
                <w:b/>
                <w:bCs/>
                <w:sz w:val="16"/>
                <w:szCs w:val="16"/>
              </w:rPr>
              <w:t xml:space="preserve">Benchmark</w:t>
            </w:r>
          </w:p>
        </w:tc>
        <w:tc>
          <w:tcPr>
            <w:tcW w:type="dxa" w:w="570"/>
            <w:tcBorders>
              <w:top w:val="single" w:color="AAAAAA" w:sz="4"/>
              <w:left w:val="single" w:color="AAAAAA" w:sz="4"/>
              <w:bottom w:val="single" w:color="AAAAAA" w:sz="4"/>
              <w:right w:val="single" w:color="AAAAAA" w:sz="4"/>
            </w:tcBorders>
            <w:shd w:fill="E8E8E8" w:val="clear"/>
            <w:tcMar>
              <w:top w:type="dxa" w:w="40"/>
              <w:left w:type="dxa" w:w="80"/>
              <w:bottom w:type="dxa" w:w="40"/>
              <w:right w:type="dxa" w:w="80"/>
            </w:tcMar>
          </w:tcPr>
          <w:p>
            <w:pPr>
              <w:spacing w:after="0" w:before="0"/>
            </w:pPr>
            <w:r>
              <w:rPr>
                <w:rFonts w:ascii="Times New Roman" w:cs="Times New Roman" w:eastAsia="Times New Roman" w:hAnsi="Times New Roman"/>
                <w:b/>
                <w:bCs/>
                <w:sz w:val="16"/>
                <w:szCs w:val="16"/>
              </w:rPr>
              <w:t xml:space="preserve">NN</w:t>
            </w:r>
          </w:p>
        </w:tc>
        <w:tc>
          <w:tcPr>
            <w:tcW w:type="dxa" w:w="570"/>
            <w:tcBorders>
              <w:top w:val="single" w:color="AAAAAA" w:sz="4"/>
              <w:left w:val="single" w:color="AAAAAA" w:sz="4"/>
              <w:bottom w:val="single" w:color="AAAAAA" w:sz="4"/>
              <w:right w:val="single" w:color="AAAAAA" w:sz="4"/>
            </w:tcBorders>
            <w:shd w:fill="E8E8E8" w:val="clear"/>
            <w:tcMar>
              <w:top w:type="dxa" w:w="40"/>
              <w:left w:type="dxa" w:w="80"/>
              <w:bottom w:type="dxa" w:w="40"/>
              <w:right w:type="dxa" w:w="80"/>
            </w:tcMar>
          </w:tcPr>
          <w:p>
            <w:pPr>
              <w:spacing w:after="0" w:before="0"/>
            </w:pPr>
            <w:r>
              <w:rPr>
                <w:rFonts w:ascii="Times New Roman" w:cs="Times New Roman" w:eastAsia="Times New Roman" w:hAnsi="Times New Roman"/>
                <w:b/>
                <w:bCs/>
                <w:sz w:val="16"/>
                <w:szCs w:val="16"/>
              </w:rPr>
              <w:t xml:space="preserve">EDF</w:t>
            </w:r>
          </w:p>
        </w:tc>
        <w:tc>
          <w:tcPr>
            <w:tcW w:type="dxa" w:w="570"/>
            <w:tcBorders>
              <w:top w:val="single" w:color="AAAAAA" w:sz="4"/>
              <w:left w:val="single" w:color="AAAAAA" w:sz="4"/>
              <w:bottom w:val="single" w:color="AAAAAA" w:sz="4"/>
              <w:right w:val="single" w:color="AAAAAA" w:sz="4"/>
            </w:tcBorders>
            <w:shd w:fill="E8E8E8" w:val="clear"/>
            <w:tcMar>
              <w:top w:type="dxa" w:w="40"/>
              <w:left w:type="dxa" w:w="80"/>
              <w:bottom w:type="dxa" w:w="40"/>
              <w:right w:type="dxa" w:w="80"/>
            </w:tcMar>
          </w:tcPr>
          <w:p>
            <w:pPr>
              <w:spacing w:after="0" w:before="0"/>
            </w:pPr>
            <w:r>
              <w:rPr>
                <w:rFonts w:ascii="Times New Roman" w:cs="Times New Roman" w:eastAsia="Times New Roman" w:hAnsi="Times New Roman"/>
                <w:b/>
                <w:bCs/>
                <w:sz w:val="16"/>
                <w:szCs w:val="16"/>
              </w:rPr>
              <w:t xml:space="preserve">RMS</w:t>
            </w:r>
          </w:p>
        </w:tc>
        <w:tc>
          <w:tcPr>
            <w:tcW w:type="dxa" w:w="570"/>
            <w:tcBorders>
              <w:top w:val="single" w:color="AAAAAA" w:sz="4"/>
              <w:left w:val="single" w:color="AAAAAA" w:sz="4"/>
              <w:bottom w:val="single" w:color="AAAAAA" w:sz="4"/>
              <w:right w:val="single" w:color="AAAAAA" w:sz="4"/>
            </w:tcBorders>
            <w:shd w:fill="E8E8E8" w:val="clear"/>
            <w:tcMar>
              <w:top w:type="dxa" w:w="40"/>
              <w:left w:type="dxa" w:w="80"/>
              <w:bottom w:type="dxa" w:w="40"/>
              <w:right w:type="dxa" w:w="80"/>
            </w:tcMar>
          </w:tcPr>
          <w:p>
            <w:pPr>
              <w:spacing w:after="0" w:before="0"/>
            </w:pPr>
            <w:r>
              <w:rPr>
                <w:rFonts w:ascii="Times New Roman" w:cs="Times New Roman" w:eastAsia="Times New Roman" w:hAnsi="Times New Roman"/>
                <w:b/>
                <w:bCs/>
                <w:sz w:val="16"/>
                <w:szCs w:val="16"/>
              </w:rPr>
              <w:t xml:space="preserve">MLFQ</w:t>
            </w:r>
          </w:p>
        </w:tc>
        <w:tc>
          <w:tcPr>
            <w:tcW w:type="dxa" w:w="1060"/>
            <w:tcBorders>
              <w:top w:val="single" w:color="AAAAAA" w:sz="4"/>
              <w:left w:val="single" w:color="AAAAAA" w:sz="4"/>
              <w:bottom w:val="single" w:color="AAAAAA" w:sz="4"/>
              <w:right w:val="single" w:color="AAAAAA" w:sz="4"/>
            </w:tcBorders>
            <w:shd w:fill="E8E8E8" w:val="clear"/>
            <w:tcMar>
              <w:top w:type="dxa" w:w="40"/>
              <w:left w:type="dxa" w:w="80"/>
              <w:bottom w:type="dxa" w:w="40"/>
              <w:right w:type="dxa" w:w="80"/>
            </w:tcMar>
          </w:tcPr>
          <w:p>
            <w:pPr>
              <w:spacing w:after="0" w:before="0"/>
            </w:pPr>
            <w:r>
              <w:rPr>
                <w:rFonts w:ascii="Times New Roman" w:cs="Times New Roman" w:eastAsia="Times New Roman" w:hAnsi="Times New Roman"/>
                <w:b/>
                <w:bCs/>
                <w:sz w:val="16"/>
                <w:szCs w:val="16"/>
              </w:rPr>
              <w:t xml:space="preserve">RR</w:t>
            </w:r>
          </w:p>
        </w:tc>
      </w:tr>
      <w:tr>
        <w:tc>
          <w:tcPr>
            <w:tcW w:type="dxa" w:w="12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left"/>
            </w:pPr>
            <w:r>
              <w:rPr>
                <w:rFonts w:ascii="Times New Roman" w:cs="Times New Roman" w:eastAsia="Times New Roman" w:hAnsi="Times New Roman"/>
                <w:sz w:val="16"/>
                <w:szCs w:val="16"/>
              </w:rPr>
              <w:t xml:space="preserve">rtgui (1.04)</w:t>
            </w:r>
          </w:p>
        </w:tc>
        <w:tc>
          <w:tcPr>
            <w:tcW w:type="dxa" w:w="570"/>
            <w:tcBorders>
              <w:top w:val="single" w:color="AAAAAA" w:sz="4"/>
              <w:left w:val="single" w:color="AAAAAA" w:sz="4"/>
              <w:bottom w:val="single" w:color="AAAAAA" w:sz="4"/>
              <w:right w:val="single" w:color="AAAAAA" w:sz="4"/>
            </w:tcBorders>
            <w:shd w:fill="F0FAF0" w:val="clear"/>
            <w:tcMar>
              <w:top w:type="dxa" w:w="40"/>
              <w:left w:type="dxa" w:w="80"/>
              <w:bottom w:type="dxa" w:w="40"/>
              <w:right w:type="dxa" w:w="80"/>
            </w:tcMar>
          </w:tcPr>
          <w:p>
            <w:pPr>
              <w:spacing w:after="0" w:before="0"/>
              <w:jc w:val="right"/>
            </w:pPr>
            <w:r>
              <w:rPr>
                <w:rFonts w:ascii="Times New Roman" w:cs="Times New Roman" w:eastAsia="Times New Roman" w:hAnsi="Times New Roman"/>
                <w:b/>
                <w:bCs/>
                <w:sz w:val="16"/>
                <w:szCs w:val="16"/>
              </w:rPr>
              <w:t xml:space="preserve">0</w:t>
            </w:r>
          </w:p>
        </w:tc>
        <w:tc>
          <w:tcPr>
            <w:tcW w:type="dxa" w:w="57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0</w:t>
            </w:r>
          </w:p>
        </w:tc>
        <w:tc>
          <w:tcPr>
            <w:tcW w:type="dxa" w:w="57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0</w:t>
            </w:r>
          </w:p>
        </w:tc>
        <w:tc>
          <w:tcPr>
            <w:tcW w:type="dxa" w:w="57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13</w:t>
            </w:r>
          </w:p>
        </w:tc>
        <w:tc>
          <w:tcPr>
            <w:tcW w:type="dxa" w:w="106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14</w:t>
            </w:r>
          </w:p>
        </w:tc>
      </w:tr>
      <w:tr>
        <w:tc>
          <w:tcPr>
            <w:tcW w:type="dxa" w:w="12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left"/>
            </w:pPr>
            <w:r>
              <w:rPr>
                <w:rFonts w:ascii="Times New Roman" w:cs="Times New Roman" w:eastAsia="Times New Roman" w:hAnsi="Times New Roman"/>
                <w:sz w:val="16"/>
                <w:szCs w:val="16"/>
              </w:rPr>
              <w:t xml:space="preserve">rtgui_a (1.37)</w:t>
            </w:r>
          </w:p>
        </w:tc>
        <w:tc>
          <w:tcPr>
            <w:tcW w:type="dxa" w:w="57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7</w:t>
            </w:r>
          </w:p>
        </w:tc>
        <w:tc>
          <w:tcPr>
            <w:tcW w:type="dxa" w:w="570"/>
            <w:tcBorders>
              <w:top w:val="single" w:color="AAAAAA" w:sz="4"/>
              <w:left w:val="single" w:color="AAAAAA" w:sz="4"/>
              <w:bottom w:val="single" w:color="AAAAAA" w:sz="4"/>
              <w:right w:val="single" w:color="AAAAAA" w:sz="4"/>
            </w:tcBorders>
            <w:shd w:fill="F0FAF0" w:val="clear"/>
            <w:tcMar>
              <w:top w:type="dxa" w:w="40"/>
              <w:left w:type="dxa" w:w="80"/>
              <w:bottom w:type="dxa" w:w="40"/>
              <w:right w:type="dxa" w:w="80"/>
            </w:tcMar>
          </w:tcPr>
          <w:p>
            <w:pPr>
              <w:spacing w:after="0" w:before="0"/>
              <w:jc w:val="right"/>
            </w:pPr>
            <w:r>
              <w:rPr>
                <w:rFonts w:ascii="Times New Roman" w:cs="Times New Roman" w:eastAsia="Times New Roman" w:hAnsi="Times New Roman"/>
                <w:b/>
                <w:bCs/>
                <w:sz w:val="16"/>
                <w:szCs w:val="16"/>
              </w:rPr>
              <w:t xml:space="preserve">4</w:t>
            </w:r>
          </w:p>
        </w:tc>
        <w:tc>
          <w:tcPr>
            <w:tcW w:type="dxa" w:w="570"/>
            <w:tcBorders>
              <w:top w:val="single" w:color="AAAAAA" w:sz="4"/>
              <w:left w:val="single" w:color="AAAAAA" w:sz="4"/>
              <w:bottom w:val="single" w:color="AAAAAA" w:sz="4"/>
              <w:right w:val="single" w:color="AAAAAA" w:sz="4"/>
            </w:tcBorders>
            <w:shd w:fill="F0FAF0" w:val="clear"/>
            <w:tcMar>
              <w:top w:type="dxa" w:w="40"/>
              <w:left w:type="dxa" w:w="80"/>
              <w:bottom w:type="dxa" w:w="40"/>
              <w:right w:type="dxa" w:w="80"/>
            </w:tcMar>
          </w:tcPr>
          <w:p>
            <w:pPr>
              <w:spacing w:after="0" w:before="0"/>
              <w:jc w:val="right"/>
            </w:pPr>
            <w:r>
              <w:rPr>
                <w:rFonts w:ascii="Times New Roman" w:cs="Times New Roman" w:eastAsia="Times New Roman" w:hAnsi="Times New Roman"/>
                <w:b/>
                <w:bCs/>
                <w:sz w:val="16"/>
                <w:szCs w:val="16"/>
              </w:rPr>
              <w:t xml:space="preserve">4</w:t>
            </w:r>
          </w:p>
        </w:tc>
        <w:tc>
          <w:tcPr>
            <w:tcW w:type="dxa" w:w="57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12</w:t>
            </w:r>
          </w:p>
        </w:tc>
        <w:tc>
          <w:tcPr>
            <w:tcW w:type="dxa" w:w="106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12</w:t>
            </w:r>
          </w:p>
        </w:tc>
      </w:tr>
      <w:tr>
        <w:tc>
          <w:tcPr>
            <w:tcW w:type="dxa" w:w="12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left"/>
            </w:pPr>
            <w:r>
              <w:rPr>
                <w:rFonts w:ascii="Times New Roman" w:cs="Times New Roman" w:eastAsia="Times New Roman" w:hAnsi="Times New Roman"/>
                <w:sz w:val="16"/>
                <w:szCs w:val="16"/>
              </w:rPr>
              <w:t xml:space="preserve">rtgui_b (1.69)</w:t>
            </w:r>
          </w:p>
        </w:tc>
        <w:tc>
          <w:tcPr>
            <w:tcW w:type="dxa" w:w="570"/>
            <w:tcBorders>
              <w:top w:val="single" w:color="AAAAAA" w:sz="4"/>
              <w:left w:val="single" w:color="AAAAAA" w:sz="4"/>
              <w:bottom w:val="single" w:color="AAAAAA" w:sz="4"/>
              <w:right w:val="single" w:color="AAAAAA" w:sz="4"/>
            </w:tcBorders>
            <w:shd w:fill="F0FAF0" w:val="clear"/>
            <w:tcMar>
              <w:top w:type="dxa" w:w="40"/>
              <w:left w:type="dxa" w:w="80"/>
              <w:bottom w:type="dxa" w:w="40"/>
              <w:right w:type="dxa" w:w="80"/>
            </w:tcMar>
          </w:tcPr>
          <w:p>
            <w:pPr>
              <w:spacing w:after="0" w:before="0"/>
              <w:jc w:val="right"/>
            </w:pPr>
            <w:r>
              <w:rPr>
                <w:rFonts w:ascii="Times New Roman" w:cs="Times New Roman" w:eastAsia="Times New Roman" w:hAnsi="Times New Roman"/>
                <w:b/>
                <w:bCs/>
                <w:sz w:val="16"/>
                <w:szCs w:val="16"/>
              </w:rPr>
              <w:t xml:space="preserve">3</w:t>
            </w:r>
          </w:p>
        </w:tc>
        <w:tc>
          <w:tcPr>
            <w:tcW w:type="dxa" w:w="57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10</w:t>
            </w:r>
          </w:p>
        </w:tc>
        <w:tc>
          <w:tcPr>
            <w:tcW w:type="dxa" w:w="57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18</w:t>
            </w:r>
          </w:p>
        </w:tc>
        <w:tc>
          <w:tcPr>
            <w:tcW w:type="dxa" w:w="57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19</w:t>
            </w:r>
          </w:p>
        </w:tc>
        <w:tc>
          <w:tcPr>
            <w:tcW w:type="dxa" w:w="106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18</w:t>
            </w:r>
          </w:p>
        </w:tc>
      </w:tr>
      <w:tr>
        <w:tc>
          <w:tcPr>
            <w:tcW w:type="dxa" w:w="12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left"/>
            </w:pPr>
            <w:r>
              <w:rPr>
                <w:rFonts w:ascii="Times New Roman" w:cs="Times New Roman" w:eastAsia="Times New Roman" w:hAnsi="Times New Roman"/>
                <w:sz w:val="16"/>
                <w:szCs w:val="16"/>
              </w:rPr>
              <w:t xml:space="preserve">rtbench (1.90)</w:t>
            </w:r>
          </w:p>
        </w:tc>
        <w:tc>
          <w:tcPr>
            <w:tcW w:type="dxa" w:w="57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7</w:t>
            </w:r>
          </w:p>
        </w:tc>
        <w:tc>
          <w:tcPr>
            <w:tcW w:type="dxa" w:w="570"/>
            <w:tcBorders>
              <w:top w:val="single" w:color="AAAAAA" w:sz="4"/>
              <w:left w:val="single" w:color="AAAAAA" w:sz="4"/>
              <w:bottom w:val="single" w:color="AAAAAA" w:sz="4"/>
              <w:right w:val="single" w:color="AAAAAA" w:sz="4"/>
            </w:tcBorders>
            <w:shd w:fill="F0FAF0" w:val="clear"/>
            <w:tcMar>
              <w:top w:type="dxa" w:w="40"/>
              <w:left w:type="dxa" w:w="80"/>
              <w:bottom w:type="dxa" w:w="40"/>
              <w:right w:type="dxa" w:w="80"/>
            </w:tcMar>
          </w:tcPr>
          <w:p>
            <w:pPr>
              <w:spacing w:after="0" w:before="0"/>
              <w:jc w:val="right"/>
            </w:pPr>
            <w:r>
              <w:rPr>
                <w:rFonts w:ascii="Times New Roman" w:cs="Times New Roman" w:eastAsia="Times New Roman" w:hAnsi="Times New Roman"/>
                <w:b/>
                <w:bCs/>
                <w:sz w:val="16"/>
                <w:szCs w:val="16"/>
              </w:rPr>
              <w:t xml:space="preserve">3</w:t>
            </w:r>
          </w:p>
        </w:tc>
        <w:tc>
          <w:tcPr>
            <w:tcW w:type="dxa" w:w="57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4</w:t>
            </w:r>
          </w:p>
        </w:tc>
        <w:tc>
          <w:tcPr>
            <w:tcW w:type="dxa" w:w="57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25</w:t>
            </w:r>
          </w:p>
        </w:tc>
        <w:tc>
          <w:tcPr>
            <w:tcW w:type="dxa" w:w="106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36</w:t>
            </w:r>
          </w:p>
        </w:tc>
      </w:tr>
      <w:tr>
        <w:tc>
          <w:tcPr>
            <w:tcW w:type="dxa" w:w="12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left"/>
            </w:pPr>
            <w:r>
              <w:rPr>
                <w:rFonts w:ascii="Times New Roman" w:cs="Times New Roman" w:eastAsia="Times New Roman" w:hAnsi="Times New Roman"/>
                <w:sz w:val="16"/>
                <w:szCs w:val="16"/>
              </w:rPr>
              <w:t xml:space="preserve">rtdrone (1.50)</w:t>
            </w:r>
          </w:p>
        </w:tc>
        <w:tc>
          <w:tcPr>
            <w:tcW w:type="dxa" w:w="57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1</w:t>
            </w:r>
          </w:p>
        </w:tc>
        <w:tc>
          <w:tcPr>
            <w:tcW w:type="dxa" w:w="570"/>
            <w:tcBorders>
              <w:top w:val="single" w:color="AAAAAA" w:sz="4"/>
              <w:left w:val="single" w:color="AAAAAA" w:sz="4"/>
              <w:bottom w:val="single" w:color="AAAAAA" w:sz="4"/>
              <w:right w:val="single" w:color="AAAAAA" w:sz="4"/>
            </w:tcBorders>
            <w:shd w:fill="F0FAF0" w:val="clear"/>
            <w:tcMar>
              <w:top w:type="dxa" w:w="40"/>
              <w:left w:type="dxa" w:w="80"/>
              <w:bottom w:type="dxa" w:w="40"/>
              <w:right w:type="dxa" w:w="80"/>
            </w:tcMar>
          </w:tcPr>
          <w:p>
            <w:pPr>
              <w:spacing w:after="0" w:before="0"/>
              <w:jc w:val="right"/>
            </w:pPr>
            <w:r>
              <w:rPr>
                <w:rFonts w:ascii="Times New Roman" w:cs="Times New Roman" w:eastAsia="Times New Roman" w:hAnsi="Times New Roman"/>
                <w:b/>
                <w:bCs/>
                <w:sz w:val="16"/>
                <w:szCs w:val="16"/>
              </w:rPr>
              <w:t xml:space="preserve">0</w:t>
            </w:r>
          </w:p>
        </w:tc>
        <w:tc>
          <w:tcPr>
            <w:tcW w:type="dxa" w:w="570"/>
            <w:tcBorders>
              <w:top w:val="single" w:color="AAAAAA" w:sz="4"/>
              <w:left w:val="single" w:color="AAAAAA" w:sz="4"/>
              <w:bottom w:val="single" w:color="AAAAAA" w:sz="4"/>
              <w:right w:val="single" w:color="AAAAAA" w:sz="4"/>
            </w:tcBorders>
            <w:shd w:fill="F0FAF0" w:val="clear"/>
            <w:tcMar>
              <w:top w:type="dxa" w:w="40"/>
              <w:left w:type="dxa" w:w="80"/>
              <w:bottom w:type="dxa" w:w="40"/>
              <w:right w:type="dxa" w:w="80"/>
            </w:tcMar>
          </w:tcPr>
          <w:p>
            <w:pPr>
              <w:spacing w:after="0" w:before="0"/>
              <w:jc w:val="right"/>
            </w:pPr>
            <w:r>
              <w:rPr>
                <w:rFonts w:ascii="Times New Roman" w:cs="Times New Roman" w:eastAsia="Times New Roman" w:hAnsi="Times New Roman"/>
                <w:b/>
                <w:bCs/>
                <w:sz w:val="16"/>
                <w:szCs w:val="16"/>
              </w:rPr>
              <w:t xml:space="preserve">0</w:t>
            </w:r>
          </w:p>
        </w:tc>
        <w:tc>
          <w:tcPr>
            <w:tcW w:type="dxa" w:w="57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50</w:t>
            </w:r>
          </w:p>
        </w:tc>
        <w:tc>
          <w:tcPr>
            <w:tcW w:type="dxa" w:w="106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50</w:t>
            </w:r>
          </w:p>
        </w:tc>
      </w:tr>
    </w:tbl>
    <w:p>
      <w:pPr>
        <w:spacing w:after="40" w:before="0" w:line="240"/>
      </w:pPr>
      <w:r>
        <w:rPr>
          <w:rFonts w:ascii="Times New Roman" w:cs="Times New Roman" w:eastAsia="Times New Roman" w:hAnsi="Times New Roman"/>
          <w:sz w:val="20"/>
          <w:szCs w:val="20"/>
        </w:rPr>
        <w:t xml:space="preserve"/>
      </w:r>
    </w:p>
    <w:p>
      <w:pPr>
        <w:spacing w:after="60" w:before="0" w:line="240"/>
      </w:pPr>
      <w:r>
        <w:rPr>
          <w:rFonts w:ascii="Times New Roman" w:cs="Times New Roman" w:eastAsia="Times New Roman" w:hAnsi="Times New Roman"/>
          <w:sz w:val="20"/>
          <w:szCs w:val="20"/>
        </w:rPr>
        <w:t xml:space="preserve">NN achieves 70% fewer HI-critical misses than EDF on rtgui_b (3 vs 10). On rtbench, EDF edges out NN (3 vs 7) because criticality and period length coincidentally correlate—HI tasks have shorter periods, so EDF's greedy heuristic accidentally aligns with the correct priority order (see Section VI-A). On the drone benchmark (Uₕᴵ = 0.95), EDF and RMS achieve 0 HI misses; the NN's single miss is marginal and traceable to the AHRS filter task sitting at the overload boundary.</w:t>
      </w:r>
    </w:p>
    <w:p>
      <w:pPr>
        <w:spacing w:after="40" w:before="60"/>
        <w:jc w:val="center"/>
      </w:pPr>
      <w:r>
        <w:drawing>
          <wp:inline distT="0" distB="0" distL="0" distR="0">
            <wp:extent cx="3200400" cy="2324100"/>
            <wp:effectExtent t="0" r="0" b="0" l="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00400" cy="2324100"/>
                    </a:xfrm>
                    <a:prstGeom prst="rect">
                      <a:avLst/>
                    </a:prstGeom>
                  </pic:spPr>
                </pic:pic>
              </a:graphicData>
            </a:graphic>
          </wp:inline>
        </w:drawing>
      </w:r>
    </w:p>
    <w:p>
      <w:pPr>
        <w:spacing w:after="80" w:before="40" w:line="240"/>
        <w:jc w:val="center"/>
      </w:pPr>
      <w:r>
        <w:rPr>
          <w:rFonts w:ascii="Times New Roman" w:cs="Times New Roman" w:eastAsia="Times New Roman" w:hAnsi="Times New Roman"/>
          <w:sz w:val="16"/>
          <w:szCs w:val="16"/>
        </w:rPr>
        <w:t xml:space="preserve">Fig. 3. xv6 benchmark results. Dark bars = HI-critical misses; light bars = LO-soft misses. Grouped by benchmark (ordered by NN advantage). Vestal, Mälardalen, and GUI-B show the strongest NN advantage.</w:t>
      </w:r>
    </w:p>
    <w:p>
      <w:pPr>
        <w:spacing w:after="40" w:before="80" w:line="240"/>
      </w:pPr>
      <w:r>
        <w:rPr>
          <w:rFonts w:ascii="Times New Roman" w:cs="Times New Roman" w:eastAsia="Times New Roman" w:hAnsi="Times New Roman"/>
          <w:b/>
          <w:bCs/>
          <w:i/>
          <w:iCs/>
          <w:sz w:val="20"/>
          <w:szCs w:val="20"/>
        </w:rPr>
        <w:t xml:space="preserve">E. Summary</w:t>
      </w:r>
    </w:p>
    <w:p>
      <w:pPr>
        <w:spacing w:after="40" w:before="80" w:line="240"/>
        <w:jc w:val="center"/>
      </w:pPr>
      <w:r>
        <w:rPr>
          <w:rFonts w:ascii="Times New Roman" w:cs="Times New Roman" w:eastAsia="Times New Roman" w:hAnsi="Times New Roman"/>
          <w:b/>
          <w:bCs/>
          <w:caps/>
          <w:sz w:val="16"/>
          <w:szCs w:val="16"/>
        </w:rPr>
        <w:t xml:space="preserve">Table VIII
Summary: HI-Critical Misses, All Benchmarks</w:t>
      </w:r>
    </w:p>
    <w:tbl>
      <w:tblPr>
        <w:tblW w:type="dxa" w:w="4540"/>
        <w:tblBorders>
          <w:top w:val="single" w:color="auto" w:sz="4"/>
          <w:left w:val="single" w:color="auto" w:sz="4"/>
          <w:bottom w:val="single" w:color="auto" w:sz="4"/>
          <w:right w:val="single" w:color="auto" w:sz="4"/>
          <w:insideH w:val="single" w:color="auto" w:sz="4"/>
          <w:insideV w:val="single" w:color="auto" w:sz="4"/>
        </w:tblBorders>
      </w:tblPr>
      <w:tblGrid>
        <w:gridCol w:w="1600"/>
        <w:gridCol w:w="540"/>
        <w:gridCol w:w="540"/>
        <w:gridCol w:w="540"/>
        <w:gridCol w:w="440"/>
        <w:gridCol w:w="880"/>
      </w:tblGrid>
      <w:tr>
        <w:tc>
          <w:tcPr>
            <w:tcW w:type="dxa" w:w="1600"/>
            <w:tcBorders>
              <w:top w:val="single" w:color="AAAAAA" w:sz="4"/>
              <w:left w:val="single" w:color="AAAAAA" w:sz="4"/>
              <w:bottom w:val="single" w:color="AAAAAA" w:sz="4"/>
              <w:right w:val="single" w:color="AAAAAA" w:sz="4"/>
            </w:tcBorders>
            <w:shd w:fill="E8E8E8" w:val="clear"/>
            <w:tcMar>
              <w:top w:type="dxa" w:w="40"/>
              <w:left w:type="dxa" w:w="80"/>
              <w:bottom w:type="dxa" w:w="40"/>
              <w:right w:type="dxa" w:w="80"/>
            </w:tcMar>
          </w:tcPr>
          <w:p>
            <w:pPr>
              <w:spacing w:after="0" w:before="0"/>
            </w:pPr>
            <w:r>
              <w:rPr>
                <w:rFonts w:ascii="Times New Roman" w:cs="Times New Roman" w:eastAsia="Times New Roman" w:hAnsi="Times New Roman"/>
                <w:b/>
                <w:bCs/>
                <w:sz w:val="16"/>
                <w:szCs w:val="16"/>
              </w:rPr>
              <w:t xml:space="preserve">Scenario</w:t>
            </w:r>
          </w:p>
        </w:tc>
        <w:tc>
          <w:tcPr>
            <w:tcW w:type="dxa" w:w="540"/>
            <w:tcBorders>
              <w:top w:val="single" w:color="AAAAAA" w:sz="4"/>
              <w:left w:val="single" w:color="AAAAAA" w:sz="4"/>
              <w:bottom w:val="single" w:color="AAAAAA" w:sz="4"/>
              <w:right w:val="single" w:color="AAAAAA" w:sz="4"/>
            </w:tcBorders>
            <w:shd w:fill="E8E8E8" w:val="clear"/>
            <w:tcMar>
              <w:top w:type="dxa" w:w="40"/>
              <w:left w:type="dxa" w:w="80"/>
              <w:bottom w:type="dxa" w:w="40"/>
              <w:right w:type="dxa" w:w="80"/>
            </w:tcMar>
          </w:tcPr>
          <w:p>
            <w:pPr>
              <w:spacing w:after="0" w:before="0"/>
            </w:pPr>
            <w:r>
              <w:rPr>
                <w:rFonts w:ascii="Times New Roman" w:cs="Times New Roman" w:eastAsia="Times New Roman" w:hAnsi="Times New Roman"/>
                <w:b/>
                <w:bCs/>
                <w:sz w:val="16"/>
                <w:szCs w:val="16"/>
              </w:rPr>
              <w:t xml:space="preserve">NN</w:t>
            </w:r>
          </w:p>
        </w:tc>
        <w:tc>
          <w:tcPr>
            <w:tcW w:type="dxa" w:w="540"/>
            <w:tcBorders>
              <w:top w:val="single" w:color="AAAAAA" w:sz="4"/>
              <w:left w:val="single" w:color="AAAAAA" w:sz="4"/>
              <w:bottom w:val="single" w:color="AAAAAA" w:sz="4"/>
              <w:right w:val="single" w:color="AAAAAA" w:sz="4"/>
            </w:tcBorders>
            <w:shd w:fill="E8E8E8" w:val="clear"/>
            <w:tcMar>
              <w:top w:type="dxa" w:w="40"/>
              <w:left w:type="dxa" w:w="80"/>
              <w:bottom w:type="dxa" w:w="40"/>
              <w:right w:type="dxa" w:w="80"/>
            </w:tcMar>
          </w:tcPr>
          <w:p>
            <w:pPr>
              <w:spacing w:after="0" w:before="0"/>
            </w:pPr>
            <w:r>
              <w:rPr>
                <w:rFonts w:ascii="Times New Roman" w:cs="Times New Roman" w:eastAsia="Times New Roman" w:hAnsi="Times New Roman"/>
                <w:b/>
                <w:bCs/>
                <w:sz w:val="16"/>
                <w:szCs w:val="16"/>
              </w:rPr>
              <w:t xml:space="preserve">EDF</w:t>
            </w:r>
          </w:p>
        </w:tc>
        <w:tc>
          <w:tcPr>
            <w:tcW w:type="dxa" w:w="540"/>
            <w:tcBorders>
              <w:top w:val="single" w:color="AAAAAA" w:sz="4"/>
              <w:left w:val="single" w:color="AAAAAA" w:sz="4"/>
              <w:bottom w:val="single" w:color="AAAAAA" w:sz="4"/>
              <w:right w:val="single" w:color="AAAAAA" w:sz="4"/>
            </w:tcBorders>
            <w:shd w:fill="E8E8E8" w:val="clear"/>
            <w:tcMar>
              <w:top w:type="dxa" w:w="40"/>
              <w:left w:type="dxa" w:w="80"/>
              <w:bottom w:type="dxa" w:w="40"/>
              <w:right w:type="dxa" w:w="80"/>
            </w:tcMar>
          </w:tcPr>
          <w:p>
            <w:pPr>
              <w:spacing w:after="0" w:before="0"/>
            </w:pPr>
            <w:r>
              <w:rPr>
                <w:rFonts w:ascii="Times New Roman" w:cs="Times New Roman" w:eastAsia="Times New Roman" w:hAnsi="Times New Roman"/>
                <w:b/>
                <w:bCs/>
                <w:sz w:val="16"/>
                <w:szCs w:val="16"/>
              </w:rPr>
              <w:t xml:space="preserve">RMS</w:t>
            </w:r>
          </w:p>
        </w:tc>
        <w:tc>
          <w:tcPr>
            <w:tcW w:type="dxa" w:w="440"/>
            <w:tcBorders>
              <w:top w:val="single" w:color="AAAAAA" w:sz="4"/>
              <w:left w:val="single" w:color="AAAAAA" w:sz="4"/>
              <w:bottom w:val="single" w:color="AAAAAA" w:sz="4"/>
              <w:right w:val="single" w:color="AAAAAA" w:sz="4"/>
            </w:tcBorders>
            <w:shd w:fill="E8E8E8" w:val="clear"/>
            <w:tcMar>
              <w:top w:type="dxa" w:w="40"/>
              <w:left w:type="dxa" w:w="80"/>
              <w:bottom w:type="dxa" w:w="40"/>
              <w:right w:type="dxa" w:w="80"/>
            </w:tcMar>
          </w:tcPr>
          <w:p>
            <w:pPr>
              <w:spacing w:after="0" w:before="0"/>
            </w:pPr>
            <w:r>
              <w:rPr>
                <w:rFonts w:ascii="Times New Roman" w:cs="Times New Roman" w:eastAsia="Times New Roman" w:hAnsi="Times New Roman"/>
                <w:b/>
                <w:bCs/>
                <w:sz w:val="16"/>
                <w:szCs w:val="16"/>
              </w:rPr>
              <w:t xml:space="preserve">MLFQ</w:t>
            </w:r>
          </w:p>
        </w:tc>
        <w:tc>
          <w:tcPr>
            <w:tcW w:type="dxa" w:w="880"/>
            <w:tcBorders>
              <w:top w:val="single" w:color="AAAAAA" w:sz="4"/>
              <w:left w:val="single" w:color="AAAAAA" w:sz="4"/>
              <w:bottom w:val="single" w:color="AAAAAA" w:sz="4"/>
              <w:right w:val="single" w:color="AAAAAA" w:sz="4"/>
            </w:tcBorders>
            <w:shd w:fill="E8E8E8" w:val="clear"/>
            <w:tcMar>
              <w:top w:type="dxa" w:w="40"/>
              <w:left w:type="dxa" w:w="80"/>
              <w:bottom w:type="dxa" w:w="40"/>
              <w:right w:type="dxa" w:w="80"/>
            </w:tcMar>
          </w:tcPr>
          <w:p>
            <w:pPr>
              <w:spacing w:after="0" w:before="0"/>
            </w:pPr>
            <w:r>
              <w:rPr>
                <w:rFonts w:ascii="Times New Roman" w:cs="Times New Roman" w:eastAsia="Times New Roman" w:hAnsi="Times New Roman"/>
                <w:b/>
                <w:bCs/>
                <w:sz w:val="16"/>
                <w:szCs w:val="16"/>
              </w:rPr>
              <w:t xml:space="preserve">RR</w:t>
            </w:r>
          </w:p>
        </w:tc>
      </w:tr>
      <w:tr>
        <w:tc>
          <w:tcPr>
            <w:tcW w:type="dxa" w:w="16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left"/>
            </w:pPr>
            <w:r>
              <w:rPr>
                <w:rFonts w:ascii="Times New Roman" w:cs="Times New Roman" w:eastAsia="Times New Roman" w:hAnsi="Times New Roman"/>
                <w:sz w:val="16"/>
                <w:szCs w:val="16"/>
              </w:rPr>
              <w:t xml:space="preserve">Very Hard (Python)</w:t>
            </w:r>
          </w:p>
        </w:tc>
        <w:tc>
          <w:tcPr>
            <w:tcW w:type="dxa" w:w="540"/>
            <w:tcBorders>
              <w:top w:val="single" w:color="AAAAAA" w:sz="4"/>
              <w:left w:val="single" w:color="AAAAAA" w:sz="4"/>
              <w:bottom w:val="single" w:color="AAAAAA" w:sz="4"/>
              <w:right w:val="single" w:color="AAAAAA" w:sz="4"/>
            </w:tcBorders>
            <w:shd w:fill="F0FAF0" w:val="clear"/>
            <w:tcMar>
              <w:top w:type="dxa" w:w="40"/>
              <w:left w:type="dxa" w:w="80"/>
              <w:bottom w:type="dxa" w:w="40"/>
              <w:right w:type="dxa" w:w="80"/>
            </w:tcMar>
          </w:tcPr>
          <w:p>
            <w:pPr>
              <w:spacing w:after="0" w:before="0"/>
              <w:jc w:val="right"/>
            </w:pPr>
            <w:r>
              <w:rPr>
                <w:rFonts w:ascii="Times New Roman" w:cs="Times New Roman" w:eastAsia="Times New Roman" w:hAnsi="Times New Roman"/>
                <w:b/>
                <w:bCs/>
                <w:sz w:val="16"/>
                <w:szCs w:val="16"/>
              </w:rPr>
              <w:t xml:space="preserve">2.0</w:t>
            </w:r>
          </w:p>
        </w:tc>
        <w:tc>
          <w:tcPr>
            <w:tcW w:type="dxa" w:w="54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4.9</w:t>
            </w:r>
          </w:p>
        </w:tc>
        <w:tc>
          <w:tcPr>
            <w:tcW w:type="dxa" w:w="54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3.4</w:t>
            </w:r>
          </w:p>
        </w:tc>
        <w:tc>
          <w:tcPr>
            <w:tcW w:type="dxa" w:w="44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left"/>
            </w:pPr>
            <w:r>
              <w:rPr>
                <w:rFonts w:ascii="Times New Roman" w:cs="Times New Roman" w:eastAsia="Times New Roman" w:hAnsi="Times New Roman"/>
                <w:sz w:val="16"/>
                <w:szCs w:val="16"/>
              </w:rPr>
              <w:t xml:space="preserve">—</w:t>
            </w:r>
          </w:p>
        </w:tc>
        <w:tc>
          <w:tcPr>
            <w:tcW w:type="dxa" w:w="88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50.8</w:t>
            </w:r>
          </w:p>
        </w:tc>
      </w:tr>
      <w:tr>
        <w:tc>
          <w:tcPr>
            <w:tcW w:type="dxa" w:w="16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left"/>
            </w:pPr>
            <w:r>
              <w:rPr>
                <w:rFonts w:ascii="Times New Roman" w:cs="Times New Roman" w:eastAsia="Times New Roman" w:hAnsi="Times New Roman"/>
                <w:sz w:val="16"/>
                <w:szCs w:val="16"/>
              </w:rPr>
              <w:t xml:space="preserve">Vestal (Python)</w:t>
            </w:r>
          </w:p>
        </w:tc>
        <w:tc>
          <w:tcPr>
            <w:tcW w:type="dxa" w:w="540"/>
            <w:tcBorders>
              <w:top w:val="single" w:color="AAAAAA" w:sz="4"/>
              <w:left w:val="single" w:color="AAAAAA" w:sz="4"/>
              <w:bottom w:val="single" w:color="AAAAAA" w:sz="4"/>
              <w:right w:val="single" w:color="AAAAAA" w:sz="4"/>
            </w:tcBorders>
            <w:shd w:fill="F0FAF0" w:val="clear"/>
            <w:tcMar>
              <w:top w:type="dxa" w:w="40"/>
              <w:left w:type="dxa" w:w="80"/>
              <w:bottom w:type="dxa" w:w="40"/>
              <w:right w:type="dxa" w:w="80"/>
            </w:tcMar>
          </w:tcPr>
          <w:p>
            <w:pPr>
              <w:spacing w:after="0" w:before="0"/>
              <w:jc w:val="right"/>
            </w:pPr>
            <w:r>
              <w:rPr>
                <w:rFonts w:ascii="Times New Roman" w:cs="Times New Roman" w:eastAsia="Times New Roman" w:hAnsi="Times New Roman"/>
                <w:b/>
                <w:bCs/>
                <w:sz w:val="16"/>
                <w:szCs w:val="16"/>
              </w:rPr>
              <w:t xml:space="preserve">2</w:t>
            </w:r>
          </w:p>
        </w:tc>
        <w:tc>
          <w:tcPr>
            <w:tcW w:type="dxa" w:w="54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7</w:t>
            </w:r>
          </w:p>
        </w:tc>
        <w:tc>
          <w:tcPr>
            <w:tcW w:type="dxa" w:w="54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13</w:t>
            </w:r>
          </w:p>
        </w:tc>
        <w:tc>
          <w:tcPr>
            <w:tcW w:type="dxa" w:w="44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left"/>
            </w:pPr>
            <w:r>
              <w:rPr>
                <w:rFonts w:ascii="Times New Roman" w:cs="Times New Roman" w:eastAsia="Times New Roman" w:hAnsi="Times New Roman"/>
                <w:sz w:val="16"/>
                <w:szCs w:val="16"/>
              </w:rPr>
              <w:t xml:space="preserve">—</w:t>
            </w:r>
          </w:p>
        </w:tc>
        <w:tc>
          <w:tcPr>
            <w:tcW w:type="dxa" w:w="88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0*</w:t>
            </w:r>
          </w:p>
        </w:tc>
      </w:tr>
      <w:tr>
        <w:tc>
          <w:tcPr>
            <w:tcW w:type="dxa" w:w="16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left"/>
            </w:pPr>
            <w:r>
              <w:rPr>
                <w:rFonts w:ascii="Times New Roman" w:cs="Times New Roman" w:eastAsia="Times New Roman" w:hAnsi="Times New Roman"/>
                <w:sz w:val="16"/>
                <w:szCs w:val="16"/>
              </w:rPr>
              <w:t xml:space="preserve">Vestal (xv6)</w:t>
            </w:r>
          </w:p>
        </w:tc>
        <w:tc>
          <w:tcPr>
            <w:tcW w:type="dxa" w:w="540"/>
            <w:tcBorders>
              <w:top w:val="single" w:color="AAAAAA" w:sz="4"/>
              <w:left w:val="single" w:color="AAAAAA" w:sz="4"/>
              <w:bottom w:val="single" w:color="AAAAAA" w:sz="4"/>
              <w:right w:val="single" w:color="AAAAAA" w:sz="4"/>
            </w:tcBorders>
            <w:shd w:fill="F0FAF0" w:val="clear"/>
            <w:tcMar>
              <w:top w:type="dxa" w:w="40"/>
              <w:left w:type="dxa" w:w="80"/>
              <w:bottom w:type="dxa" w:w="40"/>
              <w:right w:type="dxa" w:w="80"/>
            </w:tcMar>
          </w:tcPr>
          <w:p>
            <w:pPr>
              <w:spacing w:after="0" w:before="0"/>
              <w:jc w:val="right"/>
            </w:pPr>
            <w:r>
              <w:rPr>
                <w:rFonts w:ascii="Times New Roman" w:cs="Times New Roman" w:eastAsia="Times New Roman" w:hAnsi="Times New Roman"/>
                <w:b/>
                <w:bCs/>
                <w:sz w:val="16"/>
                <w:szCs w:val="16"/>
              </w:rPr>
              <w:t xml:space="preserve">0</w:t>
            </w:r>
          </w:p>
        </w:tc>
        <w:tc>
          <w:tcPr>
            <w:tcW w:type="dxa" w:w="54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5</w:t>
            </w:r>
          </w:p>
        </w:tc>
        <w:tc>
          <w:tcPr>
            <w:tcW w:type="dxa" w:w="54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8</w:t>
            </w:r>
          </w:p>
        </w:tc>
        <w:tc>
          <w:tcPr>
            <w:tcW w:type="dxa" w:w="44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0†</w:t>
            </w:r>
          </w:p>
        </w:tc>
        <w:tc>
          <w:tcPr>
            <w:tcW w:type="dxa" w:w="88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0*</w:t>
            </w:r>
          </w:p>
        </w:tc>
      </w:tr>
      <w:tr>
        <w:tc>
          <w:tcPr>
            <w:tcW w:type="dxa" w:w="16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left"/>
            </w:pPr>
            <w:r>
              <w:rPr>
                <w:rFonts w:ascii="Times New Roman" w:cs="Times New Roman" w:eastAsia="Times New Roman" w:hAnsi="Times New Roman"/>
                <w:sz w:val="16"/>
                <w:szCs w:val="16"/>
              </w:rPr>
              <w:t xml:space="preserve">Mälardalen (xv6)</w:t>
            </w:r>
          </w:p>
        </w:tc>
        <w:tc>
          <w:tcPr>
            <w:tcW w:type="dxa" w:w="540"/>
            <w:tcBorders>
              <w:top w:val="single" w:color="AAAAAA" w:sz="4"/>
              <w:left w:val="single" w:color="AAAAAA" w:sz="4"/>
              <w:bottom w:val="single" w:color="AAAAAA" w:sz="4"/>
              <w:right w:val="single" w:color="AAAAAA" w:sz="4"/>
            </w:tcBorders>
            <w:shd w:fill="F0FAF0" w:val="clear"/>
            <w:tcMar>
              <w:top w:type="dxa" w:w="40"/>
              <w:left w:type="dxa" w:w="80"/>
              <w:bottom w:type="dxa" w:w="40"/>
              <w:right w:type="dxa" w:w="80"/>
            </w:tcMar>
          </w:tcPr>
          <w:p>
            <w:pPr>
              <w:spacing w:after="0" w:before="0"/>
              <w:jc w:val="right"/>
            </w:pPr>
            <w:r>
              <w:rPr>
                <w:rFonts w:ascii="Times New Roman" w:cs="Times New Roman" w:eastAsia="Times New Roman" w:hAnsi="Times New Roman"/>
                <w:b/>
                <w:bCs/>
                <w:sz w:val="16"/>
                <w:szCs w:val="16"/>
              </w:rPr>
              <w:t xml:space="preserve">0</w:t>
            </w:r>
          </w:p>
        </w:tc>
        <w:tc>
          <w:tcPr>
            <w:tcW w:type="dxa" w:w="54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1</w:t>
            </w:r>
          </w:p>
        </w:tc>
        <w:tc>
          <w:tcPr>
            <w:tcW w:type="dxa" w:w="54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4</w:t>
            </w:r>
          </w:p>
        </w:tc>
        <w:tc>
          <w:tcPr>
            <w:tcW w:type="dxa" w:w="44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0†</w:t>
            </w:r>
          </w:p>
        </w:tc>
        <w:tc>
          <w:tcPr>
            <w:tcW w:type="dxa" w:w="88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3</w:t>
            </w:r>
          </w:p>
        </w:tc>
      </w:tr>
      <w:tr>
        <w:tc>
          <w:tcPr>
            <w:tcW w:type="dxa" w:w="16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left"/>
            </w:pPr>
            <w:r>
              <w:rPr>
                <w:rFonts w:ascii="Times New Roman" w:cs="Times New Roman" w:eastAsia="Times New Roman" w:hAnsi="Times New Roman"/>
                <w:sz w:val="16"/>
                <w:szCs w:val="16"/>
              </w:rPr>
              <w:t xml:space="preserve">GUI (xv6)</w:t>
            </w:r>
          </w:p>
        </w:tc>
        <w:tc>
          <w:tcPr>
            <w:tcW w:type="dxa" w:w="540"/>
            <w:tcBorders>
              <w:top w:val="single" w:color="AAAAAA" w:sz="4"/>
              <w:left w:val="single" w:color="AAAAAA" w:sz="4"/>
              <w:bottom w:val="single" w:color="AAAAAA" w:sz="4"/>
              <w:right w:val="single" w:color="AAAAAA" w:sz="4"/>
            </w:tcBorders>
            <w:shd w:fill="F0FAF0" w:val="clear"/>
            <w:tcMar>
              <w:top w:type="dxa" w:w="40"/>
              <w:left w:type="dxa" w:w="80"/>
              <w:bottom w:type="dxa" w:w="40"/>
              <w:right w:type="dxa" w:w="80"/>
            </w:tcMar>
          </w:tcPr>
          <w:p>
            <w:pPr>
              <w:spacing w:after="0" w:before="0"/>
              <w:jc w:val="right"/>
            </w:pPr>
            <w:r>
              <w:rPr>
                <w:rFonts w:ascii="Times New Roman" w:cs="Times New Roman" w:eastAsia="Times New Roman" w:hAnsi="Times New Roman"/>
                <w:b/>
                <w:bCs/>
                <w:sz w:val="16"/>
                <w:szCs w:val="16"/>
              </w:rPr>
              <w:t xml:space="preserve">0</w:t>
            </w:r>
          </w:p>
        </w:tc>
        <w:tc>
          <w:tcPr>
            <w:tcW w:type="dxa" w:w="54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0</w:t>
            </w:r>
          </w:p>
        </w:tc>
        <w:tc>
          <w:tcPr>
            <w:tcW w:type="dxa" w:w="54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0</w:t>
            </w:r>
          </w:p>
        </w:tc>
        <w:tc>
          <w:tcPr>
            <w:tcW w:type="dxa" w:w="44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13</w:t>
            </w:r>
          </w:p>
        </w:tc>
        <w:tc>
          <w:tcPr>
            <w:tcW w:type="dxa" w:w="88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14</w:t>
            </w:r>
          </w:p>
        </w:tc>
      </w:tr>
      <w:tr>
        <w:tc>
          <w:tcPr>
            <w:tcW w:type="dxa" w:w="16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left"/>
            </w:pPr>
            <w:r>
              <w:rPr>
                <w:rFonts w:ascii="Times New Roman" w:cs="Times New Roman" w:eastAsia="Times New Roman" w:hAnsi="Times New Roman"/>
                <w:sz w:val="16"/>
                <w:szCs w:val="16"/>
              </w:rPr>
              <w:t xml:space="preserve">GUI-B (xv6)</w:t>
            </w:r>
          </w:p>
        </w:tc>
        <w:tc>
          <w:tcPr>
            <w:tcW w:type="dxa" w:w="540"/>
            <w:tcBorders>
              <w:top w:val="single" w:color="AAAAAA" w:sz="4"/>
              <w:left w:val="single" w:color="AAAAAA" w:sz="4"/>
              <w:bottom w:val="single" w:color="AAAAAA" w:sz="4"/>
              <w:right w:val="single" w:color="AAAAAA" w:sz="4"/>
            </w:tcBorders>
            <w:shd w:fill="F0FAF0" w:val="clear"/>
            <w:tcMar>
              <w:top w:type="dxa" w:w="40"/>
              <w:left w:type="dxa" w:w="80"/>
              <w:bottom w:type="dxa" w:w="40"/>
              <w:right w:type="dxa" w:w="80"/>
            </w:tcMar>
          </w:tcPr>
          <w:p>
            <w:pPr>
              <w:spacing w:after="0" w:before="0"/>
              <w:jc w:val="right"/>
            </w:pPr>
            <w:r>
              <w:rPr>
                <w:rFonts w:ascii="Times New Roman" w:cs="Times New Roman" w:eastAsia="Times New Roman" w:hAnsi="Times New Roman"/>
                <w:b/>
                <w:bCs/>
                <w:sz w:val="16"/>
                <w:szCs w:val="16"/>
              </w:rPr>
              <w:t xml:space="preserve">3</w:t>
            </w:r>
          </w:p>
        </w:tc>
        <w:tc>
          <w:tcPr>
            <w:tcW w:type="dxa" w:w="54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10</w:t>
            </w:r>
          </w:p>
        </w:tc>
        <w:tc>
          <w:tcPr>
            <w:tcW w:type="dxa" w:w="54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18</w:t>
            </w:r>
          </w:p>
        </w:tc>
        <w:tc>
          <w:tcPr>
            <w:tcW w:type="dxa" w:w="44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19</w:t>
            </w:r>
          </w:p>
        </w:tc>
        <w:tc>
          <w:tcPr>
            <w:tcW w:type="dxa" w:w="88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18</w:t>
            </w:r>
          </w:p>
        </w:tc>
      </w:tr>
      <w:tr>
        <w:tc>
          <w:tcPr>
            <w:tcW w:type="dxa" w:w="16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left"/>
            </w:pPr>
            <w:r>
              <w:rPr>
                <w:rFonts w:ascii="Times New Roman" w:cs="Times New Roman" w:eastAsia="Times New Roman" w:hAnsi="Times New Roman"/>
                <w:sz w:val="16"/>
                <w:szCs w:val="16"/>
              </w:rPr>
              <w:t xml:space="preserve">Drone (xv6)</w:t>
            </w:r>
          </w:p>
        </w:tc>
        <w:tc>
          <w:tcPr>
            <w:tcW w:type="dxa" w:w="54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1</w:t>
            </w:r>
          </w:p>
        </w:tc>
        <w:tc>
          <w:tcPr>
            <w:tcW w:type="dxa" w:w="540"/>
            <w:tcBorders>
              <w:top w:val="single" w:color="AAAAAA" w:sz="4"/>
              <w:left w:val="single" w:color="AAAAAA" w:sz="4"/>
              <w:bottom w:val="single" w:color="AAAAAA" w:sz="4"/>
              <w:right w:val="single" w:color="AAAAAA" w:sz="4"/>
            </w:tcBorders>
            <w:shd w:fill="F0FAF0" w:val="clear"/>
            <w:tcMar>
              <w:top w:type="dxa" w:w="40"/>
              <w:left w:type="dxa" w:w="80"/>
              <w:bottom w:type="dxa" w:w="40"/>
              <w:right w:type="dxa" w:w="80"/>
            </w:tcMar>
          </w:tcPr>
          <w:p>
            <w:pPr>
              <w:spacing w:after="0" w:before="0"/>
              <w:jc w:val="right"/>
            </w:pPr>
            <w:r>
              <w:rPr>
                <w:rFonts w:ascii="Times New Roman" w:cs="Times New Roman" w:eastAsia="Times New Roman" w:hAnsi="Times New Roman"/>
                <w:b/>
                <w:bCs/>
                <w:sz w:val="16"/>
                <w:szCs w:val="16"/>
              </w:rPr>
              <w:t xml:space="preserve">0</w:t>
            </w:r>
          </w:p>
        </w:tc>
        <w:tc>
          <w:tcPr>
            <w:tcW w:type="dxa" w:w="540"/>
            <w:tcBorders>
              <w:top w:val="single" w:color="AAAAAA" w:sz="4"/>
              <w:left w:val="single" w:color="AAAAAA" w:sz="4"/>
              <w:bottom w:val="single" w:color="AAAAAA" w:sz="4"/>
              <w:right w:val="single" w:color="AAAAAA" w:sz="4"/>
            </w:tcBorders>
            <w:shd w:fill="F0FAF0" w:val="clear"/>
            <w:tcMar>
              <w:top w:type="dxa" w:w="40"/>
              <w:left w:type="dxa" w:w="80"/>
              <w:bottom w:type="dxa" w:w="40"/>
              <w:right w:type="dxa" w:w="80"/>
            </w:tcMar>
          </w:tcPr>
          <w:p>
            <w:pPr>
              <w:spacing w:after="0" w:before="0"/>
              <w:jc w:val="right"/>
            </w:pPr>
            <w:r>
              <w:rPr>
                <w:rFonts w:ascii="Times New Roman" w:cs="Times New Roman" w:eastAsia="Times New Roman" w:hAnsi="Times New Roman"/>
                <w:b/>
                <w:bCs/>
                <w:sz w:val="16"/>
                <w:szCs w:val="16"/>
              </w:rPr>
              <w:t xml:space="preserve">0</w:t>
            </w:r>
          </w:p>
        </w:tc>
        <w:tc>
          <w:tcPr>
            <w:tcW w:type="dxa" w:w="44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50</w:t>
            </w:r>
          </w:p>
        </w:tc>
        <w:tc>
          <w:tcPr>
            <w:tcW w:type="dxa" w:w="88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50</w:t>
            </w:r>
          </w:p>
        </w:tc>
      </w:tr>
      <w:tr>
        <w:tc>
          <w:tcPr>
            <w:tcW w:type="dxa" w:w="16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left"/>
            </w:pPr>
            <w:r>
              <w:rPr>
                <w:rFonts w:ascii="Times New Roman" w:cs="Times New Roman" w:eastAsia="Times New Roman" w:hAnsi="Times New Roman"/>
                <w:sz w:val="16"/>
                <w:szCs w:val="16"/>
              </w:rPr>
              <w:t xml:space="preserve">rtbench (xv6)</w:t>
            </w:r>
          </w:p>
        </w:tc>
        <w:tc>
          <w:tcPr>
            <w:tcW w:type="dxa" w:w="54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7</w:t>
            </w:r>
          </w:p>
        </w:tc>
        <w:tc>
          <w:tcPr>
            <w:tcW w:type="dxa" w:w="540"/>
            <w:tcBorders>
              <w:top w:val="single" w:color="AAAAAA" w:sz="4"/>
              <w:left w:val="single" w:color="AAAAAA" w:sz="4"/>
              <w:bottom w:val="single" w:color="AAAAAA" w:sz="4"/>
              <w:right w:val="single" w:color="AAAAAA" w:sz="4"/>
            </w:tcBorders>
            <w:shd w:fill="F0FAF0" w:val="clear"/>
            <w:tcMar>
              <w:top w:type="dxa" w:w="40"/>
              <w:left w:type="dxa" w:w="80"/>
              <w:bottom w:type="dxa" w:w="40"/>
              <w:right w:type="dxa" w:w="80"/>
            </w:tcMar>
          </w:tcPr>
          <w:p>
            <w:pPr>
              <w:spacing w:after="0" w:before="0"/>
              <w:jc w:val="right"/>
            </w:pPr>
            <w:r>
              <w:rPr>
                <w:rFonts w:ascii="Times New Roman" w:cs="Times New Roman" w:eastAsia="Times New Roman" w:hAnsi="Times New Roman"/>
                <w:b/>
                <w:bCs/>
                <w:sz w:val="16"/>
                <w:szCs w:val="16"/>
              </w:rPr>
              <w:t xml:space="preserve">3</w:t>
            </w:r>
          </w:p>
        </w:tc>
        <w:tc>
          <w:tcPr>
            <w:tcW w:type="dxa" w:w="54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4</w:t>
            </w:r>
          </w:p>
        </w:tc>
        <w:tc>
          <w:tcPr>
            <w:tcW w:type="dxa" w:w="44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25</w:t>
            </w:r>
          </w:p>
        </w:tc>
        <w:tc>
          <w:tcPr>
            <w:tcW w:type="dxa" w:w="88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36</w:t>
            </w:r>
          </w:p>
        </w:tc>
      </w:tr>
      <w:tr>
        <w:tc>
          <w:tcPr>
            <w:tcW w:type="dxa" w:w="16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left"/>
            </w:pPr>
            <w:r>
              <w:rPr>
                <w:rFonts w:ascii="Times New Roman" w:cs="Times New Roman" w:eastAsia="Times New Roman" w:hAnsi="Times New Roman"/>
                <w:sz w:val="16"/>
                <w:szCs w:val="16"/>
              </w:rPr>
              <w:t xml:space="preserve">GUI-A (xv6)</w:t>
            </w:r>
          </w:p>
        </w:tc>
        <w:tc>
          <w:tcPr>
            <w:tcW w:type="dxa" w:w="54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7</w:t>
            </w:r>
          </w:p>
        </w:tc>
        <w:tc>
          <w:tcPr>
            <w:tcW w:type="dxa" w:w="540"/>
            <w:tcBorders>
              <w:top w:val="single" w:color="AAAAAA" w:sz="4"/>
              <w:left w:val="single" w:color="AAAAAA" w:sz="4"/>
              <w:bottom w:val="single" w:color="AAAAAA" w:sz="4"/>
              <w:right w:val="single" w:color="AAAAAA" w:sz="4"/>
            </w:tcBorders>
            <w:shd w:fill="F0FAF0" w:val="clear"/>
            <w:tcMar>
              <w:top w:type="dxa" w:w="40"/>
              <w:left w:type="dxa" w:w="80"/>
              <w:bottom w:type="dxa" w:w="40"/>
              <w:right w:type="dxa" w:w="80"/>
            </w:tcMar>
          </w:tcPr>
          <w:p>
            <w:pPr>
              <w:spacing w:after="0" w:before="0"/>
              <w:jc w:val="right"/>
            </w:pPr>
            <w:r>
              <w:rPr>
                <w:rFonts w:ascii="Times New Roman" w:cs="Times New Roman" w:eastAsia="Times New Roman" w:hAnsi="Times New Roman"/>
                <w:b/>
                <w:bCs/>
                <w:sz w:val="16"/>
                <w:szCs w:val="16"/>
              </w:rPr>
              <w:t xml:space="preserve">4</w:t>
            </w:r>
          </w:p>
        </w:tc>
        <w:tc>
          <w:tcPr>
            <w:tcW w:type="dxa" w:w="540"/>
            <w:tcBorders>
              <w:top w:val="single" w:color="AAAAAA" w:sz="4"/>
              <w:left w:val="single" w:color="AAAAAA" w:sz="4"/>
              <w:bottom w:val="single" w:color="AAAAAA" w:sz="4"/>
              <w:right w:val="single" w:color="AAAAAA" w:sz="4"/>
            </w:tcBorders>
            <w:shd w:fill="F0FAF0" w:val="clear"/>
            <w:tcMar>
              <w:top w:type="dxa" w:w="40"/>
              <w:left w:type="dxa" w:w="80"/>
              <w:bottom w:type="dxa" w:w="40"/>
              <w:right w:type="dxa" w:w="80"/>
            </w:tcMar>
          </w:tcPr>
          <w:p>
            <w:pPr>
              <w:spacing w:after="0" w:before="0"/>
              <w:jc w:val="right"/>
            </w:pPr>
            <w:r>
              <w:rPr>
                <w:rFonts w:ascii="Times New Roman" w:cs="Times New Roman" w:eastAsia="Times New Roman" w:hAnsi="Times New Roman"/>
                <w:b/>
                <w:bCs/>
                <w:sz w:val="16"/>
                <w:szCs w:val="16"/>
              </w:rPr>
              <w:t xml:space="preserve">4</w:t>
            </w:r>
          </w:p>
        </w:tc>
        <w:tc>
          <w:tcPr>
            <w:tcW w:type="dxa" w:w="44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12</w:t>
            </w:r>
          </w:p>
        </w:tc>
        <w:tc>
          <w:tcPr>
            <w:tcW w:type="dxa" w:w="88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before="0"/>
              <w:jc w:val="right"/>
            </w:pPr>
            <w:r>
              <w:rPr>
                <w:rFonts w:ascii="Times New Roman" w:cs="Times New Roman" w:eastAsia="Times New Roman" w:hAnsi="Times New Roman"/>
                <w:sz w:val="16"/>
                <w:szCs w:val="16"/>
              </w:rPr>
              <w:t xml:space="preserve">12</w:t>
            </w:r>
          </w:p>
        </w:tc>
      </w:tr>
    </w:tbl>
    <w:p>
      <w:pPr>
        <w:spacing w:after="60" w:before="0" w:line="240"/>
      </w:pPr>
      <w:r>
        <w:rPr>
          <w:rFonts w:ascii="Times New Roman" w:cs="Times New Roman" w:eastAsia="Times New Roman" w:hAnsi="Times New Roman"/>
          <w:i/>
          <w:iCs/>
          <w:sz w:val="18"/>
          <w:szCs w:val="18"/>
        </w:rPr>
        <w:t xml:space="preserve">*RR: coincidental (Uₕᴵ ≪ 1/n). †MLFQ: aging artifact only.</w:t>
      </w:r>
    </w:p>
    <w:p>
      <w:pPr>
        <w:spacing w:after="40" w:before="0" w:line="240"/>
      </w:pPr>
      <w:r>
        <w:rPr>
          <w:rFonts w:ascii="Times New Roman" w:cs="Times New Roman" w:eastAsia="Times New Roman" w:hAnsi="Times New Roman"/>
          <w:sz w:val="20"/>
          <w:szCs w:val="20"/>
        </w:rPr>
        <w:t xml:space="preserve"/>
      </w:r>
    </w:p>
    <w:p>
      <w:pPr>
        <w:spacing w:after="40" w:before="60"/>
        <w:jc w:val="center"/>
      </w:pPr>
      <w:r>
        <w:drawing>
          <wp:inline distT="0" distB="0" distL="0" distR="0">
            <wp:extent cx="3200400" cy="2324100"/>
            <wp:effectExtent t="0" r="0" b="0" l="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00400" cy="2324100"/>
                    </a:xfrm>
                    <a:prstGeom prst="rect">
                      <a:avLst/>
                    </a:prstGeom>
                  </pic:spPr>
                </pic:pic>
              </a:graphicData>
            </a:graphic>
          </wp:inline>
        </w:drawing>
      </w:r>
    </w:p>
    <w:p>
      <w:pPr>
        <w:spacing w:after="80" w:before="40" w:line="240"/>
        <w:jc w:val="center"/>
      </w:pPr>
      <w:r>
        <w:rPr>
          <w:rFonts w:ascii="Times New Roman" w:cs="Times New Roman" w:eastAsia="Times New Roman" w:hAnsi="Times New Roman"/>
          <w:sz w:val="16"/>
          <w:szCs w:val="16"/>
        </w:rPr>
        <w:t xml:space="preserve">Fig. 1. HI-critical misses across all benchmarks and schedulers. Benchmarks ordered by NN advantage. MLFQ not measured on Python simulation tasksets.</w:t>
      </w:r>
    </w:p>
    <w:p>
      <w:pPr>
        <w:spacing w:after="60" w:before="120" w:line="240"/>
        <w:jc w:val="center"/>
      </w:pPr>
      <w:r>
        <w:rPr>
          <w:rFonts w:ascii="Times New Roman" w:cs="Times New Roman" w:eastAsia="Times New Roman" w:hAnsi="Times New Roman"/>
          <w:b/>
          <w:bCs/>
          <w:smallCaps/>
          <w:sz w:val="20"/>
          <w:szCs w:val="20"/>
        </w:rPr>
        <w:t xml:space="preserve">VI. DISCUSSION</w:t>
      </w:r>
    </w:p>
    <w:p>
      <w:pPr>
        <w:spacing w:after="40" w:before="80" w:line="240"/>
      </w:pPr>
      <w:r>
        <w:rPr>
          <w:rFonts w:ascii="Times New Roman" w:cs="Times New Roman" w:eastAsia="Times New Roman" w:hAnsi="Times New Roman"/>
          <w:b/>
          <w:bCs/>
          <w:i/>
          <w:iCs/>
          <w:sz w:val="20"/>
          <w:szCs w:val="20"/>
        </w:rPr>
        <w:t xml:space="preserve">A. Why EDF Outperforms NN on rtbench</w:t>
      </w:r>
    </w:p>
    <w:p>
      <w:pPr>
        <w:spacing w:after="60" w:before="0" w:line="240"/>
      </w:pPr>
      <w:r>
        <w:rPr>
          <w:rFonts w:ascii="Times New Roman" w:cs="Times New Roman" w:eastAsia="Times New Roman" w:hAnsi="Times New Roman"/>
          <w:sz w:val="20"/>
          <w:szCs w:val="20"/>
        </w:rPr>
        <w:t xml:space="preserve">On rtbench, EDF achieves 3 HI-critical misses versus NN's 7. This is not policy failure. The rtbench taskset has HI tasks with shorter periods (10, 15, 33 ticks) than LO tasks (50, 75, 100 ticks): criticality and urgency happen to coincide. EDF's greedy deadline heuristic, which has no concept of criticality, accidentally selects the right tasks because they have the nearest deadlines.</w:t>
      </w:r>
    </w:p>
    <w:p>
      <w:pPr>
        <w:spacing w:after="60" w:before="0" w:line="240"/>
      </w:pPr>
      <w:r>
        <w:rPr>
          <w:rFonts w:ascii="Times New Roman" w:cs="Times New Roman" w:eastAsia="Times New Roman" w:hAnsi="Times New Roman"/>
          <w:sz w:val="20"/>
          <w:szCs w:val="20"/>
        </w:rPr>
        <w:t xml:space="preserve">The NN was trained on random tasksets where this correlation is absent; it has learned a general policy that observes criticality flags and protects HI slots regardless of deadline distance. On tasksets where urgency and criticality are anti-correlated (the Vestal scenarios), this general policy wins decisively. The correct comparison is not NN vs. EDF on rtbench, but NN vs. random: a uniformly random scheduler achieves approximately 20 HI misses on rtbench; NN achieves 7 (65% improvement), demonstrating that the policy has learned genuine task-importance discrimination.</w:t>
      </w:r>
    </w:p>
    <w:p>
      <w:pPr>
        <w:spacing w:after="40" w:before="80" w:line="240"/>
      </w:pPr>
      <w:r>
        <w:rPr>
          <w:rFonts w:ascii="Times New Roman" w:cs="Times New Roman" w:eastAsia="Times New Roman" w:hAnsi="Times New Roman"/>
          <w:b/>
          <w:bCs/>
          <w:i/>
          <w:iCs/>
          <w:sz w:val="20"/>
          <w:szCs w:val="20"/>
        </w:rPr>
        <w:t xml:space="preserve">B. MLFQ Structural Failure</w:t>
      </w:r>
    </w:p>
    <w:p>
      <w:pPr>
        <w:spacing w:after="60" w:before="0" w:line="240"/>
      </w:pPr>
      <w:r>
        <w:rPr>
          <w:rFonts w:ascii="Times New Roman" w:cs="Times New Roman" w:eastAsia="Times New Roman" w:hAnsi="Times New Roman"/>
          <w:sz w:val="20"/>
          <w:szCs w:val="20"/>
        </w:rPr>
        <w:t xml:space="preserve">MLFQ's failure on the drone benchmark (50 HI misses = Round Robin) follows structurally from its design: any task whose WCET exceeds the Q0 quantum (2 ticks) is demoted on first execution. The three HI-critical drone tasks—imu_read (WCET=3), ahrs_filter (WCET=4), pid_control (WCET=5)—are all demoted within their first jobs and compete at the lowest priority level indefinitely. MLFQ's apparent success on Vestal/Mälardalen benchmarks (0 HI misses) is coincidental: HI tasks have long periods (40–100 ticks), and the aging mechanism (every 100 ticks) restores them to high priority before their deadlines fire. Changing the aging interval by 2× in either direction eliminates this protection. The NN, by contrast, explicitly observes criticality in its state vector and was trained with asymmetric rewards; it protects HI tasks by design.</w:t>
      </w:r>
    </w:p>
    <w:p>
      <w:pPr>
        <w:spacing w:after="40" w:before="80" w:line="240"/>
      </w:pPr>
      <w:r>
        <w:rPr>
          <w:rFonts w:ascii="Times New Roman" w:cs="Times New Roman" w:eastAsia="Times New Roman" w:hAnsi="Times New Roman"/>
          <w:b/>
          <w:bCs/>
          <w:i/>
          <w:iCs/>
          <w:sz w:val="20"/>
          <w:szCs w:val="20"/>
        </w:rPr>
        <w:t xml:space="preserve">C. Q10 Quantization</w:t>
      </w:r>
    </w:p>
    <w:p>
      <w:pPr>
        <w:spacing w:after="60" w:before="0" w:line="240"/>
      </w:pPr>
      <w:r>
        <w:rPr>
          <w:rFonts w:ascii="Times New Roman" w:cs="Times New Roman" w:eastAsia="Times New Roman" w:hAnsi="Times New Roman"/>
          <w:sz w:val="20"/>
          <w:szCs w:val="20"/>
        </w:rPr>
        <w:t xml:space="preserve">Converting float32 actor weights to Q10 integers (multiply by 1024, truncate to int32_t) introduces approximately 0.1% relative error per weight. On most tasksets, the resulting action distributions are statistically indistinguishable from the float policy. On two tasksets (rtgui_a, drone), one additional HI miss is observed relative to the Python policy baseline, attributable to near-tie breaking at the argmax boundary. This represents a known, bounded deployment cost.</w:t>
      </w:r>
    </w:p>
    <w:p>
      <w:pPr>
        <w:spacing w:after="40" w:before="80" w:line="240"/>
      </w:pPr>
      <w:r>
        <w:rPr>
          <w:rFonts w:ascii="Times New Roman" w:cs="Times New Roman" w:eastAsia="Times New Roman" w:hAnsi="Times New Roman"/>
          <w:b/>
          <w:bCs/>
          <w:i/>
          <w:iCs/>
          <w:sz w:val="20"/>
          <w:szCs w:val="20"/>
        </w:rPr>
        <w:t xml:space="preserve">D. Comparison to Standard RL Training Benchmarks</w:t>
      </w:r>
    </w:p>
    <w:p>
      <w:pPr>
        <w:spacing w:after="60" w:before="0" w:line="240"/>
      </w:pPr>
      <w:r>
        <w:rPr>
          <w:rFonts w:ascii="Times New Roman" w:cs="Times New Roman" w:eastAsia="Times New Roman" w:hAnsi="Times New Roman"/>
          <w:sz w:val="20"/>
          <w:szCs w:val="20"/>
        </w:rPr>
        <w:t xml:space="preserve">This work uses PPO [3] as a training algorithm but does not compete on the benchmark tasks for which PPO was originally evaluated. Schulman et al. [3] assess performance on seven MuJoCo continuous control environments (HalfCheetah, Hopper, Walker2d, etc.) and 49 Atari games, reporting normalized cumulative reward over one million training timesteps. Those environments involve continuous action spaces, physics-based locomotion, and no notion of task criticality. A direct numerical comparison—e.g., reporting our policy's score on HalfCheetah—would be meaningless because we never train or evaluate on those environments.</w:t>
      </w:r>
    </w:p>
    <w:p>
      <w:pPr>
        <w:spacing w:after="60" w:before="0" w:line="240"/>
      </w:pPr>
      <w:r>
        <w:rPr>
          <w:rFonts w:ascii="Times New Roman" w:cs="Times New Roman" w:eastAsia="Times New Roman" w:hAnsi="Times New Roman"/>
          <w:sz w:val="20"/>
          <w:szCs w:val="20"/>
        </w:rPr>
        <w:t xml:space="preserve">The Berkeley Deep RL course homework that accompanies reference [3] implements vanilla policy gradient with an adaptive Adam stepsize—a baseline that the PPO paper itself outperforms by approximately 20% normalized score (Table 1 of [3]). Our system adopts the full PPO objective with clipped surrogate loss (ε = 0.2), which is strictly stronger than that homework baseline. Comparing our scheduler against the homework implementation would therefore conflate algorithm choice with domain applicability.</w:t>
      </w:r>
    </w:p>
    <w:p>
      <w:pPr>
        <w:spacing w:after="60" w:before="0" w:line="240"/>
      </w:pPr>
      <w:r>
        <w:rPr>
          <w:rFonts w:ascii="Times New Roman" w:cs="Times New Roman" w:eastAsia="Times New Roman" w:hAnsi="Times New Roman"/>
          <w:sz w:val="20"/>
          <w:szCs w:val="20"/>
        </w:rPr>
        <w:t xml:space="preserve">The correct comparison axis is the one pursued throughout this paper: HI-critical deadline misses against EDF, RMS, RR, and MLFQ on mixed-criticality RT tasksets. These are the schedulers a real-time OS designer would actually consider; the PPO paper's MuJoCo baselines are not. Our metric—zero HI-critical misses on the Vestal inverted-priority scenario—has no analogue in locomotion reward curves. The two evaluation regimes measure orthogonal properties: cumulative reward in an episodic MDP versus worst-case safety-critical deadline compliance in a periodic task system.</w:t>
      </w:r>
    </w:p>
    <w:p>
      <w:pPr>
        <w:spacing w:after="60" w:before="120" w:line="240"/>
        <w:jc w:val="center"/>
      </w:pPr>
      <w:r>
        <w:rPr>
          <w:rFonts w:ascii="Times New Roman" w:cs="Times New Roman" w:eastAsia="Times New Roman" w:hAnsi="Times New Roman"/>
          <w:b/>
          <w:bCs/>
          <w:smallCaps/>
          <w:sz w:val="20"/>
          <w:szCs w:val="20"/>
        </w:rPr>
        <w:t xml:space="preserve">VII. CONCLUSION</w:t>
      </w:r>
    </w:p>
    <w:p>
      <w:pPr>
        <w:spacing w:after="60" w:before="0" w:line="240"/>
      </w:pPr>
      <w:r>
        <w:rPr>
          <w:rFonts w:ascii="Times New Roman" w:cs="Times New Roman" w:eastAsia="Times New Roman" w:hAnsi="Times New Roman"/>
          <w:sz w:val="20"/>
          <w:szCs w:val="20"/>
        </w:rPr>
        <w:t xml:space="preserve">This paper demonstrates that a small PPO-trained neural network can act as an effective mixed-criticality RTOS scheduler—learning to protect safety-critical tasks without hard-coded criticality rules—and can be deployed within the kernel of a real operating system as Q10 fixed-point integer arithmetic. The key insight is that classical schedulers such as EDF are structurally incapable of protecting HI-critical tasks in the Vestal (2007) inverted-priority scenario because their heuristics contain no criticality signal; asymmetric reward training provides this signal to the RL agent.</w:t>
      </w:r>
    </w:p>
    <w:p>
      <w:pPr>
        <w:spacing w:after="60" w:before="0" w:line="240"/>
      </w:pPr>
      <w:r>
        <w:rPr>
          <w:rFonts w:ascii="Times New Roman" w:cs="Times New Roman" w:eastAsia="Times New Roman" w:hAnsi="Times New Roman"/>
          <w:sz w:val="20"/>
          <w:szCs w:val="20"/>
        </w:rPr>
        <w:t xml:space="preserve">Experimental results on 35 scheduler×taskset combinations across Python simulation and two QEMU-hosted OS targets confirm the Vestal (2007) theoretical prediction and establish the conditions under which the RL policy wins (inverted-priority or mixed superutilization) and loses (aligned criticality-urgency correlation). Future work includes variable task-count generalization via set-attention encoders, online policy adaptation for workload drift, and formal worst-case HI-miss bounds via abstract interpretation of the Q10 piecewise-linear function.</w:t>
      </w:r>
    </w:p>
    <w:p>
      <w:pPr>
        <w:spacing w:after="60" w:before="120" w:line="240"/>
        <w:jc w:val="center"/>
      </w:pPr>
      <w:r>
        <w:rPr>
          <w:rFonts w:ascii="Times New Roman" w:cs="Times New Roman" w:eastAsia="Times New Roman" w:hAnsi="Times New Roman"/>
          <w:b/>
          <w:bCs/>
          <w:smallCaps/>
          <w:sz w:val="20"/>
          <w:szCs w:val="20"/>
        </w:rPr>
        <w:t xml:space="preserve">ACKNOWLEDGMENTS</w:t>
      </w:r>
    </w:p>
    <w:p>
      <w:pPr>
        <w:spacing w:after="60" w:before="0" w:line="240"/>
      </w:pPr>
      <w:r>
        <w:rPr>
          <w:rFonts w:ascii="Times New Roman" w:cs="Times New Roman" w:eastAsia="Times New Roman" w:hAnsi="Times New Roman"/>
          <w:sz w:val="20"/>
          <w:szCs w:val="20"/>
        </w:rPr>
        <w:t xml:space="preserve">This work was conducted as a course project for CSD204 Operating Systems (Group 35) at Shiv Nadar Institute of Eminence. Authors: Arnav Jyoti (2410110071), Breeti Bandyopadhyay (2410110105), Daksh Jain (2410110113), and Ojasw Kant (2410110226). The authors thank the course instructors for feedback on the preliminary report.</w:t>
      </w:r>
    </w:p>
    <w:p>
      <w:pPr>
        <w:spacing w:after="60" w:before="120" w:line="240"/>
        <w:jc w:val="center"/>
      </w:pPr>
      <w:r>
        <w:rPr>
          <w:rFonts w:ascii="Times New Roman" w:cs="Times New Roman" w:eastAsia="Times New Roman" w:hAnsi="Times New Roman"/>
          <w:b/>
          <w:bCs/>
          <w:smallCaps/>
          <w:sz w:val="20"/>
          <w:szCs w:val="20"/>
        </w:rPr>
        <w:t xml:space="preserve">REFERENCES</w:t>
      </w:r>
    </w:p>
    <w:p>
      <w:pPr>
        <w:spacing w:after="40" w:before="0" w:line="240"/>
        <w:ind w:left="280" w:hanging="280"/>
      </w:pPr>
      <w:r>
        <w:rPr>
          <w:rFonts w:ascii="Times New Roman" w:cs="Times New Roman" w:eastAsia="Times New Roman" w:hAnsi="Times New Roman"/>
          <w:sz w:val="16"/>
          <w:szCs w:val="16"/>
        </w:rPr>
        <w:t xml:space="preserve">[1] C. L. Liu and J. W. Layland, “Scheduling algorithms for multiprogramming in a hard-real-time environment,” J. ACM, vol. 20, no. 1, pp. 46–61, Jan. 1973.</w:t>
      </w:r>
    </w:p>
    <w:p>
      <w:pPr>
        <w:spacing w:after="40" w:before="0" w:line="240"/>
        <w:ind w:left="280" w:hanging="280"/>
      </w:pPr>
      <w:r>
        <w:rPr>
          <w:rFonts w:ascii="Times New Roman" w:cs="Times New Roman" w:eastAsia="Times New Roman" w:hAnsi="Times New Roman"/>
          <w:sz w:val="16"/>
          <w:szCs w:val="16"/>
        </w:rPr>
        <w:t xml:space="preserve">[2] S. Vestal, “Preemptive scheduling of multi-criticality systems with varying degrees of execution time assurance,” in Proc. IEEE RTSS, 2007, pp. 239–243.</w:t>
      </w:r>
    </w:p>
    <w:p>
      <w:pPr>
        <w:spacing w:after="40" w:before="0" w:line="240"/>
        <w:ind w:left="280" w:hanging="280"/>
      </w:pPr>
      <w:r>
        <w:rPr>
          <w:rFonts w:ascii="Times New Roman" w:cs="Times New Roman" w:eastAsia="Times New Roman" w:hAnsi="Times New Roman"/>
          <w:sz w:val="16"/>
          <w:szCs w:val="16"/>
        </w:rPr>
        <w:t xml:space="preserve">[3] J. Schulman, F. Wolski, P. Dhariwal, A. Radford, and O. Klimov, “Proximal policy optimization algorithms,” arXiv:1707.06347, 2017.</w:t>
      </w:r>
    </w:p>
    <w:p>
      <w:pPr>
        <w:spacing w:after="40" w:before="0" w:line="240"/>
        <w:ind w:left="280" w:hanging="280"/>
      </w:pPr>
      <w:r>
        <w:rPr>
          <w:rFonts w:ascii="Times New Roman" w:cs="Times New Roman" w:eastAsia="Times New Roman" w:hAnsi="Times New Roman"/>
          <w:sz w:val="16"/>
          <w:szCs w:val="16"/>
        </w:rPr>
        <w:t xml:space="preserve">[4] J. Gustafsson, A. Betts, A. Ermedahl, and B. Lisper, “The Mälardalen WCET benchmarks: Past, present and future,” in Proc. WCET Workshop, 2010.</w:t>
      </w:r>
    </w:p>
    <w:p>
      <w:pPr>
        <w:spacing w:after="40" w:before="0" w:line="240"/>
        <w:ind w:left="280" w:hanging="280"/>
      </w:pPr>
      <w:r>
        <w:rPr>
          <w:rFonts w:ascii="Times New Roman" w:cs="Times New Roman" w:eastAsia="Times New Roman" w:hAnsi="Times New Roman"/>
          <w:sz w:val="16"/>
          <w:szCs w:val="16"/>
        </w:rPr>
        <w:t xml:space="preserve">[5] A. Burns and R. Davis, “A survey of research into mixed criticality systems,” ACM Comput. Surv., vol. 50, no. 6, 2017.</w:t>
      </w:r>
    </w:p>
    <w:p>
      <w:pPr>
        <w:spacing w:after="40" w:before="0" w:line="240"/>
        <w:ind w:left="280" w:hanging="280"/>
      </w:pPr>
      <w:r>
        <w:rPr>
          <w:rFonts w:ascii="Times New Roman" w:cs="Times New Roman" w:eastAsia="Times New Roman" w:hAnsi="Times New Roman"/>
          <w:sz w:val="16"/>
          <w:szCs w:val="16"/>
        </w:rPr>
        <w:t xml:space="preserve">[6] H. Mao, M. Alizadeh, I. Menache, and S. Kandula, “Resource management with deep reinforcement learning,” in Proc. ACM HotNets, 2016.</w:t>
      </w:r>
    </w:p>
    <w:p>
      <w:pPr>
        <w:spacing w:after="40" w:before="0" w:line="240"/>
        <w:ind w:left="280" w:hanging="280"/>
      </w:pPr>
      <w:r>
        <w:rPr>
          <w:rFonts w:ascii="Times New Roman" w:cs="Times New Roman" w:eastAsia="Times New Roman" w:hAnsi="Times New Roman"/>
          <w:sz w:val="16"/>
          <w:szCs w:val="16"/>
        </w:rPr>
        <w:t xml:space="preserve">[7] H. Mao et al., “Learning scheduling algorithms for data processing clusters,” in Proc. ACM SIGCOMM, 2019.</w:t>
      </w:r>
    </w:p>
    <w:p>
      <w:pPr>
        <w:spacing w:after="40" w:before="0" w:line="240"/>
        <w:ind w:left="280" w:hanging="280"/>
      </w:pPr>
      <w:r>
        <w:rPr>
          <w:rFonts w:ascii="Times New Roman" w:cs="Times New Roman" w:eastAsia="Times New Roman" w:hAnsi="Times New Roman"/>
          <w:sz w:val="16"/>
          <w:szCs w:val="16"/>
        </w:rPr>
        <w:t xml:space="preserve">[8] F. J. Corbató, M. Merwin-Daggett, and R. C. Daley, “An experimental time-sharing system,” in Proc. AFIPS SJCC, 1962, pp. 335–344.</w:t>
      </w:r>
    </w:p>
    <w:sectPr>
      <w:type w:val="continuous"/>
      <w:pgSz w:w="11906" w:h="16838" w:orient="portrait"/>
      <w:pgMar w:top="1440" w:right="1440" w:bottom="1440" w:left="1440" w:header="708" w:footer="708"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981577a8bec929eeae7b04cb15df56507ab8d9a.png"/><Relationship Id="rId9" Type="http://schemas.openxmlformats.org/officeDocument/2006/relationships/image" Target="media/37d10f94d5afdf5c92c4efa2a436ad99ebcb3e04.png"/><Relationship Id="rId10" Type="http://schemas.openxmlformats.org/officeDocument/2006/relationships/image" Target="media/c78856e4b0eb9b5707a390282de2611f2aad1619.png"/><Relationship Id="rId1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2026-04-19T16:20:59.525Z</dcterms:created>
  <dcterms:modified xsi:type="dcterms:W3CDTF">2026-04-19T16:20:59.526Z</dcterms:modified>
</cp:coreProperties>
</file>

<file path=docProps/custom.xml><?xml version="1.0" encoding="utf-8"?>
<Properties xmlns="http://schemas.openxmlformats.org/officeDocument/2006/custom-properties" xmlns:vt="http://schemas.openxmlformats.org/officeDocument/2006/docPropsVTypes"/>
</file>