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numbering.xml" ContentType="application/vnd.openxmlformats-officedocument.wordprocessingml.numbering+xml"/>
  <Override PartName="/word/footer8.xml" ContentType="application/vnd.openxmlformats-officedocument.wordprocessingml.footer+xml"/>
  <Override PartName="/word/theme/theme1.xml" ContentType="application/vnd.openxmlformats-officedocument.theme+xml"/>
  <Override PartName="/word/document.xml" ContentType="application/vnd.openxmlformats-officedocument.wordprocessingml.document.main+xml"/>
  <Override PartName="/word/styles.xml" ContentType="application/vnd.openxmlformats-officedocument.wordprocessingml.styles+xml"/>
  <Override PartName="/word/footer3.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footer4.xml" ContentType="application/vnd.openxmlformats-officedocument.wordprocessingml.footer+xml"/>
  <Override PartName="/word/media/image10.svg" ContentType="image/svg"/>
  <Override PartName="/word/fontTable.xml" ContentType="application/vnd.openxmlformats-officedocument.wordprocessingml.fontTable+xml"/>
  <Override PartName="/word/footer1.xml" ContentType="application/vnd.openxmlformats-officedocument.wordprocessingml.footer+xml"/>
  <Override PartName="/word/footer5.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lineRule="auto" w:line="360"/>
        <w:rPr/>
      </w:pPr>
      <w:r>
        <w:rPr/>
        <w:t>Universidad Autónoma Gabriel Rene Moreno</w:t>
      </w:r>
    </w:p>
    <w:p>
      <w:pPr>
        <w:pStyle w:val="Subtitle"/>
        <w:spacing w:lineRule="auto" w:line="360"/>
        <w:rPr/>
      </w:pPr>
      <w:r>
        <w:rPr/>
        <w:t>Facultad de Ciencias en la Computación y Telecomunicaciones</w:t>
      </w:r>
    </w:p>
    <w:p>
      <w:pPr>
        <w:pStyle w:val="Subtitle"/>
        <w:spacing w:lineRule="auto" w:line="360"/>
        <w:rPr/>
      </w:pPr>
      <w:r>
        <w:rPr/>
        <w:t>Carreras de Ingeniería de Sistemas e Informática</w:t>
      </w:r>
    </w:p>
    <w:p>
      <w:pPr>
        <w:pStyle w:val="Subtitle"/>
        <w:spacing w:lineRule="auto" w:line="360"/>
        <w:rPr/>
      </w:pPr>
      <w:r>
        <w:rPr/>
        <w:drawing>
          <wp:inline distT="0" distB="0" distL="0" distR="0">
            <wp:extent cx="2280920" cy="2879725"/>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noChangeArrowheads="1"/>
                    </pic:cNvPicPr>
                  </pic:nvPicPr>
                  <pic:blipFill>
                    <a:blip r:embed="rId2"/>
                    <a:stretch>
                      <a:fillRect/>
                    </a:stretch>
                  </pic:blipFill>
                  <pic:spPr bwMode="auto">
                    <a:xfrm>
                      <a:off x="0" y="0"/>
                      <a:ext cx="2280920" cy="2879725"/>
                    </a:xfrm>
                    <a:prstGeom prst="rect">
                      <a:avLst/>
                    </a:prstGeom>
                    <a:noFill/>
                  </pic:spPr>
                </pic:pic>
              </a:graphicData>
            </a:graphic>
          </wp:inline>
        </w:drawing>
      </w:r>
    </w:p>
    <w:p>
      <w:pPr>
        <w:pStyle w:val="Subtitle"/>
        <w:spacing w:lineRule="auto" w:line="360"/>
        <w:rPr/>
      </w:pPr>
      <w:r>
        <w:rPr/>
        <w:t>Perfil del Proyecto</w:t>
      </w:r>
    </w:p>
    <w:p>
      <w:pPr>
        <w:pStyle w:val="Subtitle"/>
        <w:spacing w:lineRule="auto" w:line="360"/>
        <w:rPr/>
      </w:pPr>
      <w:bookmarkStart w:id="0" w:name="_xllyz0inahev"/>
      <w:bookmarkEnd w:id="0"/>
      <w:r>
        <w:rPr/>
        <w:t>Sistema de Gestión Documental “SGD” (clínicas)</w:t>
      </w:r>
    </w:p>
    <w:p>
      <w:pPr>
        <w:pStyle w:val="Subtitle"/>
        <w:spacing w:lineRule="auto" w:line="360"/>
        <w:rPr/>
      </w:pPr>
      <w:r>
        <w:rPr/>
        <w:t>Grupo #5</w:t>
      </w:r>
    </w:p>
    <w:p>
      <w:pPr>
        <w:pStyle w:val="Subtitle"/>
        <w:spacing w:lineRule="auto" w:line="480"/>
        <w:jc w:val="start"/>
        <w:rPr/>
      </w:pPr>
      <w:r>
        <w:rPr/>
        <w:t>Integrantes</w:t>
      </w:r>
    </w:p>
    <w:tbl>
      <w:tblPr>
        <w:tblW w:w="9658" w:type="dxa"/>
        <w:jc w:val="start"/>
        <w:tblInd w:w="0" w:type="dxa"/>
        <w:tblLayout w:type="fixed"/>
        <w:tblCellMar>
          <w:top w:w="57" w:type="dxa"/>
          <w:start w:w="57" w:type="dxa"/>
          <w:bottom w:w="57" w:type="dxa"/>
          <w:end w:w="57" w:type="dxa"/>
        </w:tblCellMar>
      </w:tblPr>
      <w:tblGrid>
        <w:gridCol w:w="300"/>
        <w:gridCol w:w="3989"/>
        <w:gridCol w:w="3586"/>
        <w:gridCol w:w="1783"/>
      </w:tblGrid>
      <w:tr>
        <w:trPr/>
        <w:tc>
          <w:tcPr>
            <w:tcW w:w="300" w:type="dxa"/>
            <w:tcBorders>
              <w:top w:val="single" w:sz="6" w:space="0" w:color="000000"/>
              <w:bottom w:val="single" w:sz="6" w:space="0" w:color="000000"/>
            </w:tcBorders>
          </w:tcPr>
          <w:p>
            <w:pPr>
              <w:pStyle w:val="Normal"/>
              <w:keepNext w:val="false"/>
              <w:keepLines w:val="false"/>
              <w:widowControl w:val="false"/>
              <w:pBdr/>
              <w:spacing w:lineRule="auto" w:line="240" w:before="0" w:after="0"/>
              <w:ind w:hanging="0" w:start="0" w:end="0"/>
              <w:jc w:val="start"/>
              <w:rPr>
                <w:rFonts w:ascii="IBM Plex Serif" w:hAnsi="IBM Plex Serif" w:eastAsia="IBM Plex Serif" w:cs="IBM Plex Serif"/>
                <w:b/>
                <w:bCs/>
                <w:i w:val="false"/>
                <w:iCs w:val="false"/>
                <w:caps w:val="false"/>
                <w:smallCaps w:val="false"/>
                <w:strike w:val="false"/>
                <w:dstrike w:val="false"/>
                <w:color w:val="000000"/>
                <w:position w:val="0"/>
                <w:sz w:val="22"/>
                <w:szCs w:val="22"/>
                <w:u w:val="none"/>
                <w:vertAlign w:val="baseline"/>
              </w:rPr>
            </w:pPr>
            <w:r>
              <w:rPr>
                <w:rFonts w:eastAsia="IBM Plex Serif" w:cs="IBM Plex Serif"/>
                <w:b/>
                <w:bCs/>
                <w:i w:val="false"/>
                <w:iCs w:val="false"/>
                <w:caps w:val="false"/>
                <w:smallCaps w:val="false"/>
                <w:strike w:val="false"/>
                <w:dstrike w:val="false"/>
                <w:color w:val="000000"/>
                <w:position w:val="0"/>
                <w:sz w:val="22"/>
                <w:szCs w:val="22"/>
                <w:u w:val="none"/>
                <w:vertAlign w:val="baseline"/>
              </w:rPr>
              <w:t>#</w:t>
            </w:r>
          </w:p>
        </w:tc>
        <w:tc>
          <w:tcPr>
            <w:tcW w:w="3989" w:type="dxa"/>
            <w:tcBorders>
              <w:top w:val="single" w:sz="6" w:space="0" w:color="000000"/>
              <w:bottom w:val="single" w:sz="6" w:space="0" w:color="000000"/>
            </w:tcBorders>
          </w:tcPr>
          <w:p>
            <w:pPr>
              <w:pStyle w:val="Normal"/>
              <w:keepNext w:val="false"/>
              <w:keepLines w:val="false"/>
              <w:widowControl w:val="false"/>
              <w:pBdr/>
              <w:spacing w:lineRule="auto" w:line="240" w:before="0" w:after="0"/>
              <w:ind w:hanging="0" w:start="0" w:end="0"/>
              <w:jc w:val="start"/>
              <w:rPr>
                <w:rFonts w:ascii="IBM Plex Serif" w:hAnsi="IBM Plex Serif" w:eastAsia="IBM Plex Serif" w:cs="IBM Plex Serif"/>
                <w:b/>
                <w:bCs/>
                <w:i w:val="false"/>
                <w:iCs w:val="false"/>
                <w:caps w:val="false"/>
                <w:smallCaps w:val="false"/>
                <w:strike w:val="false"/>
                <w:dstrike w:val="false"/>
                <w:color w:val="000000"/>
                <w:position w:val="0"/>
                <w:sz w:val="22"/>
                <w:szCs w:val="22"/>
                <w:u w:val="none"/>
                <w:vertAlign w:val="baseline"/>
              </w:rPr>
            </w:pPr>
            <w:r>
              <w:rPr>
                <w:rFonts w:eastAsia="IBM Plex Serif" w:cs="IBM Plex Serif"/>
                <w:b/>
                <w:bCs/>
                <w:i w:val="false"/>
                <w:iCs w:val="false"/>
                <w:caps w:val="false"/>
                <w:smallCaps w:val="false"/>
                <w:strike w:val="false"/>
                <w:dstrike w:val="false"/>
                <w:color w:val="000000"/>
                <w:position w:val="0"/>
                <w:sz w:val="22"/>
                <w:szCs w:val="22"/>
                <w:u w:val="none"/>
                <w:vertAlign w:val="baseline"/>
              </w:rPr>
              <w:t>Apellidos</w:t>
            </w:r>
          </w:p>
        </w:tc>
        <w:tc>
          <w:tcPr>
            <w:tcW w:w="3586" w:type="dxa"/>
            <w:tcBorders>
              <w:top w:val="single" w:sz="6" w:space="0" w:color="000000"/>
              <w:bottom w:val="single" w:sz="6" w:space="0" w:color="000000"/>
            </w:tcBorders>
          </w:tcPr>
          <w:p>
            <w:pPr>
              <w:pStyle w:val="Normal"/>
              <w:keepNext w:val="false"/>
              <w:keepLines w:val="false"/>
              <w:widowControl w:val="false"/>
              <w:pBdr/>
              <w:spacing w:lineRule="auto" w:line="240" w:before="0" w:after="0"/>
              <w:ind w:hanging="0" w:start="0" w:end="0"/>
              <w:jc w:val="start"/>
              <w:rPr>
                <w:rFonts w:ascii="IBM Plex Serif" w:hAnsi="IBM Plex Serif" w:eastAsia="IBM Plex Serif" w:cs="IBM Plex Serif"/>
                <w:b/>
                <w:bCs/>
                <w:i w:val="false"/>
                <w:iCs w:val="false"/>
                <w:caps w:val="false"/>
                <w:smallCaps w:val="false"/>
                <w:strike w:val="false"/>
                <w:dstrike w:val="false"/>
                <w:color w:val="000000"/>
                <w:position w:val="0"/>
                <w:sz w:val="22"/>
                <w:szCs w:val="22"/>
                <w:u w:val="none"/>
                <w:vertAlign w:val="baseline"/>
              </w:rPr>
            </w:pPr>
            <w:r>
              <w:rPr>
                <w:rFonts w:eastAsia="IBM Plex Serif" w:cs="IBM Plex Serif"/>
                <w:b/>
                <w:bCs/>
                <w:i w:val="false"/>
                <w:iCs w:val="false"/>
                <w:caps w:val="false"/>
                <w:smallCaps w:val="false"/>
                <w:strike w:val="false"/>
                <w:dstrike w:val="false"/>
                <w:color w:val="000000"/>
                <w:position w:val="0"/>
                <w:sz w:val="22"/>
                <w:szCs w:val="22"/>
                <w:u w:val="none"/>
                <w:vertAlign w:val="baseline"/>
              </w:rPr>
              <w:t>Nombres</w:t>
            </w:r>
          </w:p>
        </w:tc>
        <w:tc>
          <w:tcPr>
            <w:tcW w:w="1783" w:type="dxa"/>
            <w:tcBorders>
              <w:top w:val="single" w:sz="6" w:space="0" w:color="000000"/>
              <w:bottom w:val="single" w:sz="6" w:space="0" w:color="000000"/>
            </w:tcBorders>
          </w:tcPr>
          <w:p>
            <w:pPr>
              <w:pStyle w:val="Normal"/>
              <w:keepNext w:val="false"/>
              <w:keepLines w:val="false"/>
              <w:widowControl w:val="false"/>
              <w:pBdr/>
              <w:spacing w:lineRule="auto" w:line="240" w:before="0" w:after="0"/>
              <w:ind w:hanging="0" w:start="0" w:end="0"/>
              <w:jc w:val="start"/>
              <w:rPr>
                <w:rFonts w:ascii="IBM Plex Serif" w:hAnsi="IBM Plex Serif" w:eastAsia="IBM Plex Serif" w:cs="IBM Plex Serif"/>
                <w:b/>
                <w:bCs/>
                <w:i w:val="false"/>
                <w:iCs w:val="false"/>
                <w:caps w:val="false"/>
                <w:smallCaps w:val="false"/>
                <w:strike w:val="false"/>
                <w:dstrike w:val="false"/>
                <w:color w:val="000000"/>
                <w:position w:val="0"/>
                <w:sz w:val="22"/>
                <w:szCs w:val="22"/>
                <w:u w:val="none"/>
                <w:vertAlign w:val="baseline"/>
              </w:rPr>
            </w:pPr>
            <w:r>
              <w:rPr>
                <w:rFonts w:eastAsia="IBM Plex Serif" w:cs="IBM Plex Serif"/>
                <w:b/>
                <w:bCs/>
                <w:i w:val="false"/>
                <w:iCs w:val="false"/>
                <w:caps w:val="false"/>
                <w:smallCaps w:val="false"/>
                <w:strike w:val="false"/>
                <w:dstrike w:val="false"/>
                <w:color w:val="000000"/>
                <w:position w:val="0"/>
                <w:sz w:val="22"/>
                <w:szCs w:val="22"/>
                <w:u w:val="none"/>
                <w:vertAlign w:val="baseline"/>
              </w:rPr>
              <w:t>Registros</w:t>
            </w:r>
          </w:p>
        </w:tc>
      </w:tr>
      <w:tr>
        <w:trPr/>
        <w:tc>
          <w:tcPr>
            <w:tcW w:w="300" w:type="dxa"/>
            <w:tcBorders/>
          </w:tcPr>
          <w:p>
            <w:pPr>
              <w:pStyle w:val="Normal"/>
              <w:keepNext w:val="false"/>
              <w:keepLines w:val="false"/>
              <w:widowControl w:val="false"/>
              <w:pBdr/>
              <w:spacing w:lineRule="auto" w:line="240" w:before="0" w:after="0"/>
              <w:ind w:hanging="0" w:start="0" w:end="0"/>
              <w:jc w:val="start"/>
              <w:rPr>
                <w:rFonts w:ascii="IBM Plex Serif" w:hAnsi="IBM Plex Serif" w:eastAsia="IBM Plex Serif" w:cs="IBM Plex Serif"/>
                <w:b w:val="false"/>
                <w:bCs w:val="false"/>
                <w:i w:val="false"/>
                <w:iCs w:val="false"/>
                <w:caps w:val="false"/>
                <w:smallCaps w:val="false"/>
                <w:strike w:val="false"/>
                <w:dstrike w:val="false"/>
                <w:color w:val="000000"/>
                <w:position w:val="0"/>
                <w:sz w:val="22"/>
                <w:szCs w:val="22"/>
                <w:u w:val="none"/>
                <w:vertAlign w:val="baseline"/>
              </w:rPr>
            </w:pPr>
            <w:r>
              <w:rPr>
                <w:rFonts w:eastAsia="IBM Plex Serif" w:cs="IBM Plex Serif"/>
                <w:b w:val="false"/>
                <w:bCs w:val="false"/>
                <w:i w:val="false"/>
                <w:iCs w:val="false"/>
                <w:caps w:val="false"/>
                <w:smallCaps w:val="false"/>
                <w:strike w:val="false"/>
                <w:dstrike w:val="false"/>
                <w:color w:val="000000"/>
                <w:position w:val="0"/>
                <w:sz w:val="22"/>
                <w:szCs w:val="22"/>
                <w:u w:val="none"/>
                <w:vertAlign w:val="baseline"/>
              </w:rPr>
              <w:t>1</w:t>
            </w:r>
          </w:p>
        </w:tc>
        <w:tc>
          <w:tcPr>
            <w:tcW w:w="3989" w:type="dxa"/>
            <w:tcBorders/>
          </w:tcPr>
          <w:p>
            <w:pPr>
              <w:pStyle w:val="Normal"/>
              <w:keepNext w:val="false"/>
              <w:keepLines w:val="false"/>
              <w:widowControl w:val="false"/>
              <w:pBdr/>
              <w:spacing w:lineRule="auto" w:line="240" w:before="0" w:after="0"/>
              <w:ind w:hanging="0" w:start="0" w:end="0"/>
              <w:jc w:val="start"/>
              <w:rPr>
                <w:rFonts w:ascii="IBM Plex Serif" w:hAnsi="IBM Plex Serif" w:eastAsia="IBM Plex Serif" w:cs="IBM Plex Serif"/>
                <w:b w:val="false"/>
                <w:bCs w:val="false"/>
                <w:i w:val="false"/>
                <w:iCs w:val="false"/>
                <w:caps w:val="false"/>
                <w:smallCaps w:val="false"/>
                <w:strike w:val="false"/>
                <w:dstrike w:val="false"/>
                <w:color w:val="000000"/>
                <w:position w:val="0"/>
                <w:sz w:val="22"/>
                <w:szCs w:val="22"/>
                <w:u w:val="none"/>
                <w:vertAlign w:val="baseline"/>
              </w:rPr>
            </w:pPr>
            <w:r>
              <w:rPr>
                <w:rFonts w:eastAsia="IBM Plex Serif" w:cs="IBM Plex Serif"/>
                <w:b w:val="false"/>
                <w:bCs w:val="false"/>
                <w:i w:val="false"/>
                <w:iCs w:val="false"/>
                <w:caps w:val="false"/>
                <w:smallCaps w:val="false"/>
                <w:strike w:val="false"/>
                <w:dstrike w:val="false"/>
                <w:color w:val="000000"/>
                <w:position w:val="0"/>
                <w:sz w:val="22"/>
                <w:szCs w:val="22"/>
                <w:u w:val="none"/>
                <w:vertAlign w:val="baseline"/>
              </w:rPr>
              <w:t>Duran Marcelo</w:t>
            </w:r>
          </w:p>
        </w:tc>
        <w:tc>
          <w:tcPr>
            <w:tcW w:w="3586" w:type="dxa"/>
            <w:tcBorders/>
          </w:tcPr>
          <w:p>
            <w:pPr>
              <w:pStyle w:val="Normal"/>
              <w:keepNext w:val="false"/>
              <w:keepLines w:val="false"/>
              <w:widowControl w:val="false"/>
              <w:pBdr/>
              <w:spacing w:lineRule="auto" w:line="240" w:before="0" w:after="0"/>
              <w:ind w:hanging="0" w:start="0" w:end="0"/>
              <w:jc w:val="start"/>
              <w:rPr>
                <w:rFonts w:ascii="IBM Plex Serif" w:hAnsi="IBM Plex Serif" w:eastAsia="IBM Plex Serif" w:cs="IBM Plex Serif"/>
                <w:b w:val="false"/>
                <w:bCs w:val="false"/>
                <w:i w:val="false"/>
                <w:iCs w:val="false"/>
                <w:caps w:val="false"/>
                <w:smallCaps w:val="false"/>
                <w:strike w:val="false"/>
                <w:dstrike w:val="false"/>
                <w:color w:val="000000"/>
                <w:position w:val="0"/>
                <w:sz w:val="22"/>
                <w:szCs w:val="22"/>
                <w:u w:val="none"/>
                <w:vertAlign w:val="baseline"/>
              </w:rPr>
            </w:pPr>
            <w:r>
              <w:rPr>
                <w:rFonts w:eastAsia="IBM Plex Serif" w:cs="IBM Plex Serif"/>
                <w:b w:val="false"/>
                <w:bCs w:val="false"/>
                <w:i w:val="false"/>
                <w:iCs w:val="false"/>
                <w:caps w:val="false"/>
                <w:smallCaps w:val="false"/>
                <w:strike w:val="false"/>
                <w:dstrike w:val="false"/>
                <w:color w:val="000000"/>
                <w:position w:val="0"/>
                <w:sz w:val="22"/>
                <w:szCs w:val="22"/>
                <w:u w:val="none"/>
                <w:vertAlign w:val="baseline"/>
              </w:rPr>
              <w:t>Kelly Alisson</w:t>
            </w:r>
          </w:p>
        </w:tc>
        <w:tc>
          <w:tcPr>
            <w:tcW w:w="1783" w:type="dxa"/>
            <w:tcBorders/>
          </w:tcPr>
          <w:p>
            <w:pPr>
              <w:pStyle w:val="Normal"/>
              <w:keepNext w:val="false"/>
              <w:keepLines w:val="false"/>
              <w:widowControl w:val="false"/>
              <w:pBdr/>
              <w:spacing w:lineRule="auto" w:line="240" w:before="0" w:after="0"/>
              <w:ind w:hanging="0" w:start="0" w:end="0"/>
              <w:jc w:val="start"/>
              <w:rPr>
                <w:rFonts w:ascii="IBM Plex Serif" w:hAnsi="IBM Plex Serif" w:eastAsia="IBM Plex Serif" w:cs="IBM Plex Serif"/>
                <w:b w:val="false"/>
                <w:bCs w:val="false"/>
                <w:i w:val="false"/>
                <w:iCs w:val="false"/>
                <w:caps w:val="false"/>
                <w:smallCaps w:val="false"/>
                <w:strike w:val="false"/>
                <w:dstrike w:val="false"/>
                <w:color w:val="000000"/>
                <w:position w:val="0"/>
                <w:sz w:val="22"/>
                <w:szCs w:val="22"/>
                <w:u w:val="none"/>
                <w:vertAlign w:val="baseline"/>
              </w:rPr>
            </w:pPr>
            <w:r>
              <w:rPr>
                <w:rFonts w:eastAsia="IBM Plex Serif" w:cs="IBM Plex Serif"/>
                <w:b w:val="false"/>
                <w:bCs w:val="false"/>
                <w:i w:val="false"/>
                <w:iCs w:val="false"/>
                <w:caps w:val="false"/>
                <w:smallCaps w:val="false"/>
                <w:strike w:val="false"/>
                <w:dstrike w:val="false"/>
                <w:color w:val="000000"/>
                <w:position w:val="0"/>
                <w:sz w:val="22"/>
                <w:szCs w:val="22"/>
                <w:u w:val="none"/>
                <w:vertAlign w:val="baseline"/>
              </w:rPr>
              <w:t xml:space="preserve">221044434  </w:t>
            </w:r>
          </w:p>
        </w:tc>
      </w:tr>
      <w:tr>
        <w:trPr/>
        <w:tc>
          <w:tcPr>
            <w:tcW w:w="300" w:type="dxa"/>
            <w:tcBorders/>
          </w:tcPr>
          <w:p>
            <w:pPr>
              <w:pStyle w:val="Normal"/>
              <w:keepNext w:val="false"/>
              <w:keepLines w:val="false"/>
              <w:widowControl w:val="false"/>
              <w:pBdr/>
              <w:spacing w:lineRule="auto" w:line="240" w:before="0" w:after="0"/>
              <w:ind w:hanging="0" w:start="0" w:end="0"/>
              <w:jc w:val="start"/>
              <w:rPr>
                <w:rFonts w:ascii="IBM Plex Serif" w:hAnsi="IBM Plex Serif" w:eastAsia="IBM Plex Serif" w:cs="IBM Plex Serif"/>
                <w:b w:val="false"/>
                <w:bCs w:val="false"/>
                <w:i w:val="false"/>
                <w:iCs w:val="false"/>
                <w:caps w:val="false"/>
                <w:smallCaps w:val="false"/>
                <w:strike w:val="false"/>
                <w:dstrike w:val="false"/>
                <w:color w:val="000000"/>
                <w:position w:val="0"/>
                <w:sz w:val="22"/>
                <w:szCs w:val="22"/>
                <w:u w:val="none"/>
                <w:vertAlign w:val="baseline"/>
              </w:rPr>
            </w:pPr>
            <w:r>
              <w:rPr>
                <w:rFonts w:eastAsia="IBM Plex Serif" w:cs="IBM Plex Serif"/>
                <w:b w:val="false"/>
                <w:bCs w:val="false"/>
                <w:i w:val="false"/>
                <w:iCs w:val="false"/>
                <w:caps w:val="false"/>
                <w:smallCaps w:val="false"/>
                <w:strike w:val="false"/>
                <w:dstrike w:val="false"/>
                <w:color w:val="000000"/>
                <w:position w:val="0"/>
                <w:sz w:val="22"/>
                <w:szCs w:val="22"/>
                <w:u w:val="none"/>
                <w:vertAlign w:val="baseline"/>
              </w:rPr>
              <w:t>2</w:t>
            </w:r>
          </w:p>
        </w:tc>
        <w:tc>
          <w:tcPr>
            <w:tcW w:w="3989" w:type="dxa"/>
            <w:tcBorders/>
          </w:tcPr>
          <w:p>
            <w:pPr>
              <w:pStyle w:val="Normal"/>
              <w:keepNext w:val="false"/>
              <w:keepLines w:val="false"/>
              <w:widowControl w:val="false"/>
              <w:pBdr/>
              <w:spacing w:lineRule="auto" w:line="240" w:before="0" w:after="0"/>
              <w:ind w:hanging="0" w:start="0" w:end="0"/>
              <w:jc w:val="start"/>
              <w:rPr>
                <w:rFonts w:ascii="IBM Plex Serif" w:hAnsi="IBM Plex Serif" w:eastAsia="IBM Plex Serif" w:cs="IBM Plex Serif"/>
                <w:b w:val="false"/>
                <w:bCs w:val="false"/>
                <w:i w:val="false"/>
                <w:iCs w:val="false"/>
                <w:caps w:val="false"/>
                <w:smallCaps w:val="false"/>
                <w:strike w:val="false"/>
                <w:dstrike w:val="false"/>
                <w:color w:val="000000"/>
                <w:position w:val="0"/>
                <w:sz w:val="22"/>
                <w:szCs w:val="22"/>
                <w:u w:val="none"/>
                <w:vertAlign w:val="baseline"/>
              </w:rPr>
            </w:pPr>
            <w:r>
              <w:rPr>
                <w:rFonts w:eastAsia="IBM Plex Serif" w:cs="IBM Plex Serif"/>
                <w:b w:val="false"/>
                <w:bCs w:val="false"/>
                <w:i w:val="false"/>
                <w:iCs w:val="false"/>
                <w:caps w:val="false"/>
                <w:smallCaps w:val="false"/>
                <w:strike w:val="false"/>
                <w:dstrike w:val="false"/>
                <w:color w:val="000000"/>
                <w:position w:val="0"/>
                <w:sz w:val="22"/>
                <w:szCs w:val="22"/>
                <w:u w:val="none"/>
                <w:vertAlign w:val="baseline"/>
              </w:rPr>
              <w:t>Gonzales Alba</w:t>
            </w:r>
          </w:p>
        </w:tc>
        <w:tc>
          <w:tcPr>
            <w:tcW w:w="3586" w:type="dxa"/>
            <w:tcBorders/>
          </w:tcPr>
          <w:p>
            <w:pPr>
              <w:pStyle w:val="Normal"/>
              <w:keepNext w:val="false"/>
              <w:keepLines w:val="false"/>
              <w:widowControl w:val="false"/>
              <w:pBdr/>
              <w:spacing w:lineRule="auto" w:line="240" w:before="0" w:after="0"/>
              <w:ind w:hanging="0" w:start="0" w:end="0"/>
              <w:jc w:val="start"/>
              <w:rPr>
                <w:rFonts w:ascii="IBM Plex Serif" w:hAnsi="IBM Plex Serif" w:eastAsia="IBM Plex Serif" w:cs="IBM Plex Serif"/>
                <w:b w:val="false"/>
                <w:bCs w:val="false"/>
                <w:i w:val="false"/>
                <w:iCs w:val="false"/>
                <w:caps w:val="false"/>
                <w:smallCaps w:val="false"/>
                <w:strike w:val="false"/>
                <w:dstrike w:val="false"/>
                <w:color w:val="000000"/>
                <w:position w:val="0"/>
                <w:sz w:val="22"/>
                <w:szCs w:val="22"/>
                <w:u w:val="none"/>
                <w:vertAlign w:val="baseline"/>
              </w:rPr>
            </w:pPr>
            <w:r>
              <w:rPr>
                <w:rFonts w:eastAsia="IBM Plex Serif" w:cs="IBM Plex Serif"/>
                <w:b w:val="false"/>
                <w:bCs w:val="false"/>
                <w:i w:val="false"/>
                <w:iCs w:val="false"/>
                <w:caps w:val="false"/>
                <w:smallCaps w:val="false"/>
                <w:strike w:val="false"/>
                <w:dstrike w:val="false"/>
                <w:color w:val="000000"/>
                <w:position w:val="0"/>
                <w:sz w:val="22"/>
                <w:szCs w:val="22"/>
                <w:u w:val="none"/>
                <w:vertAlign w:val="baseline"/>
              </w:rPr>
              <w:t>Jose Brayan</w:t>
            </w:r>
          </w:p>
        </w:tc>
        <w:tc>
          <w:tcPr>
            <w:tcW w:w="1783" w:type="dxa"/>
            <w:tcBorders/>
          </w:tcPr>
          <w:p>
            <w:pPr>
              <w:pStyle w:val="Normal"/>
              <w:keepNext w:val="false"/>
              <w:keepLines w:val="false"/>
              <w:widowControl w:val="false"/>
              <w:pBdr/>
              <w:spacing w:lineRule="auto" w:line="240" w:before="0" w:after="0"/>
              <w:ind w:hanging="0" w:start="0" w:end="0"/>
              <w:jc w:val="start"/>
              <w:rPr>
                <w:rFonts w:ascii="IBM Plex Serif" w:hAnsi="IBM Plex Serif" w:eastAsia="IBM Plex Serif" w:cs="IBM Plex Serif"/>
                <w:b w:val="false"/>
                <w:bCs w:val="false"/>
                <w:i w:val="false"/>
                <w:iCs w:val="false"/>
                <w:caps w:val="false"/>
                <w:smallCaps w:val="false"/>
                <w:strike w:val="false"/>
                <w:dstrike w:val="false"/>
                <w:color w:val="000000"/>
                <w:position w:val="0"/>
                <w:sz w:val="22"/>
                <w:szCs w:val="22"/>
                <w:u w:val="none"/>
                <w:vertAlign w:val="baseline"/>
              </w:rPr>
            </w:pPr>
            <w:r>
              <w:rPr>
                <w:rFonts w:eastAsia="IBM Plex Serif" w:cs="IBM Plex Serif"/>
                <w:b w:val="false"/>
                <w:bCs w:val="false"/>
                <w:i w:val="false"/>
                <w:iCs w:val="false"/>
                <w:caps w:val="false"/>
                <w:smallCaps w:val="false"/>
                <w:strike w:val="false"/>
                <w:dstrike w:val="false"/>
                <w:color w:val="000000"/>
                <w:position w:val="0"/>
                <w:sz w:val="22"/>
                <w:szCs w:val="22"/>
                <w:u w:val="none"/>
                <w:vertAlign w:val="baseline"/>
              </w:rPr>
              <w:t>212038443</w:t>
            </w:r>
          </w:p>
        </w:tc>
      </w:tr>
      <w:tr>
        <w:trPr/>
        <w:tc>
          <w:tcPr>
            <w:tcW w:w="300" w:type="dxa"/>
            <w:tcBorders/>
          </w:tcPr>
          <w:p>
            <w:pPr>
              <w:pStyle w:val="Normal"/>
              <w:keepNext w:val="false"/>
              <w:keepLines w:val="false"/>
              <w:widowControl w:val="false"/>
              <w:pBdr/>
              <w:spacing w:lineRule="auto" w:line="240" w:before="0" w:after="0"/>
              <w:ind w:hanging="0" w:start="0" w:end="0"/>
              <w:jc w:val="start"/>
              <w:rPr>
                <w:rFonts w:ascii="IBM Plex Serif" w:hAnsi="IBM Plex Serif" w:eastAsia="IBM Plex Serif" w:cs="IBM Plex Serif"/>
                <w:b w:val="false"/>
                <w:bCs w:val="false"/>
                <w:i w:val="false"/>
                <w:iCs w:val="false"/>
                <w:caps w:val="false"/>
                <w:smallCaps w:val="false"/>
                <w:strike w:val="false"/>
                <w:dstrike w:val="false"/>
                <w:color w:val="000000"/>
                <w:position w:val="0"/>
                <w:sz w:val="22"/>
                <w:szCs w:val="22"/>
                <w:u w:val="none"/>
                <w:vertAlign w:val="baseline"/>
              </w:rPr>
            </w:pPr>
            <w:r>
              <w:rPr>
                <w:rFonts w:eastAsia="IBM Plex Serif" w:cs="IBM Plex Serif"/>
                <w:b w:val="false"/>
                <w:bCs w:val="false"/>
                <w:i w:val="false"/>
                <w:iCs w:val="false"/>
                <w:caps w:val="false"/>
                <w:smallCaps w:val="false"/>
                <w:strike w:val="false"/>
                <w:dstrike w:val="false"/>
                <w:color w:val="000000"/>
                <w:position w:val="0"/>
                <w:sz w:val="22"/>
                <w:szCs w:val="22"/>
                <w:u w:val="none"/>
                <w:vertAlign w:val="baseline"/>
              </w:rPr>
              <w:t>3</w:t>
            </w:r>
          </w:p>
        </w:tc>
        <w:tc>
          <w:tcPr>
            <w:tcW w:w="3989" w:type="dxa"/>
            <w:tcBorders/>
          </w:tcPr>
          <w:p>
            <w:pPr>
              <w:pStyle w:val="Normal"/>
              <w:keepNext w:val="false"/>
              <w:keepLines w:val="false"/>
              <w:widowControl w:val="false"/>
              <w:pBdr/>
              <w:spacing w:lineRule="auto" w:line="240" w:before="0" w:after="0"/>
              <w:ind w:hanging="0" w:start="0" w:end="0"/>
              <w:jc w:val="start"/>
              <w:rPr>
                <w:rFonts w:ascii="IBM Plex Serif" w:hAnsi="IBM Plex Serif" w:eastAsia="IBM Plex Serif" w:cs="IBM Plex Serif"/>
                <w:b w:val="false"/>
                <w:bCs w:val="false"/>
                <w:i w:val="false"/>
                <w:iCs w:val="false"/>
                <w:caps w:val="false"/>
                <w:smallCaps w:val="false"/>
                <w:strike w:val="false"/>
                <w:dstrike w:val="false"/>
                <w:color w:val="000000"/>
                <w:position w:val="0"/>
                <w:sz w:val="22"/>
                <w:szCs w:val="22"/>
                <w:u w:val="none"/>
                <w:vertAlign w:val="baseline"/>
              </w:rPr>
            </w:pPr>
            <w:r>
              <w:rPr>
                <w:rFonts w:eastAsia="IBM Plex Serif" w:cs="IBM Plex Serif"/>
                <w:b w:val="false"/>
                <w:bCs w:val="false"/>
                <w:i w:val="false"/>
                <w:iCs w:val="false"/>
                <w:caps w:val="false"/>
                <w:smallCaps w:val="false"/>
                <w:strike w:val="false"/>
                <w:dstrike w:val="false"/>
                <w:color w:val="000000"/>
                <w:position w:val="0"/>
                <w:sz w:val="22"/>
                <w:szCs w:val="22"/>
                <w:u w:val="none"/>
                <w:vertAlign w:val="baseline"/>
              </w:rPr>
              <w:t>Guairaje Herbas</w:t>
            </w:r>
          </w:p>
        </w:tc>
        <w:tc>
          <w:tcPr>
            <w:tcW w:w="3586" w:type="dxa"/>
            <w:tcBorders/>
          </w:tcPr>
          <w:p>
            <w:pPr>
              <w:pStyle w:val="Normal"/>
              <w:keepNext w:val="false"/>
              <w:keepLines w:val="false"/>
              <w:widowControl w:val="false"/>
              <w:pBdr/>
              <w:spacing w:lineRule="auto" w:line="240" w:before="0" w:after="0"/>
              <w:ind w:hanging="0" w:start="0" w:end="0"/>
              <w:jc w:val="start"/>
              <w:rPr>
                <w:rFonts w:ascii="IBM Plex Serif" w:hAnsi="IBM Plex Serif" w:eastAsia="IBM Plex Serif" w:cs="IBM Plex Serif"/>
                <w:b w:val="false"/>
                <w:bCs w:val="false"/>
                <w:i w:val="false"/>
                <w:iCs w:val="false"/>
                <w:caps w:val="false"/>
                <w:smallCaps w:val="false"/>
                <w:strike w:val="false"/>
                <w:dstrike w:val="false"/>
                <w:color w:val="000000"/>
                <w:position w:val="0"/>
                <w:sz w:val="22"/>
                <w:szCs w:val="22"/>
                <w:u w:val="none"/>
                <w:vertAlign w:val="baseline"/>
              </w:rPr>
            </w:pPr>
            <w:r>
              <w:rPr>
                <w:rFonts w:eastAsia="IBM Plex Serif" w:cs="IBM Plex Serif"/>
                <w:b w:val="false"/>
                <w:bCs w:val="false"/>
                <w:i w:val="false"/>
                <w:iCs w:val="false"/>
                <w:caps w:val="false"/>
                <w:smallCaps w:val="false"/>
                <w:strike w:val="false"/>
                <w:dstrike w:val="false"/>
                <w:color w:val="000000"/>
                <w:position w:val="0"/>
                <w:sz w:val="22"/>
                <w:szCs w:val="22"/>
                <w:u w:val="none"/>
                <w:vertAlign w:val="baseline"/>
              </w:rPr>
              <w:t>Nicol Melany</w:t>
            </w:r>
          </w:p>
        </w:tc>
        <w:tc>
          <w:tcPr>
            <w:tcW w:w="1783" w:type="dxa"/>
            <w:tcBorders/>
          </w:tcPr>
          <w:p>
            <w:pPr>
              <w:pStyle w:val="Normal"/>
              <w:keepNext w:val="false"/>
              <w:keepLines w:val="false"/>
              <w:widowControl w:val="false"/>
              <w:pBdr/>
              <w:spacing w:lineRule="auto" w:line="240" w:before="0" w:after="0"/>
              <w:ind w:hanging="0" w:start="0" w:end="0"/>
              <w:jc w:val="start"/>
              <w:rPr>
                <w:rFonts w:ascii="IBM Plex Serif" w:hAnsi="IBM Plex Serif" w:eastAsia="IBM Plex Serif" w:cs="IBM Plex Serif"/>
                <w:b w:val="false"/>
                <w:bCs w:val="false"/>
                <w:i w:val="false"/>
                <w:iCs w:val="false"/>
                <w:caps w:val="false"/>
                <w:smallCaps w:val="false"/>
                <w:strike w:val="false"/>
                <w:dstrike w:val="false"/>
                <w:color w:val="000000"/>
                <w:position w:val="0"/>
                <w:sz w:val="22"/>
                <w:szCs w:val="22"/>
                <w:u w:val="none"/>
                <w:vertAlign w:val="baseline"/>
              </w:rPr>
            </w:pPr>
            <w:r>
              <w:rPr>
                <w:rFonts w:eastAsia="IBM Plex Serif" w:cs="IBM Plex Serif"/>
                <w:b w:val="false"/>
                <w:bCs w:val="false"/>
                <w:i w:val="false"/>
                <w:iCs w:val="false"/>
                <w:caps w:val="false"/>
                <w:smallCaps w:val="false"/>
                <w:strike w:val="false"/>
                <w:dstrike w:val="false"/>
                <w:color w:val="000000"/>
                <w:position w:val="0"/>
                <w:sz w:val="22"/>
                <w:szCs w:val="22"/>
                <w:u w:val="none"/>
                <w:vertAlign w:val="baseline"/>
              </w:rPr>
              <w:t>222008504</w:t>
            </w:r>
          </w:p>
        </w:tc>
      </w:tr>
      <w:tr>
        <w:trPr/>
        <w:tc>
          <w:tcPr>
            <w:tcW w:w="300" w:type="dxa"/>
            <w:tcBorders/>
          </w:tcPr>
          <w:p>
            <w:pPr>
              <w:pStyle w:val="Normal"/>
              <w:keepNext w:val="false"/>
              <w:keepLines w:val="false"/>
              <w:widowControl w:val="false"/>
              <w:pBdr/>
              <w:spacing w:lineRule="auto" w:line="240" w:before="0" w:after="0"/>
              <w:ind w:hanging="0" w:start="0" w:end="0"/>
              <w:jc w:val="start"/>
              <w:rPr>
                <w:rFonts w:ascii="IBM Plex Serif" w:hAnsi="IBM Plex Serif" w:eastAsia="IBM Plex Serif" w:cs="IBM Plex Serif"/>
                <w:b w:val="false"/>
                <w:bCs w:val="false"/>
                <w:i/>
                <w:iCs/>
                <w:caps w:val="false"/>
                <w:smallCaps w:val="false"/>
                <w:strike w:val="false"/>
                <w:dstrike w:val="false"/>
                <w:color w:val="000000"/>
                <w:position w:val="0"/>
                <w:sz w:val="22"/>
                <w:szCs w:val="22"/>
                <w:u w:val="none"/>
                <w:vertAlign w:val="baseline"/>
              </w:rPr>
            </w:pPr>
            <w:r>
              <w:rPr>
                <w:rFonts w:eastAsia="IBM Plex Serif" w:cs="IBM Plex Serif"/>
                <w:b w:val="false"/>
                <w:bCs w:val="false"/>
                <w:i/>
                <w:iCs/>
                <w:caps w:val="false"/>
                <w:smallCaps w:val="false"/>
                <w:strike w:val="false"/>
                <w:dstrike w:val="false"/>
                <w:color w:val="000000"/>
                <w:position w:val="0"/>
                <w:sz w:val="22"/>
                <w:szCs w:val="22"/>
                <w:u w:val="none"/>
                <w:vertAlign w:val="baseline"/>
              </w:rPr>
              <w:t>4</w:t>
            </w:r>
          </w:p>
        </w:tc>
        <w:tc>
          <w:tcPr>
            <w:tcW w:w="3989" w:type="dxa"/>
            <w:tcBorders/>
          </w:tcPr>
          <w:p>
            <w:pPr>
              <w:pStyle w:val="Normal"/>
              <w:keepNext w:val="false"/>
              <w:keepLines w:val="false"/>
              <w:widowControl w:val="false"/>
              <w:pBdr/>
              <w:spacing w:lineRule="auto" w:line="240" w:before="0" w:after="0"/>
              <w:ind w:hanging="0" w:start="0" w:end="0"/>
              <w:jc w:val="start"/>
              <w:rPr>
                <w:rFonts w:ascii="IBM Plex Serif" w:hAnsi="IBM Plex Serif" w:eastAsia="IBM Plex Serif" w:cs="IBM Plex Serif"/>
                <w:b w:val="false"/>
                <w:bCs w:val="false"/>
                <w:i/>
                <w:iCs/>
                <w:caps w:val="false"/>
                <w:smallCaps w:val="false"/>
                <w:strike w:val="false"/>
                <w:dstrike w:val="false"/>
                <w:color w:val="000000"/>
                <w:position w:val="0"/>
                <w:sz w:val="22"/>
                <w:szCs w:val="22"/>
                <w:u w:val="none"/>
                <w:vertAlign w:val="baseline"/>
              </w:rPr>
            </w:pPr>
            <w:r>
              <w:rPr>
                <w:rFonts w:eastAsia="IBM Plex Serif" w:cs="IBM Plex Serif"/>
                <w:b w:val="false"/>
                <w:bCs w:val="false"/>
                <w:i/>
                <w:iCs/>
                <w:caps w:val="false"/>
                <w:smallCaps w:val="false"/>
                <w:strike w:val="false"/>
                <w:dstrike w:val="false"/>
                <w:color w:val="000000"/>
                <w:position w:val="0"/>
                <w:sz w:val="22"/>
                <w:szCs w:val="22"/>
                <w:u w:val="none"/>
                <w:vertAlign w:val="baseline"/>
              </w:rPr>
              <w:t>Hidalgo Riffarachi</w:t>
            </w:r>
          </w:p>
        </w:tc>
        <w:tc>
          <w:tcPr>
            <w:tcW w:w="3586" w:type="dxa"/>
            <w:tcBorders/>
          </w:tcPr>
          <w:p>
            <w:pPr>
              <w:pStyle w:val="Normal"/>
              <w:keepNext w:val="false"/>
              <w:keepLines w:val="false"/>
              <w:widowControl w:val="false"/>
              <w:pBdr/>
              <w:spacing w:lineRule="auto" w:line="240" w:before="0" w:after="0"/>
              <w:ind w:hanging="0" w:start="0" w:end="0"/>
              <w:jc w:val="start"/>
              <w:rPr>
                <w:rFonts w:ascii="IBM Plex Serif" w:hAnsi="IBM Plex Serif" w:eastAsia="IBM Plex Serif" w:cs="IBM Plex Serif"/>
                <w:b w:val="false"/>
                <w:bCs w:val="false"/>
                <w:i/>
                <w:iCs/>
                <w:caps w:val="false"/>
                <w:smallCaps w:val="false"/>
                <w:strike w:val="false"/>
                <w:dstrike w:val="false"/>
                <w:color w:val="000000"/>
                <w:position w:val="0"/>
                <w:sz w:val="22"/>
                <w:szCs w:val="22"/>
                <w:u w:val="none"/>
                <w:vertAlign w:val="baseline"/>
              </w:rPr>
            </w:pPr>
            <w:r>
              <w:rPr>
                <w:rFonts w:eastAsia="IBM Plex Serif" w:cs="IBM Plex Serif"/>
                <w:b w:val="false"/>
                <w:bCs w:val="false"/>
                <w:i/>
                <w:iCs/>
                <w:caps w:val="false"/>
                <w:smallCaps w:val="false"/>
                <w:strike w:val="false"/>
                <w:dstrike w:val="false"/>
                <w:color w:val="000000"/>
                <w:position w:val="0"/>
                <w:sz w:val="22"/>
                <w:szCs w:val="22"/>
                <w:u w:val="none"/>
                <w:vertAlign w:val="baseline"/>
              </w:rPr>
              <w:t>Osmar Javier</w:t>
            </w:r>
          </w:p>
        </w:tc>
        <w:tc>
          <w:tcPr>
            <w:tcW w:w="1783" w:type="dxa"/>
            <w:tcBorders/>
          </w:tcPr>
          <w:p>
            <w:pPr>
              <w:pStyle w:val="Normal"/>
              <w:keepNext w:val="false"/>
              <w:keepLines w:val="false"/>
              <w:widowControl w:val="false"/>
              <w:pBdr/>
              <w:spacing w:lineRule="auto" w:line="240" w:before="0" w:after="0"/>
              <w:ind w:hanging="0" w:start="0" w:end="0"/>
              <w:jc w:val="start"/>
              <w:rPr>
                <w:rFonts w:ascii="IBM Plex Serif" w:hAnsi="IBM Plex Serif" w:eastAsia="IBM Plex Serif" w:cs="IBM Plex Serif"/>
                <w:b w:val="false"/>
                <w:bCs w:val="false"/>
                <w:i/>
                <w:iCs/>
                <w:caps w:val="false"/>
                <w:smallCaps w:val="false"/>
                <w:strike w:val="false"/>
                <w:dstrike w:val="false"/>
                <w:color w:val="000000"/>
                <w:position w:val="0"/>
                <w:sz w:val="22"/>
                <w:szCs w:val="22"/>
                <w:u w:val="none"/>
                <w:vertAlign w:val="baseline"/>
              </w:rPr>
            </w:pPr>
            <w:r>
              <w:rPr>
                <w:rFonts w:eastAsia="IBM Plex Serif" w:cs="IBM Plex Serif"/>
                <w:b w:val="false"/>
                <w:bCs w:val="false"/>
                <w:i/>
                <w:iCs/>
                <w:caps w:val="false"/>
                <w:smallCaps w:val="false"/>
                <w:strike w:val="false"/>
                <w:dstrike w:val="false"/>
                <w:color w:val="000000"/>
                <w:position w:val="0"/>
                <w:sz w:val="22"/>
                <w:szCs w:val="22"/>
                <w:u w:val="none"/>
                <w:vertAlign w:val="baseline"/>
              </w:rPr>
              <w:t>217023045</w:t>
            </w:r>
          </w:p>
        </w:tc>
      </w:tr>
      <w:tr>
        <w:trPr/>
        <w:tc>
          <w:tcPr>
            <w:tcW w:w="300" w:type="dxa"/>
            <w:tcBorders/>
          </w:tcPr>
          <w:p>
            <w:pPr>
              <w:pStyle w:val="Normal"/>
              <w:keepNext w:val="false"/>
              <w:keepLines w:val="false"/>
              <w:widowControl w:val="false"/>
              <w:pBdr/>
              <w:spacing w:lineRule="auto" w:line="240" w:before="0" w:after="0"/>
              <w:ind w:hanging="0" w:start="0" w:end="0"/>
              <w:jc w:val="start"/>
              <w:rPr>
                <w:rFonts w:ascii="IBM Plex Serif" w:hAnsi="IBM Plex Serif" w:eastAsia="IBM Plex Serif" w:cs="IBM Plex Serif"/>
                <w:b w:val="false"/>
                <w:bCs w:val="false"/>
                <w:i w:val="false"/>
                <w:iCs w:val="false"/>
                <w:caps w:val="false"/>
                <w:smallCaps w:val="false"/>
                <w:strike w:val="false"/>
                <w:dstrike w:val="false"/>
                <w:color w:val="000000"/>
                <w:position w:val="0"/>
                <w:sz w:val="22"/>
                <w:szCs w:val="22"/>
                <w:u w:val="none"/>
                <w:vertAlign w:val="baseline"/>
              </w:rPr>
            </w:pPr>
            <w:r>
              <w:rPr>
                <w:rFonts w:eastAsia="IBM Plex Serif" w:cs="IBM Plex Serif"/>
                <w:b w:val="false"/>
                <w:bCs w:val="false"/>
                <w:i w:val="false"/>
                <w:iCs w:val="false"/>
                <w:caps w:val="false"/>
                <w:smallCaps w:val="false"/>
                <w:strike w:val="false"/>
                <w:dstrike w:val="false"/>
                <w:color w:val="000000"/>
                <w:position w:val="0"/>
                <w:sz w:val="22"/>
                <w:szCs w:val="22"/>
                <w:u w:val="none"/>
                <w:vertAlign w:val="baseline"/>
              </w:rPr>
              <w:t>5</w:t>
            </w:r>
          </w:p>
        </w:tc>
        <w:tc>
          <w:tcPr>
            <w:tcW w:w="3989" w:type="dxa"/>
            <w:tcBorders/>
          </w:tcPr>
          <w:p>
            <w:pPr>
              <w:pStyle w:val="Normal"/>
              <w:keepNext w:val="false"/>
              <w:keepLines w:val="false"/>
              <w:widowControl w:val="false"/>
              <w:pBdr/>
              <w:spacing w:lineRule="auto" w:line="240" w:before="0" w:after="0"/>
              <w:ind w:hanging="0" w:start="0" w:end="0"/>
              <w:jc w:val="start"/>
              <w:rPr>
                <w:rFonts w:ascii="IBM Plex Serif" w:hAnsi="IBM Plex Serif" w:eastAsia="IBM Plex Serif" w:cs="IBM Plex Serif"/>
                <w:b w:val="false"/>
                <w:bCs w:val="false"/>
                <w:i w:val="false"/>
                <w:iCs w:val="false"/>
                <w:caps w:val="false"/>
                <w:smallCaps w:val="false"/>
                <w:strike w:val="false"/>
                <w:dstrike w:val="false"/>
                <w:color w:val="000000"/>
                <w:position w:val="0"/>
                <w:sz w:val="22"/>
                <w:szCs w:val="22"/>
                <w:u w:val="none"/>
                <w:vertAlign w:val="baseline"/>
              </w:rPr>
            </w:pPr>
            <w:r>
              <w:rPr>
                <w:rFonts w:eastAsia="IBM Plex Serif" w:cs="IBM Plex Serif"/>
                <w:b w:val="false"/>
                <w:bCs w:val="false"/>
                <w:i w:val="false"/>
                <w:iCs w:val="false"/>
                <w:caps w:val="false"/>
                <w:smallCaps w:val="false"/>
                <w:strike w:val="false"/>
                <w:dstrike w:val="false"/>
                <w:color w:val="000000"/>
                <w:position w:val="0"/>
                <w:sz w:val="22"/>
                <w:szCs w:val="22"/>
                <w:u w:val="none"/>
                <w:vertAlign w:val="baseline"/>
              </w:rPr>
              <w:t>Huarachi Layme</w:t>
            </w:r>
          </w:p>
        </w:tc>
        <w:tc>
          <w:tcPr>
            <w:tcW w:w="3586" w:type="dxa"/>
            <w:tcBorders/>
          </w:tcPr>
          <w:p>
            <w:pPr>
              <w:pStyle w:val="Normal"/>
              <w:keepNext w:val="false"/>
              <w:keepLines w:val="false"/>
              <w:widowControl w:val="false"/>
              <w:pBdr/>
              <w:spacing w:lineRule="auto" w:line="240" w:before="0" w:after="0"/>
              <w:ind w:hanging="0" w:start="0" w:end="0"/>
              <w:jc w:val="start"/>
              <w:rPr>
                <w:rFonts w:ascii="IBM Plex Serif" w:hAnsi="IBM Plex Serif" w:eastAsia="IBM Plex Serif" w:cs="IBM Plex Serif"/>
                <w:b w:val="false"/>
                <w:bCs w:val="false"/>
                <w:i w:val="false"/>
                <w:iCs w:val="false"/>
                <w:caps w:val="false"/>
                <w:smallCaps w:val="false"/>
                <w:strike w:val="false"/>
                <w:dstrike w:val="false"/>
                <w:color w:val="000000"/>
                <w:position w:val="0"/>
                <w:sz w:val="22"/>
                <w:szCs w:val="22"/>
                <w:u w:val="none"/>
                <w:vertAlign w:val="baseline"/>
              </w:rPr>
            </w:pPr>
            <w:r>
              <w:rPr>
                <w:rFonts w:eastAsia="IBM Plex Serif" w:cs="IBM Plex Serif"/>
                <w:b w:val="false"/>
                <w:bCs w:val="false"/>
                <w:i w:val="false"/>
                <w:iCs w:val="false"/>
                <w:caps w:val="false"/>
                <w:smallCaps w:val="false"/>
                <w:strike w:val="false"/>
                <w:dstrike w:val="false"/>
                <w:color w:val="000000"/>
                <w:position w:val="0"/>
                <w:sz w:val="22"/>
                <w:szCs w:val="22"/>
                <w:u w:val="none"/>
                <w:vertAlign w:val="baseline"/>
              </w:rPr>
              <w:t>Eva Maribel</w:t>
            </w:r>
          </w:p>
        </w:tc>
        <w:tc>
          <w:tcPr>
            <w:tcW w:w="1783" w:type="dxa"/>
            <w:tcBorders/>
          </w:tcPr>
          <w:p>
            <w:pPr>
              <w:pStyle w:val="Normal"/>
              <w:keepNext w:val="false"/>
              <w:keepLines w:val="false"/>
              <w:widowControl w:val="false"/>
              <w:pBdr/>
              <w:spacing w:lineRule="auto" w:line="240" w:before="0" w:after="0"/>
              <w:ind w:hanging="0" w:start="0" w:end="0"/>
              <w:jc w:val="start"/>
              <w:rPr>
                <w:rFonts w:ascii="IBM Plex Serif" w:hAnsi="IBM Plex Serif" w:eastAsia="IBM Plex Serif" w:cs="IBM Plex Serif"/>
                <w:b w:val="false"/>
                <w:bCs w:val="false"/>
                <w:i w:val="false"/>
                <w:iCs w:val="false"/>
                <w:caps w:val="false"/>
                <w:smallCaps w:val="false"/>
                <w:strike w:val="false"/>
                <w:dstrike w:val="false"/>
                <w:color w:val="000000"/>
                <w:position w:val="0"/>
                <w:sz w:val="22"/>
                <w:szCs w:val="22"/>
                <w:u w:val="none"/>
                <w:vertAlign w:val="baseline"/>
              </w:rPr>
            </w:pPr>
            <w:r>
              <w:rPr>
                <w:rFonts w:eastAsia="IBM Plex Serif" w:cs="IBM Plex Serif"/>
                <w:b w:val="false"/>
                <w:bCs w:val="false"/>
                <w:i w:val="false"/>
                <w:iCs w:val="false"/>
                <w:caps w:val="false"/>
                <w:smallCaps w:val="false"/>
                <w:strike w:val="false"/>
                <w:dstrike w:val="false"/>
                <w:color w:val="000000"/>
                <w:position w:val="0"/>
                <w:sz w:val="22"/>
                <w:szCs w:val="22"/>
                <w:u w:val="none"/>
                <w:vertAlign w:val="baseline"/>
              </w:rPr>
              <w:t>220001502</w:t>
            </w:r>
          </w:p>
        </w:tc>
      </w:tr>
      <w:tr>
        <w:trPr/>
        <w:tc>
          <w:tcPr>
            <w:tcW w:w="300" w:type="dxa"/>
            <w:tcBorders/>
          </w:tcPr>
          <w:p>
            <w:pPr>
              <w:pStyle w:val="Normal"/>
              <w:keepNext w:val="false"/>
              <w:keepLines w:val="false"/>
              <w:widowControl w:val="false"/>
              <w:pBdr/>
              <w:spacing w:lineRule="auto" w:line="240" w:before="0" w:after="0"/>
              <w:ind w:hanging="0" w:start="0" w:end="0"/>
              <w:jc w:val="start"/>
              <w:rPr>
                <w:rFonts w:ascii="IBM Plex Serif" w:hAnsi="IBM Plex Serif" w:eastAsia="IBM Plex Serif" w:cs="IBM Plex Serif"/>
                <w:b w:val="false"/>
                <w:bCs w:val="false"/>
                <w:i w:val="false"/>
                <w:iCs w:val="false"/>
                <w:caps w:val="false"/>
                <w:smallCaps w:val="false"/>
                <w:strike w:val="false"/>
                <w:dstrike w:val="false"/>
                <w:color w:val="000000"/>
                <w:position w:val="0"/>
                <w:sz w:val="22"/>
                <w:szCs w:val="22"/>
                <w:u w:val="none"/>
                <w:vertAlign w:val="baseline"/>
              </w:rPr>
            </w:pPr>
            <w:r>
              <w:rPr>
                <w:rFonts w:eastAsia="IBM Plex Serif" w:cs="IBM Plex Serif"/>
                <w:b w:val="false"/>
                <w:bCs w:val="false"/>
                <w:i w:val="false"/>
                <w:iCs w:val="false"/>
                <w:caps w:val="false"/>
                <w:smallCaps w:val="false"/>
                <w:strike w:val="false"/>
                <w:dstrike w:val="false"/>
                <w:color w:val="000000"/>
                <w:position w:val="0"/>
                <w:sz w:val="22"/>
                <w:szCs w:val="22"/>
                <w:u w:val="none"/>
                <w:vertAlign w:val="baseline"/>
              </w:rPr>
              <w:t>6</w:t>
            </w:r>
          </w:p>
        </w:tc>
        <w:tc>
          <w:tcPr>
            <w:tcW w:w="3989" w:type="dxa"/>
            <w:tcBorders/>
          </w:tcPr>
          <w:p>
            <w:pPr>
              <w:pStyle w:val="Normal"/>
              <w:keepNext w:val="false"/>
              <w:keepLines w:val="false"/>
              <w:widowControl w:val="false"/>
              <w:pBdr/>
              <w:spacing w:lineRule="auto" w:line="240" w:before="0" w:after="0"/>
              <w:ind w:hanging="0" w:start="0" w:end="0"/>
              <w:jc w:val="start"/>
              <w:rPr>
                <w:rFonts w:ascii="IBM Plex Serif" w:hAnsi="IBM Plex Serif" w:eastAsia="IBM Plex Serif" w:cs="IBM Plex Serif"/>
                <w:b w:val="false"/>
                <w:bCs w:val="false"/>
                <w:i w:val="false"/>
                <w:iCs w:val="false"/>
                <w:caps w:val="false"/>
                <w:smallCaps w:val="false"/>
                <w:strike w:val="false"/>
                <w:dstrike w:val="false"/>
                <w:color w:val="000000"/>
                <w:position w:val="0"/>
                <w:sz w:val="22"/>
                <w:szCs w:val="22"/>
                <w:u w:val="none"/>
                <w:vertAlign w:val="baseline"/>
              </w:rPr>
            </w:pPr>
            <w:r>
              <w:rPr>
                <w:rFonts w:eastAsia="IBM Plex Serif" w:cs="IBM Plex Serif"/>
                <w:b w:val="false"/>
                <w:bCs w:val="false"/>
                <w:i w:val="false"/>
                <w:iCs w:val="false"/>
                <w:caps w:val="false"/>
                <w:smallCaps w:val="false"/>
                <w:strike w:val="false"/>
                <w:dstrike w:val="false"/>
                <w:color w:val="000000"/>
                <w:position w:val="0"/>
                <w:sz w:val="22"/>
                <w:szCs w:val="22"/>
                <w:u w:val="none"/>
                <w:vertAlign w:val="baseline"/>
              </w:rPr>
              <w:t>Rodriguez Arauz</w:t>
            </w:r>
          </w:p>
        </w:tc>
        <w:tc>
          <w:tcPr>
            <w:tcW w:w="3586" w:type="dxa"/>
            <w:tcBorders/>
          </w:tcPr>
          <w:p>
            <w:pPr>
              <w:pStyle w:val="Normal"/>
              <w:keepNext w:val="false"/>
              <w:keepLines w:val="false"/>
              <w:widowControl w:val="false"/>
              <w:pBdr/>
              <w:spacing w:lineRule="auto" w:line="240" w:before="0" w:after="0"/>
              <w:ind w:hanging="0" w:start="0" w:end="0"/>
              <w:jc w:val="start"/>
              <w:rPr>
                <w:rFonts w:ascii="IBM Plex Serif" w:hAnsi="IBM Plex Serif" w:eastAsia="IBM Plex Serif" w:cs="IBM Plex Serif"/>
                <w:b w:val="false"/>
                <w:bCs w:val="false"/>
                <w:i w:val="false"/>
                <w:iCs w:val="false"/>
                <w:caps w:val="false"/>
                <w:smallCaps w:val="false"/>
                <w:strike w:val="false"/>
                <w:dstrike w:val="false"/>
                <w:color w:val="000000"/>
                <w:position w:val="0"/>
                <w:sz w:val="22"/>
                <w:szCs w:val="22"/>
                <w:u w:val="none"/>
                <w:vertAlign w:val="baseline"/>
              </w:rPr>
            </w:pPr>
            <w:r>
              <w:rPr>
                <w:rFonts w:eastAsia="IBM Plex Serif" w:cs="IBM Plex Serif"/>
                <w:b w:val="false"/>
                <w:bCs w:val="false"/>
                <w:i w:val="false"/>
                <w:iCs w:val="false"/>
                <w:caps w:val="false"/>
                <w:smallCaps w:val="false"/>
                <w:strike w:val="false"/>
                <w:dstrike w:val="false"/>
                <w:color w:val="000000"/>
                <w:position w:val="0"/>
                <w:sz w:val="22"/>
                <w:szCs w:val="22"/>
                <w:u w:val="none"/>
                <w:vertAlign w:val="baseline"/>
              </w:rPr>
              <w:t>Evert</w:t>
            </w:r>
          </w:p>
        </w:tc>
        <w:tc>
          <w:tcPr>
            <w:tcW w:w="1783" w:type="dxa"/>
            <w:tcBorders/>
          </w:tcPr>
          <w:p>
            <w:pPr>
              <w:pStyle w:val="Normal"/>
              <w:keepNext w:val="false"/>
              <w:keepLines w:val="false"/>
              <w:widowControl w:val="false"/>
              <w:pBdr/>
              <w:spacing w:lineRule="auto" w:line="240" w:before="0" w:after="0"/>
              <w:ind w:hanging="0" w:start="0" w:end="0"/>
              <w:jc w:val="start"/>
              <w:rPr>
                <w:rFonts w:ascii="IBM Plex Serif" w:hAnsi="IBM Plex Serif" w:eastAsia="IBM Plex Serif" w:cs="IBM Plex Serif"/>
                <w:b w:val="false"/>
                <w:bCs w:val="false"/>
                <w:i w:val="false"/>
                <w:iCs w:val="false"/>
                <w:caps w:val="false"/>
                <w:smallCaps w:val="false"/>
                <w:strike w:val="false"/>
                <w:dstrike w:val="false"/>
                <w:color w:val="000000"/>
                <w:position w:val="0"/>
                <w:sz w:val="22"/>
                <w:szCs w:val="22"/>
                <w:u w:val="none"/>
                <w:vertAlign w:val="baseline"/>
              </w:rPr>
            </w:pPr>
            <w:r>
              <w:rPr>
                <w:rFonts w:eastAsia="IBM Plex Serif" w:cs="IBM Plex Serif"/>
                <w:b w:val="false"/>
                <w:bCs w:val="false"/>
                <w:i w:val="false"/>
                <w:iCs w:val="false"/>
                <w:caps w:val="false"/>
                <w:smallCaps w:val="false"/>
                <w:strike w:val="false"/>
                <w:dstrike w:val="false"/>
                <w:color w:val="000000"/>
                <w:position w:val="0"/>
                <w:sz w:val="22"/>
                <w:szCs w:val="22"/>
                <w:u w:val="none"/>
                <w:vertAlign w:val="baseline"/>
              </w:rPr>
              <w:t>223044083</w:t>
            </w:r>
          </w:p>
        </w:tc>
      </w:tr>
      <w:tr>
        <w:trPr/>
        <w:tc>
          <w:tcPr>
            <w:tcW w:w="300" w:type="dxa"/>
            <w:tcBorders>
              <w:bottom w:val="single" w:sz="6" w:space="0" w:color="000000"/>
            </w:tcBorders>
          </w:tcPr>
          <w:p>
            <w:pPr>
              <w:pStyle w:val="Normal"/>
              <w:keepNext w:val="false"/>
              <w:keepLines w:val="false"/>
              <w:widowControl w:val="false"/>
              <w:pBdr/>
              <w:spacing w:lineRule="auto" w:line="240" w:before="0" w:after="0"/>
              <w:ind w:hanging="0" w:start="0" w:end="0"/>
              <w:jc w:val="start"/>
              <w:rPr>
                <w:rFonts w:ascii="IBM Plex Serif" w:hAnsi="IBM Plex Serif" w:eastAsia="IBM Plex Serif" w:cs="IBM Plex Serif"/>
                <w:b w:val="false"/>
                <w:bCs w:val="false"/>
                <w:i w:val="false"/>
                <w:iCs w:val="false"/>
                <w:caps w:val="false"/>
                <w:smallCaps w:val="false"/>
                <w:strike w:val="false"/>
                <w:dstrike w:val="false"/>
                <w:color w:val="000000"/>
                <w:position w:val="0"/>
                <w:sz w:val="22"/>
                <w:szCs w:val="22"/>
                <w:u w:val="none"/>
                <w:vertAlign w:val="baseline"/>
              </w:rPr>
            </w:pPr>
            <w:r>
              <w:rPr>
                <w:rFonts w:eastAsia="IBM Plex Serif" w:cs="IBM Plex Serif"/>
                <w:b w:val="false"/>
                <w:bCs w:val="false"/>
                <w:i w:val="false"/>
                <w:iCs w:val="false"/>
                <w:caps w:val="false"/>
                <w:smallCaps w:val="false"/>
                <w:strike w:val="false"/>
                <w:dstrike w:val="false"/>
                <w:color w:val="000000"/>
                <w:position w:val="0"/>
                <w:sz w:val="22"/>
                <w:szCs w:val="22"/>
                <w:u w:val="none"/>
                <w:vertAlign w:val="baseline"/>
              </w:rPr>
              <w:t>7</w:t>
            </w:r>
          </w:p>
        </w:tc>
        <w:tc>
          <w:tcPr>
            <w:tcW w:w="3989" w:type="dxa"/>
            <w:tcBorders>
              <w:bottom w:val="single" w:sz="6" w:space="0" w:color="000000"/>
            </w:tcBorders>
          </w:tcPr>
          <w:p>
            <w:pPr>
              <w:pStyle w:val="Normal"/>
              <w:keepNext w:val="false"/>
              <w:keepLines w:val="false"/>
              <w:widowControl w:val="false"/>
              <w:pBdr/>
              <w:spacing w:lineRule="auto" w:line="240" w:before="0" w:after="0"/>
              <w:ind w:hanging="0" w:start="0" w:end="0"/>
              <w:jc w:val="start"/>
              <w:rPr>
                <w:rFonts w:ascii="IBM Plex Serif" w:hAnsi="IBM Plex Serif" w:eastAsia="IBM Plex Serif" w:cs="IBM Plex Serif"/>
                <w:b w:val="false"/>
                <w:bCs w:val="false"/>
                <w:i w:val="false"/>
                <w:iCs w:val="false"/>
                <w:caps w:val="false"/>
                <w:smallCaps w:val="false"/>
                <w:strike w:val="false"/>
                <w:dstrike w:val="false"/>
                <w:color w:val="000000"/>
                <w:position w:val="0"/>
                <w:sz w:val="22"/>
                <w:szCs w:val="22"/>
                <w:u w:val="none"/>
                <w:vertAlign w:val="baseline"/>
              </w:rPr>
            </w:pPr>
            <w:r>
              <w:rPr>
                <w:rFonts w:eastAsia="IBM Plex Serif" w:cs="IBM Plex Serif"/>
                <w:b w:val="false"/>
                <w:bCs w:val="false"/>
                <w:i w:val="false"/>
                <w:iCs w:val="false"/>
                <w:caps w:val="false"/>
                <w:smallCaps w:val="false"/>
                <w:strike w:val="false"/>
                <w:dstrike w:val="false"/>
                <w:color w:val="000000"/>
                <w:position w:val="0"/>
                <w:sz w:val="22"/>
                <w:szCs w:val="22"/>
                <w:u w:val="none"/>
                <w:vertAlign w:val="baseline"/>
              </w:rPr>
              <w:t>Rojas Rivero</w:t>
            </w:r>
          </w:p>
        </w:tc>
        <w:tc>
          <w:tcPr>
            <w:tcW w:w="3586" w:type="dxa"/>
            <w:tcBorders>
              <w:bottom w:val="single" w:sz="6" w:space="0" w:color="000000"/>
            </w:tcBorders>
          </w:tcPr>
          <w:p>
            <w:pPr>
              <w:pStyle w:val="Normal"/>
              <w:keepNext w:val="false"/>
              <w:keepLines w:val="false"/>
              <w:widowControl w:val="false"/>
              <w:pBdr/>
              <w:spacing w:lineRule="auto" w:line="240" w:before="0" w:after="0"/>
              <w:ind w:hanging="0" w:start="0" w:end="0"/>
              <w:jc w:val="start"/>
              <w:rPr>
                <w:rFonts w:ascii="IBM Plex Serif" w:hAnsi="IBM Plex Serif" w:eastAsia="IBM Plex Serif" w:cs="IBM Plex Serif"/>
                <w:b w:val="false"/>
                <w:bCs w:val="false"/>
                <w:i w:val="false"/>
                <w:iCs w:val="false"/>
                <w:caps w:val="false"/>
                <w:smallCaps w:val="false"/>
                <w:strike w:val="false"/>
                <w:dstrike w:val="false"/>
                <w:color w:val="000000"/>
                <w:position w:val="0"/>
                <w:sz w:val="22"/>
                <w:szCs w:val="22"/>
                <w:u w:val="none"/>
                <w:vertAlign w:val="baseline"/>
              </w:rPr>
            </w:pPr>
            <w:r>
              <w:rPr>
                <w:rFonts w:eastAsia="IBM Plex Serif" w:cs="IBM Plex Serif"/>
                <w:b w:val="false"/>
                <w:bCs w:val="false"/>
                <w:i w:val="false"/>
                <w:iCs w:val="false"/>
                <w:caps w:val="false"/>
                <w:smallCaps w:val="false"/>
                <w:strike w:val="false"/>
                <w:dstrike w:val="false"/>
                <w:color w:val="000000"/>
                <w:position w:val="0"/>
                <w:sz w:val="22"/>
                <w:szCs w:val="22"/>
                <w:u w:val="none"/>
                <w:vertAlign w:val="baseline"/>
              </w:rPr>
              <w:t>Douglas Ismael</w:t>
            </w:r>
          </w:p>
        </w:tc>
        <w:tc>
          <w:tcPr>
            <w:tcW w:w="1783" w:type="dxa"/>
            <w:tcBorders>
              <w:bottom w:val="single" w:sz="6" w:space="0" w:color="000000"/>
            </w:tcBorders>
          </w:tcPr>
          <w:p>
            <w:pPr>
              <w:pStyle w:val="Normal"/>
              <w:keepNext w:val="false"/>
              <w:keepLines w:val="false"/>
              <w:widowControl w:val="false"/>
              <w:pBdr/>
              <w:spacing w:lineRule="auto" w:line="240" w:before="0" w:after="0"/>
              <w:ind w:hanging="0" w:start="0" w:end="0"/>
              <w:jc w:val="start"/>
              <w:rPr>
                <w:rFonts w:ascii="IBM Plex Serif" w:hAnsi="IBM Plex Serif" w:eastAsia="IBM Plex Serif" w:cs="IBM Plex Serif"/>
                <w:b w:val="false"/>
                <w:bCs w:val="false"/>
                <w:i w:val="false"/>
                <w:iCs w:val="false"/>
                <w:caps w:val="false"/>
                <w:smallCaps w:val="false"/>
                <w:strike w:val="false"/>
                <w:dstrike w:val="false"/>
                <w:color w:val="000000"/>
                <w:position w:val="0"/>
                <w:sz w:val="22"/>
                <w:szCs w:val="22"/>
                <w:u w:val="none"/>
                <w:vertAlign w:val="baseline"/>
              </w:rPr>
            </w:pPr>
            <w:r>
              <w:rPr>
                <w:rFonts w:eastAsia="IBM Plex Serif" w:cs="IBM Plex Serif"/>
                <w:b w:val="false"/>
                <w:bCs w:val="false"/>
                <w:i w:val="false"/>
                <w:iCs w:val="false"/>
                <w:caps w:val="false"/>
                <w:smallCaps w:val="false"/>
                <w:strike w:val="false"/>
                <w:dstrike w:val="false"/>
                <w:color w:val="000000"/>
                <w:position w:val="0"/>
                <w:sz w:val="22"/>
                <w:szCs w:val="22"/>
                <w:u w:val="none"/>
                <w:vertAlign w:val="baseline"/>
              </w:rPr>
              <w:t>222047641</w:t>
            </w:r>
          </w:p>
        </w:tc>
      </w:tr>
    </w:tbl>
    <w:p>
      <w:pPr>
        <w:sectPr>
          <w:footerReference w:type="default" r:id="rId3"/>
          <w:type w:val="nextPage"/>
          <w:pgSz w:w="12240" w:h="15840"/>
          <w:pgMar w:left="852" w:right="852" w:gutter="850" w:header="0" w:top="852" w:footer="852" w:bottom="1707"/>
          <w:pgBorders w:display="allPages" w:offsetFrom="text">
            <w:top w:val="single" w:sz="2" w:space="14" w:color="000000"/>
            <w:left w:val="single" w:sz="2" w:space="14" w:color="000000"/>
            <w:bottom w:val="single" w:sz="2" w:space="14" w:color="000000"/>
            <w:right w:val="single" w:sz="2" w:space="14" w:color="000000"/>
          </w:pgBorders>
          <w:pgNumType w:fmt="decimal"/>
          <w:formProt w:val="false"/>
          <w:textDirection w:val="lrTb"/>
          <w:docGrid w:type="default" w:linePitch="600" w:charSpace="36864"/>
        </w:sectPr>
      </w:pPr>
    </w:p>
    <w:p>
      <w:pPr>
        <w:pStyle w:val="Title"/>
        <w:spacing w:lineRule="auto" w:line="360"/>
        <w:rPr/>
      </w:pPr>
      <w:r>
        <w:rPr/>
        <w:t>Universidad Autónoma Gabriel Rene Moreno</w:t>
      </w:r>
    </w:p>
    <w:p>
      <w:pPr>
        <w:pStyle w:val="Subtitle"/>
        <w:spacing w:lineRule="auto" w:line="360"/>
        <w:rPr/>
      </w:pPr>
      <w:r>
        <w:rPr/>
        <w:t>Facultad de Ciencias en la Computación y Telecomunicaciones</w:t>
      </w:r>
    </w:p>
    <w:p>
      <w:pPr>
        <w:pStyle w:val="Subtitle"/>
        <w:spacing w:lineRule="auto" w:line="360"/>
        <w:rPr/>
      </w:pPr>
      <w:r>
        <w:rPr/>
        <w:t>Carreras de Ingeniería de Sistemas e Informática</w:t>
      </w:r>
    </w:p>
    <w:p>
      <w:pPr>
        <w:pStyle w:val="Subtitle"/>
        <w:spacing w:lineRule="auto" w:line="360"/>
        <w:rPr/>
      </w:pPr>
      <w:r>
        <w:rPr/>
        <w:drawing>
          <wp:inline distT="0" distB="0" distL="0" distR="0">
            <wp:extent cx="2280920" cy="2879725"/>
            <wp:effectExtent l="0" t="0" r="0" b="0"/>
            <wp:docPr id="2" name="image1.png Cop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Copia 1"/>
                    <pic:cNvPicPr>
                      <a:picLocks noChangeAspect="1" noChangeArrowheads="1"/>
                    </pic:cNvPicPr>
                  </pic:nvPicPr>
                  <pic:blipFill>
                    <a:blip r:embed="rId4"/>
                    <a:stretch>
                      <a:fillRect/>
                    </a:stretch>
                  </pic:blipFill>
                  <pic:spPr bwMode="auto">
                    <a:xfrm>
                      <a:off x="0" y="0"/>
                      <a:ext cx="2280920" cy="2879725"/>
                    </a:xfrm>
                    <a:prstGeom prst="rect">
                      <a:avLst/>
                    </a:prstGeom>
                    <a:noFill/>
                  </pic:spPr>
                </pic:pic>
              </a:graphicData>
            </a:graphic>
          </wp:inline>
        </w:drawing>
      </w:r>
    </w:p>
    <w:p>
      <w:pPr>
        <w:pStyle w:val="Subtitle"/>
        <w:spacing w:lineRule="auto" w:line="360"/>
        <w:rPr/>
      </w:pPr>
      <w:r>
        <w:rPr/>
        <w:t>Perfil del Proyecto</w:t>
      </w:r>
    </w:p>
    <w:p>
      <w:pPr>
        <w:pStyle w:val="Subtitle"/>
        <w:spacing w:lineRule="auto" w:line="360"/>
        <w:rPr/>
      </w:pPr>
      <w:bookmarkStart w:id="1" w:name="_xllyz0inahev_Copia_2"/>
      <w:bookmarkEnd w:id="1"/>
      <w:r>
        <w:rPr/>
        <w:t>Sistema de Gestión Documental “SGD” (clínicas)</w:t>
      </w:r>
    </w:p>
    <w:p>
      <w:pPr>
        <w:pStyle w:val="Subtitle"/>
        <w:spacing w:lineRule="auto" w:line="360"/>
        <w:rPr/>
      </w:pPr>
      <w:r>
        <w:rPr/>
        <w:t>Grupo #5</w:t>
      </w:r>
    </w:p>
    <w:p>
      <w:pPr>
        <w:pStyle w:val="Subtitle"/>
        <w:spacing w:lineRule="auto" w:line="480"/>
        <w:jc w:val="start"/>
        <w:rPr/>
      </w:pPr>
      <w:r>
        <w:rPr/>
        <w:t>Integrantes</w:t>
      </w:r>
    </w:p>
    <w:tbl>
      <w:tblPr>
        <w:tblW w:w="9658" w:type="dxa"/>
        <w:jc w:val="start"/>
        <w:tblInd w:w="0" w:type="dxa"/>
        <w:tblLayout w:type="fixed"/>
        <w:tblCellMar>
          <w:top w:w="57" w:type="dxa"/>
          <w:start w:w="57" w:type="dxa"/>
          <w:bottom w:w="57" w:type="dxa"/>
          <w:end w:w="57" w:type="dxa"/>
        </w:tblCellMar>
      </w:tblPr>
      <w:tblGrid>
        <w:gridCol w:w="300"/>
        <w:gridCol w:w="3989"/>
        <w:gridCol w:w="3586"/>
        <w:gridCol w:w="1783"/>
      </w:tblGrid>
      <w:tr>
        <w:trPr/>
        <w:tc>
          <w:tcPr>
            <w:tcW w:w="300" w:type="dxa"/>
            <w:tcBorders>
              <w:top w:val="single" w:sz="6" w:space="0" w:color="000000"/>
              <w:bottom w:val="single" w:sz="6" w:space="0" w:color="000000"/>
            </w:tcBorders>
          </w:tcPr>
          <w:p>
            <w:pPr>
              <w:pStyle w:val="Normal"/>
              <w:keepNext w:val="false"/>
              <w:keepLines w:val="false"/>
              <w:widowControl w:val="false"/>
              <w:pBdr/>
              <w:spacing w:lineRule="auto" w:line="240" w:before="0" w:after="0"/>
              <w:ind w:hanging="0" w:start="0" w:end="0"/>
              <w:jc w:val="start"/>
              <w:rPr>
                <w:rFonts w:ascii="IBM Plex Serif" w:hAnsi="IBM Plex Serif" w:eastAsia="IBM Plex Serif" w:cs="IBM Plex Serif"/>
                <w:b/>
                <w:bCs/>
                <w:i w:val="false"/>
                <w:iCs w:val="false"/>
                <w:caps w:val="false"/>
                <w:smallCaps w:val="false"/>
                <w:strike w:val="false"/>
                <w:dstrike w:val="false"/>
                <w:color w:val="000000"/>
                <w:position w:val="0"/>
                <w:sz w:val="22"/>
                <w:szCs w:val="22"/>
                <w:u w:val="none"/>
                <w:vertAlign w:val="baseline"/>
              </w:rPr>
            </w:pPr>
            <w:r>
              <w:rPr>
                <w:rFonts w:eastAsia="IBM Plex Serif" w:cs="IBM Plex Serif"/>
                <w:b/>
                <w:bCs/>
                <w:i w:val="false"/>
                <w:iCs w:val="false"/>
                <w:caps w:val="false"/>
                <w:smallCaps w:val="false"/>
                <w:strike w:val="false"/>
                <w:dstrike w:val="false"/>
                <w:color w:val="000000"/>
                <w:position w:val="0"/>
                <w:sz w:val="22"/>
                <w:szCs w:val="22"/>
                <w:u w:val="none"/>
                <w:vertAlign w:val="baseline"/>
              </w:rPr>
              <w:t>#</w:t>
            </w:r>
          </w:p>
        </w:tc>
        <w:tc>
          <w:tcPr>
            <w:tcW w:w="3989" w:type="dxa"/>
            <w:tcBorders>
              <w:top w:val="single" w:sz="6" w:space="0" w:color="000000"/>
              <w:bottom w:val="single" w:sz="6" w:space="0" w:color="000000"/>
            </w:tcBorders>
          </w:tcPr>
          <w:p>
            <w:pPr>
              <w:pStyle w:val="Normal"/>
              <w:keepNext w:val="false"/>
              <w:keepLines w:val="false"/>
              <w:widowControl w:val="false"/>
              <w:pBdr/>
              <w:spacing w:lineRule="auto" w:line="240" w:before="0" w:after="0"/>
              <w:ind w:hanging="0" w:start="0" w:end="0"/>
              <w:jc w:val="start"/>
              <w:rPr>
                <w:rFonts w:ascii="IBM Plex Serif" w:hAnsi="IBM Plex Serif" w:eastAsia="IBM Plex Serif" w:cs="IBM Plex Serif"/>
                <w:b/>
                <w:bCs/>
                <w:i w:val="false"/>
                <w:iCs w:val="false"/>
                <w:caps w:val="false"/>
                <w:smallCaps w:val="false"/>
                <w:strike w:val="false"/>
                <w:dstrike w:val="false"/>
                <w:color w:val="000000"/>
                <w:position w:val="0"/>
                <w:sz w:val="22"/>
                <w:szCs w:val="22"/>
                <w:u w:val="none"/>
                <w:vertAlign w:val="baseline"/>
              </w:rPr>
            </w:pPr>
            <w:r>
              <w:rPr>
                <w:rFonts w:eastAsia="IBM Plex Serif" w:cs="IBM Plex Serif"/>
                <w:b/>
                <w:bCs/>
                <w:i w:val="false"/>
                <w:iCs w:val="false"/>
                <w:caps w:val="false"/>
                <w:smallCaps w:val="false"/>
                <w:strike w:val="false"/>
                <w:dstrike w:val="false"/>
                <w:color w:val="000000"/>
                <w:position w:val="0"/>
                <w:sz w:val="22"/>
                <w:szCs w:val="22"/>
                <w:u w:val="none"/>
                <w:vertAlign w:val="baseline"/>
              </w:rPr>
              <w:t>Apellidos</w:t>
            </w:r>
          </w:p>
        </w:tc>
        <w:tc>
          <w:tcPr>
            <w:tcW w:w="3586" w:type="dxa"/>
            <w:tcBorders>
              <w:top w:val="single" w:sz="6" w:space="0" w:color="000000"/>
              <w:bottom w:val="single" w:sz="6" w:space="0" w:color="000000"/>
            </w:tcBorders>
          </w:tcPr>
          <w:p>
            <w:pPr>
              <w:pStyle w:val="Normal"/>
              <w:keepNext w:val="false"/>
              <w:keepLines w:val="false"/>
              <w:widowControl w:val="false"/>
              <w:pBdr/>
              <w:spacing w:lineRule="auto" w:line="240" w:before="0" w:after="0"/>
              <w:ind w:hanging="0" w:start="0" w:end="0"/>
              <w:jc w:val="start"/>
              <w:rPr>
                <w:rFonts w:ascii="IBM Plex Serif" w:hAnsi="IBM Plex Serif" w:eastAsia="IBM Plex Serif" w:cs="IBM Plex Serif"/>
                <w:b/>
                <w:bCs/>
                <w:i w:val="false"/>
                <w:iCs w:val="false"/>
                <w:caps w:val="false"/>
                <w:smallCaps w:val="false"/>
                <w:strike w:val="false"/>
                <w:dstrike w:val="false"/>
                <w:color w:val="000000"/>
                <w:position w:val="0"/>
                <w:sz w:val="22"/>
                <w:szCs w:val="22"/>
                <w:u w:val="none"/>
                <w:vertAlign w:val="baseline"/>
              </w:rPr>
            </w:pPr>
            <w:r>
              <w:rPr>
                <w:rFonts w:eastAsia="IBM Plex Serif" w:cs="IBM Plex Serif"/>
                <w:b/>
                <w:bCs/>
                <w:i w:val="false"/>
                <w:iCs w:val="false"/>
                <w:caps w:val="false"/>
                <w:smallCaps w:val="false"/>
                <w:strike w:val="false"/>
                <w:dstrike w:val="false"/>
                <w:color w:val="000000"/>
                <w:position w:val="0"/>
                <w:sz w:val="22"/>
                <w:szCs w:val="22"/>
                <w:u w:val="none"/>
                <w:vertAlign w:val="baseline"/>
              </w:rPr>
              <w:t>Nombres</w:t>
            </w:r>
          </w:p>
        </w:tc>
        <w:tc>
          <w:tcPr>
            <w:tcW w:w="1783" w:type="dxa"/>
            <w:tcBorders>
              <w:top w:val="single" w:sz="6" w:space="0" w:color="000000"/>
              <w:bottom w:val="single" w:sz="6" w:space="0" w:color="000000"/>
            </w:tcBorders>
          </w:tcPr>
          <w:p>
            <w:pPr>
              <w:pStyle w:val="Normal"/>
              <w:keepNext w:val="false"/>
              <w:keepLines w:val="false"/>
              <w:widowControl w:val="false"/>
              <w:pBdr/>
              <w:spacing w:lineRule="auto" w:line="240" w:before="0" w:after="0"/>
              <w:ind w:hanging="0" w:start="0" w:end="0"/>
              <w:jc w:val="start"/>
              <w:rPr>
                <w:rFonts w:ascii="IBM Plex Serif" w:hAnsi="IBM Plex Serif" w:eastAsia="IBM Plex Serif" w:cs="IBM Plex Serif"/>
                <w:b/>
                <w:bCs/>
                <w:i w:val="false"/>
                <w:iCs w:val="false"/>
                <w:caps w:val="false"/>
                <w:smallCaps w:val="false"/>
                <w:strike w:val="false"/>
                <w:dstrike w:val="false"/>
                <w:color w:val="000000"/>
                <w:position w:val="0"/>
                <w:sz w:val="22"/>
                <w:szCs w:val="22"/>
                <w:u w:val="none"/>
                <w:vertAlign w:val="baseline"/>
              </w:rPr>
            </w:pPr>
            <w:r>
              <w:rPr>
                <w:rFonts w:eastAsia="IBM Plex Serif" w:cs="IBM Plex Serif"/>
                <w:b/>
                <w:bCs/>
                <w:i w:val="false"/>
                <w:iCs w:val="false"/>
                <w:caps w:val="false"/>
                <w:smallCaps w:val="false"/>
                <w:strike w:val="false"/>
                <w:dstrike w:val="false"/>
                <w:color w:val="000000"/>
                <w:position w:val="0"/>
                <w:sz w:val="22"/>
                <w:szCs w:val="22"/>
                <w:u w:val="none"/>
                <w:vertAlign w:val="baseline"/>
              </w:rPr>
              <w:t>Registros</w:t>
            </w:r>
          </w:p>
        </w:tc>
      </w:tr>
      <w:tr>
        <w:trPr/>
        <w:tc>
          <w:tcPr>
            <w:tcW w:w="300" w:type="dxa"/>
            <w:tcBorders/>
          </w:tcPr>
          <w:p>
            <w:pPr>
              <w:pStyle w:val="Normal"/>
              <w:keepNext w:val="false"/>
              <w:keepLines w:val="false"/>
              <w:widowControl w:val="false"/>
              <w:pBdr/>
              <w:spacing w:lineRule="auto" w:line="240" w:before="0" w:after="0"/>
              <w:ind w:hanging="0" w:start="0" w:end="0"/>
              <w:jc w:val="start"/>
              <w:rPr>
                <w:rFonts w:ascii="IBM Plex Serif" w:hAnsi="IBM Plex Serif" w:eastAsia="IBM Plex Serif" w:cs="IBM Plex Serif"/>
                <w:b w:val="false"/>
                <w:bCs w:val="false"/>
                <w:i w:val="false"/>
                <w:iCs w:val="false"/>
                <w:caps w:val="false"/>
                <w:smallCaps w:val="false"/>
                <w:strike w:val="false"/>
                <w:dstrike w:val="false"/>
                <w:color w:val="000000"/>
                <w:position w:val="0"/>
                <w:sz w:val="22"/>
                <w:szCs w:val="22"/>
                <w:u w:val="none"/>
                <w:vertAlign w:val="baseline"/>
              </w:rPr>
            </w:pPr>
            <w:r>
              <w:rPr>
                <w:rFonts w:eastAsia="IBM Plex Serif" w:cs="IBM Plex Serif"/>
                <w:b w:val="false"/>
                <w:bCs w:val="false"/>
                <w:i w:val="false"/>
                <w:iCs w:val="false"/>
                <w:caps w:val="false"/>
                <w:smallCaps w:val="false"/>
                <w:strike w:val="false"/>
                <w:dstrike w:val="false"/>
                <w:color w:val="000000"/>
                <w:position w:val="0"/>
                <w:sz w:val="22"/>
                <w:szCs w:val="22"/>
                <w:u w:val="none"/>
                <w:vertAlign w:val="baseline"/>
              </w:rPr>
              <w:t>1</w:t>
            </w:r>
          </w:p>
        </w:tc>
        <w:tc>
          <w:tcPr>
            <w:tcW w:w="3989" w:type="dxa"/>
            <w:tcBorders/>
          </w:tcPr>
          <w:p>
            <w:pPr>
              <w:pStyle w:val="Normal"/>
              <w:keepNext w:val="false"/>
              <w:keepLines w:val="false"/>
              <w:widowControl w:val="false"/>
              <w:pBdr/>
              <w:spacing w:lineRule="auto" w:line="240" w:before="0" w:after="0"/>
              <w:ind w:hanging="0" w:start="0" w:end="0"/>
              <w:jc w:val="start"/>
              <w:rPr>
                <w:rFonts w:ascii="IBM Plex Serif" w:hAnsi="IBM Plex Serif" w:eastAsia="IBM Plex Serif" w:cs="IBM Plex Serif"/>
                <w:b w:val="false"/>
                <w:bCs w:val="false"/>
                <w:i w:val="false"/>
                <w:iCs w:val="false"/>
                <w:caps w:val="false"/>
                <w:smallCaps w:val="false"/>
                <w:strike w:val="false"/>
                <w:dstrike w:val="false"/>
                <w:color w:val="000000"/>
                <w:position w:val="0"/>
                <w:sz w:val="22"/>
                <w:szCs w:val="22"/>
                <w:u w:val="none"/>
                <w:vertAlign w:val="baseline"/>
              </w:rPr>
            </w:pPr>
            <w:r>
              <w:rPr>
                <w:rFonts w:eastAsia="IBM Plex Serif" w:cs="IBM Plex Serif"/>
                <w:b w:val="false"/>
                <w:bCs w:val="false"/>
                <w:i w:val="false"/>
                <w:iCs w:val="false"/>
                <w:caps w:val="false"/>
                <w:smallCaps w:val="false"/>
                <w:strike w:val="false"/>
                <w:dstrike w:val="false"/>
                <w:color w:val="000000"/>
                <w:position w:val="0"/>
                <w:sz w:val="22"/>
                <w:szCs w:val="22"/>
                <w:u w:val="none"/>
                <w:vertAlign w:val="baseline"/>
              </w:rPr>
              <w:t>Duran Marcelo</w:t>
            </w:r>
          </w:p>
        </w:tc>
        <w:tc>
          <w:tcPr>
            <w:tcW w:w="3586" w:type="dxa"/>
            <w:tcBorders/>
          </w:tcPr>
          <w:p>
            <w:pPr>
              <w:pStyle w:val="Normal"/>
              <w:keepNext w:val="false"/>
              <w:keepLines w:val="false"/>
              <w:widowControl w:val="false"/>
              <w:pBdr/>
              <w:spacing w:lineRule="auto" w:line="240" w:before="0" w:after="0"/>
              <w:ind w:hanging="0" w:start="0" w:end="0"/>
              <w:jc w:val="start"/>
              <w:rPr>
                <w:rFonts w:ascii="IBM Plex Serif" w:hAnsi="IBM Plex Serif" w:eastAsia="IBM Plex Serif" w:cs="IBM Plex Serif"/>
                <w:b w:val="false"/>
                <w:bCs w:val="false"/>
                <w:i w:val="false"/>
                <w:iCs w:val="false"/>
                <w:caps w:val="false"/>
                <w:smallCaps w:val="false"/>
                <w:strike w:val="false"/>
                <w:dstrike w:val="false"/>
                <w:color w:val="000000"/>
                <w:position w:val="0"/>
                <w:sz w:val="22"/>
                <w:szCs w:val="22"/>
                <w:u w:val="none"/>
                <w:vertAlign w:val="baseline"/>
              </w:rPr>
            </w:pPr>
            <w:r>
              <w:rPr>
                <w:rFonts w:eastAsia="IBM Plex Serif" w:cs="IBM Plex Serif"/>
                <w:b w:val="false"/>
                <w:bCs w:val="false"/>
                <w:i w:val="false"/>
                <w:iCs w:val="false"/>
                <w:caps w:val="false"/>
                <w:smallCaps w:val="false"/>
                <w:strike w:val="false"/>
                <w:dstrike w:val="false"/>
                <w:color w:val="000000"/>
                <w:position w:val="0"/>
                <w:sz w:val="22"/>
                <w:szCs w:val="22"/>
                <w:u w:val="none"/>
                <w:vertAlign w:val="baseline"/>
              </w:rPr>
              <w:t>Kelly Alisson</w:t>
            </w:r>
          </w:p>
        </w:tc>
        <w:tc>
          <w:tcPr>
            <w:tcW w:w="1783" w:type="dxa"/>
            <w:tcBorders/>
          </w:tcPr>
          <w:p>
            <w:pPr>
              <w:pStyle w:val="Normal"/>
              <w:keepNext w:val="false"/>
              <w:keepLines w:val="false"/>
              <w:widowControl w:val="false"/>
              <w:pBdr/>
              <w:spacing w:lineRule="auto" w:line="240" w:before="0" w:after="0"/>
              <w:ind w:hanging="0" w:start="0" w:end="0"/>
              <w:jc w:val="start"/>
              <w:rPr>
                <w:rFonts w:ascii="IBM Plex Serif" w:hAnsi="IBM Plex Serif" w:eastAsia="IBM Plex Serif" w:cs="IBM Plex Serif"/>
                <w:b w:val="false"/>
                <w:bCs w:val="false"/>
                <w:i w:val="false"/>
                <w:iCs w:val="false"/>
                <w:caps w:val="false"/>
                <w:smallCaps w:val="false"/>
                <w:strike w:val="false"/>
                <w:dstrike w:val="false"/>
                <w:color w:val="000000"/>
                <w:position w:val="0"/>
                <w:sz w:val="22"/>
                <w:szCs w:val="22"/>
                <w:u w:val="none"/>
                <w:vertAlign w:val="baseline"/>
              </w:rPr>
            </w:pPr>
            <w:r>
              <w:rPr>
                <w:rFonts w:eastAsia="IBM Plex Serif" w:cs="IBM Plex Serif"/>
                <w:b w:val="false"/>
                <w:bCs w:val="false"/>
                <w:i w:val="false"/>
                <w:iCs w:val="false"/>
                <w:caps w:val="false"/>
                <w:smallCaps w:val="false"/>
                <w:strike w:val="false"/>
                <w:dstrike w:val="false"/>
                <w:color w:val="000000"/>
                <w:position w:val="0"/>
                <w:sz w:val="22"/>
                <w:szCs w:val="22"/>
                <w:u w:val="none"/>
                <w:vertAlign w:val="baseline"/>
              </w:rPr>
              <w:t xml:space="preserve">221044434  </w:t>
            </w:r>
          </w:p>
        </w:tc>
      </w:tr>
      <w:tr>
        <w:trPr/>
        <w:tc>
          <w:tcPr>
            <w:tcW w:w="300" w:type="dxa"/>
            <w:tcBorders/>
          </w:tcPr>
          <w:p>
            <w:pPr>
              <w:pStyle w:val="Normal"/>
              <w:keepNext w:val="false"/>
              <w:keepLines w:val="false"/>
              <w:widowControl w:val="false"/>
              <w:pBdr/>
              <w:spacing w:lineRule="auto" w:line="240" w:before="0" w:after="0"/>
              <w:ind w:hanging="0" w:start="0" w:end="0"/>
              <w:jc w:val="start"/>
              <w:rPr>
                <w:rFonts w:ascii="IBM Plex Serif" w:hAnsi="IBM Plex Serif" w:eastAsia="IBM Plex Serif" w:cs="IBM Plex Serif"/>
                <w:b w:val="false"/>
                <w:bCs w:val="false"/>
                <w:i w:val="false"/>
                <w:iCs w:val="false"/>
                <w:caps w:val="false"/>
                <w:smallCaps w:val="false"/>
                <w:strike w:val="false"/>
                <w:dstrike w:val="false"/>
                <w:color w:val="000000"/>
                <w:position w:val="0"/>
                <w:sz w:val="22"/>
                <w:szCs w:val="22"/>
                <w:u w:val="none"/>
                <w:vertAlign w:val="baseline"/>
              </w:rPr>
            </w:pPr>
            <w:r>
              <w:rPr>
                <w:rFonts w:eastAsia="IBM Plex Serif" w:cs="IBM Plex Serif"/>
                <w:b w:val="false"/>
                <w:bCs w:val="false"/>
                <w:i w:val="false"/>
                <w:iCs w:val="false"/>
                <w:caps w:val="false"/>
                <w:smallCaps w:val="false"/>
                <w:strike w:val="false"/>
                <w:dstrike w:val="false"/>
                <w:color w:val="000000"/>
                <w:position w:val="0"/>
                <w:sz w:val="22"/>
                <w:szCs w:val="22"/>
                <w:u w:val="none"/>
                <w:vertAlign w:val="baseline"/>
              </w:rPr>
              <w:t>2</w:t>
            </w:r>
          </w:p>
        </w:tc>
        <w:tc>
          <w:tcPr>
            <w:tcW w:w="3989" w:type="dxa"/>
            <w:tcBorders/>
          </w:tcPr>
          <w:p>
            <w:pPr>
              <w:pStyle w:val="Normal"/>
              <w:keepNext w:val="false"/>
              <w:keepLines w:val="false"/>
              <w:widowControl w:val="false"/>
              <w:pBdr/>
              <w:spacing w:lineRule="auto" w:line="240" w:before="0" w:after="0"/>
              <w:ind w:hanging="0" w:start="0" w:end="0"/>
              <w:jc w:val="start"/>
              <w:rPr>
                <w:rFonts w:ascii="IBM Plex Serif" w:hAnsi="IBM Plex Serif" w:eastAsia="IBM Plex Serif" w:cs="IBM Plex Serif"/>
                <w:b w:val="false"/>
                <w:bCs w:val="false"/>
                <w:i w:val="false"/>
                <w:iCs w:val="false"/>
                <w:caps w:val="false"/>
                <w:smallCaps w:val="false"/>
                <w:strike w:val="false"/>
                <w:dstrike w:val="false"/>
                <w:color w:val="000000"/>
                <w:position w:val="0"/>
                <w:sz w:val="22"/>
                <w:szCs w:val="22"/>
                <w:u w:val="none"/>
                <w:vertAlign w:val="baseline"/>
              </w:rPr>
            </w:pPr>
            <w:r>
              <w:rPr>
                <w:rFonts w:eastAsia="IBM Plex Serif" w:cs="IBM Plex Serif"/>
                <w:b w:val="false"/>
                <w:bCs w:val="false"/>
                <w:i w:val="false"/>
                <w:iCs w:val="false"/>
                <w:caps w:val="false"/>
                <w:smallCaps w:val="false"/>
                <w:strike w:val="false"/>
                <w:dstrike w:val="false"/>
                <w:color w:val="000000"/>
                <w:position w:val="0"/>
                <w:sz w:val="22"/>
                <w:szCs w:val="22"/>
                <w:u w:val="none"/>
                <w:vertAlign w:val="baseline"/>
              </w:rPr>
              <w:t>Gonzales Alba</w:t>
            </w:r>
          </w:p>
        </w:tc>
        <w:tc>
          <w:tcPr>
            <w:tcW w:w="3586" w:type="dxa"/>
            <w:tcBorders/>
          </w:tcPr>
          <w:p>
            <w:pPr>
              <w:pStyle w:val="Normal"/>
              <w:keepNext w:val="false"/>
              <w:keepLines w:val="false"/>
              <w:widowControl w:val="false"/>
              <w:pBdr/>
              <w:spacing w:lineRule="auto" w:line="240" w:before="0" w:after="0"/>
              <w:ind w:hanging="0" w:start="0" w:end="0"/>
              <w:jc w:val="start"/>
              <w:rPr>
                <w:rFonts w:ascii="IBM Plex Serif" w:hAnsi="IBM Plex Serif" w:eastAsia="IBM Plex Serif" w:cs="IBM Plex Serif"/>
                <w:b w:val="false"/>
                <w:bCs w:val="false"/>
                <w:i w:val="false"/>
                <w:iCs w:val="false"/>
                <w:caps w:val="false"/>
                <w:smallCaps w:val="false"/>
                <w:strike w:val="false"/>
                <w:dstrike w:val="false"/>
                <w:color w:val="000000"/>
                <w:position w:val="0"/>
                <w:sz w:val="22"/>
                <w:szCs w:val="22"/>
                <w:u w:val="none"/>
                <w:vertAlign w:val="baseline"/>
              </w:rPr>
            </w:pPr>
            <w:r>
              <w:rPr>
                <w:rFonts w:eastAsia="IBM Plex Serif" w:cs="IBM Plex Serif"/>
                <w:b w:val="false"/>
                <w:bCs w:val="false"/>
                <w:i w:val="false"/>
                <w:iCs w:val="false"/>
                <w:caps w:val="false"/>
                <w:smallCaps w:val="false"/>
                <w:strike w:val="false"/>
                <w:dstrike w:val="false"/>
                <w:color w:val="000000"/>
                <w:position w:val="0"/>
                <w:sz w:val="22"/>
                <w:szCs w:val="22"/>
                <w:u w:val="none"/>
                <w:vertAlign w:val="baseline"/>
              </w:rPr>
              <w:t>Jose Brayan</w:t>
            </w:r>
          </w:p>
        </w:tc>
        <w:tc>
          <w:tcPr>
            <w:tcW w:w="1783" w:type="dxa"/>
            <w:tcBorders/>
          </w:tcPr>
          <w:p>
            <w:pPr>
              <w:pStyle w:val="Normal"/>
              <w:keepNext w:val="false"/>
              <w:keepLines w:val="false"/>
              <w:widowControl w:val="false"/>
              <w:pBdr/>
              <w:spacing w:lineRule="auto" w:line="240" w:before="0" w:after="0"/>
              <w:ind w:hanging="0" w:start="0" w:end="0"/>
              <w:jc w:val="start"/>
              <w:rPr>
                <w:rFonts w:ascii="IBM Plex Serif" w:hAnsi="IBM Plex Serif" w:eastAsia="IBM Plex Serif" w:cs="IBM Plex Serif"/>
                <w:b w:val="false"/>
                <w:bCs w:val="false"/>
                <w:i w:val="false"/>
                <w:iCs w:val="false"/>
                <w:caps w:val="false"/>
                <w:smallCaps w:val="false"/>
                <w:strike w:val="false"/>
                <w:dstrike w:val="false"/>
                <w:color w:val="000000"/>
                <w:position w:val="0"/>
                <w:sz w:val="22"/>
                <w:szCs w:val="22"/>
                <w:u w:val="none"/>
                <w:vertAlign w:val="baseline"/>
              </w:rPr>
            </w:pPr>
            <w:r>
              <w:rPr>
                <w:rFonts w:eastAsia="IBM Plex Serif" w:cs="IBM Plex Serif"/>
                <w:b w:val="false"/>
                <w:bCs w:val="false"/>
                <w:i w:val="false"/>
                <w:iCs w:val="false"/>
                <w:caps w:val="false"/>
                <w:smallCaps w:val="false"/>
                <w:strike w:val="false"/>
                <w:dstrike w:val="false"/>
                <w:color w:val="000000"/>
                <w:position w:val="0"/>
                <w:sz w:val="22"/>
                <w:szCs w:val="22"/>
                <w:u w:val="none"/>
                <w:vertAlign w:val="baseline"/>
              </w:rPr>
              <w:t>212038443</w:t>
            </w:r>
          </w:p>
        </w:tc>
      </w:tr>
      <w:tr>
        <w:trPr/>
        <w:tc>
          <w:tcPr>
            <w:tcW w:w="300" w:type="dxa"/>
            <w:tcBorders/>
          </w:tcPr>
          <w:p>
            <w:pPr>
              <w:pStyle w:val="Normal"/>
              <w:keepNext w:val="false"/>
              <w:keepLines w:val="false"/>
              <w:widowControl w:val="false"/>
              <w:pBdr/>
              <w:spacing w:lineRule="auto" w:line="240" w:before="0" w:after="0"/>
              <w:ind w:hanging="0" w:start="0" w:end="0"/>
              <w:jc w:val="start"/>
              <w:rPr>
                <w:rFonts w:ascii="IBM Plex Serif" w:hAnsi="IBM Plex Serif" w:eastAsia="IBM Plex Serif" w:cs="IBM Plex Serif"/>
                <w:b w:val="false"/>
                <w:bCs w:val="false"/>
                <w:i w:val="false"/>
                <w:iCs w:val="false"/>
                <w:caps w:val="false"/>
                <w:smallCaps w:val="false"/>
                <w:strike w:val="false"/>
                <w:dstrike w:val="false"/>
                <w:color w:val="000000"/>
                <w:position w:val="0"/>
                <w:sz w:val="22"/>
                <w:szCs w:val="22"/>
                <w:u w:val="none"/>
                <w:vertAlign w:val="baseline"/>
              </w:rPr>
            </w:pPr>
            <w:r>
              <w:rPr>
                <w:rFonts w:eastAsia="IBM Plex Serif" w:cs="IBM Plex Serif"/>
                <w:b w:val="false"/>
                <w:bCs w:val="false"/>
                <w:i w:val="false"/>
                <w:iCs w:val="false"/>
                <w:caps w:val="false"/>
                <w:smallCaps w:val="false"/>
                <w:strike w:val="false"/>
                <w:dstrike w:val="false"/>
                <w:color w:val="000000"/>
                <w:position w:val="0"/>
                <w:sz w:val="22"/>
                <w:szCs w:val="22"/>
                <w:u w:val="none"/>
                <w:vertAlign w:val="baseline"/>
              </w:rPr>
              <w:t>3</w:t>
            </w:r>
          </w:p>
        </w:tc>
        <w:tc>
          <w:tcPr>
            <w:tcW w:w="3989" w:type="dxa"/>
            <w:tcBorders/>
          </w:tcPr>
          <w:p>
            <w:pPr>
              <w:pStyle w:val="Normal"/>
              <w:keepNext w:val="false"/>
              <w:keepLines w:val="false"/>
              <w:widowControl w:val="false"/>
              <w:pBdr/>
              <w:spacing w:lineRule="auto" w:line="240" w:before="0" w:after="0"/>
              <w:ind w:hanging="0" w:start="0" w:end="0"/>
              <w:jc w:val="start"/>
              <w:rPr>
                <w:rFonts w:ascii="IBM Plex Serif" w:hAnsi="IBM Plex Serif" w:eastAsia="IBM Plex Serif" w:cs="IBM Plex Serif"/>
                <w:b w:val="false"/>
                <w:bCs w:val="false"/>
                <w:i w:val="false"/>
                <w:iCs w:val="false"/>
                <w:caps w:val="false"/>
                <w:smallCaps w:val="false"/>
                <w:strike w:val="false"/>
                <w:dstrike w:val="false"/>
                <w:color w:val="000000"/>
                <w:position w:val="0"/>
                <w:sz w:val="22"/>
                <w:szCs w:val="22"/>
                <w:u w:val="none"/>
                <w:vertAlign w:val="baseline"/>
              </w:rPr>
            </w:pPr>
            <w:r>
              <w:rPr>
                <w:rFonts w:eastAsia="IBM Plex Serif" w:cs="IBM Plex Serif"/>
                <w:b w:val="false"/>
                <w:bCs w:val="false"/>
                <w:i w:val="false"/>
                <w:iCs w:val="false"/>
                <w:caps w:val="false"/>
                <w:smallCaps w:val="false"/>
                <w:strike w:val="false"/>
                <w:dstrike w:val="false"/>
                <w:color w:val="000000"/>
                <w:position w:val="0"/>
                <w:sz w:val="22"/>
                <w:szCs w:val="22"/>
                <w:u w:val="none"/>
                <w:vertAlign w:val="baseline"/>
              </w:rPr>
              <w:t>Guairaje Herbas</w:t>
            </w:r>
          </w:p>
        </w:tc>
        <w:tc>
          <w:tcPr>
            <w:tcW w:w="3586" w:type="dxa"/>
            <w:tcBorders/>
          </w:tcPr>
          <w:p>
            <w:pPr>
              <w:pStyle w:val="Normal"/>
              <w:keepNext w:val="false"/>
              <w:keepLines w:val="false"/>
              <w:widowControl w:val="false"/>
              <w:pBdr/>
              <w:spacing w:lineRule="auto" w:line="240" w:before="0" w:after="0"/>
              <w:ind w:hanging="0" w:start="0" w:end="0"/>
              <w:jc w:val="start"/>
              <w:rPr>
                <w:rFonts w:ascii="IBM Plex Serif" w:hAnsi="IBM Plex Serif" w:eastAsia="IBM Plex Serif" w:cs="IBM Plex Serif"/>
                <w:b w:val="false"/>
                <w:bCs w:val="false"/>
                <w:i w:val="false"/>
                <w:iCs w:val="false"/>
                <w:caps w:val="false"/>
                <w:smallCaps w:val="false"/>
                <w:strike w:val="false"/>
                <w:dstrike w:val="false"/>
                <w:color w:val="000000"/>
                <w:position w:val="0"/>
                <w:sz w:val="22"/>
                <w:szCs w:val="22"/>
                <w:u w:val="none"/>
                <w:vertAlign w:val="baseline"/>
              </w:rPr>
            </w:pPr>
            <w:r>
              <w:rPr>
                <w:rFonts w:eastAsia="IBM Plex Serif" w:cs="IBM Plex Serif"/>
                <w:b w:val="false"/>
                <w:bCs w:val="false"/>
                <w:i w:val="false"/>
                <w:iCs w:val="false"/>
                <w:caps w:val="false"/>
                <w:smallCaps w:val="false"/>
                <w:strike w:val="false"/>
                <w:dstrike w:val="false"/>
                <w:color w:val="000000"/>
                <w:position w:val="0"/>
                <w:sz w:val="22"/>
                <w:szCs w:val="22"/>
                <w:u w:val="none"/>
                <w:vertAlign w:val="baseline"/>
              </w:rPr>
              <w:t>Nicol Melany</w:t>
            </w:r>
          </w:p>
        </w:tc>
        <w:tc>
          <w:tcPr>
            <w:tcW w:w="1783" w:type="dxa"/>
            <w:tcBorders/>
          </w:tcPr>
          <w:p>
            <w:pPr>
              <w:pStyle w:val="Normal"/>
              <w:keepNext w:val="false"/>
              <w:keepLines w:val="false"/>
              <w:widowControl w:val="false"/>
              <w:pBdr/>
              <w:spacing w:lineRule="auto" w:line="240" w:before="0" w:after="0"/>
              <w:ind w:hanging="0" w:start="0" w:end="0"/>
              <w:jc w:val="start"/>
              <w:rPr>
                <w:rFonts w:ascii="IBM Plex Serif" w:hAnsi="IBM Plex Serif" w:eastAsia="IBM Plex Serif" w:cs="IBM Plex Serif"/>
                <w:b w:val="false"/>
                <w:bCs w:val="false"/>
                <w:i w:val="false"/>
                <w:iCs w:val="false"/>
                <w:caps w:val="false"/>
                <w:smallCaps w:val="false"/>
                <w:strike w:val="false"/>
                <w:dstrike w:val="false"/>
                <w:color w:val="000000"/>
                <w:position w:val="0"/>
                <w:sz w:val="22"/>
                <w:szCs w:val="22"/>
                <w:u w:val="none"/>
                <w:vertAlign w:val="baseline"/>
              </w:rPr>
            </w:pPr>
            <w:r>
              <w:rPr>
                <w:rFonts w:eastAsia="IBM Plex Serif" w:cs="IBM Plex Serif"/>
                <w:b w:val="false"/>
                <w:bCs w:val="false"/>
                <w:i w:val="false"/>
                <w:iCs w:val="false"/>
                <w:caps w:val="false"/>
                <w:smallCaps w:val="false"/>
                <w:strike w:val="false"/>
                <w:dstrike w:val="false"/>
                <w:color w:val="000000"/>
                <w:position w:val="0"/>
                <w:sz w:val="22"/>
                <w:szCs w:val="22"/>
                <w:u w:val="none"/>
                <w:vertAlign w:val="baseline"/>
              </w:rPr>
              <w:t>222008504</w:t>
            </w:r>
          </w:p>
        </w:tc>
      </w:tr>
      <w:tr>
        <w:trPr/>
        <w:tc>
          <w:tcPr>
            <w:tcW w:w="300" w:type="dxa"/>
            <w:tcBorders/>
          </w:tcPr>
          <w:p>
            <w:pPr>
              <w:pStyle w:val="Normal"/>
              <w:keepNext w:val="false"/>
              <w:keepLines w:val="false"/>
              <w:widowControl w:val="false"/>
              <w:pBdr/>
              <w:spacing w:lineRule="auto" w:line="240" w:before="0" w:after="0"/>
              <w:ind w:hanging="0" w:start="0" w:end="0"/>
              <w:jc w:val="start"/>
              <w:rPr>
                <w:rFonts w:ascii="IBM Plex Serif" w:hAnsi="IBM Plex Serif" w:eastAsia="IBM Plex Serif" w:cs="IBM Plex Serif"/>
                <w:b w:val="false"/>
                <w:bCs w:val="false"/>
                <w:i/>
                <w:iCs/>
                <w:caps w:val="false"/>
                <w:smallCaps w:val="false"/>
                <w:strike w:val="false"/>
                <w:dstrike w:val="false"/>
                <w:color w:val="000000"/>
                <w:position w:val="0"/>
                <w:sz w:val="22"/>
                <w:szCs w:val="22"/>
                <w:u w:val="none"/>
                <w:vertAlign w:val="baseline"/>
              </w:rPr>
            </w:pPr>
            <w:r>
              <w:rPr>
                <w:rFonts w:eastAsia="IBM Plex Serif" w:cs="IBM Plex Serif"/>
                <w:b w:val="false"/>
                <w:bCs w:val="false"/>
                <w:i/>
                <w:iCs/>
                <w:caps w:val="false"/>
                <w:smallCaps w:val="false"/>
                <w:strike w:val="false"/>
                <w:dstrike w:val="false"/>
                <w:color w:val="000000"/>
                <w:position w:val="0"/>
                <w:sz w:val="22"/>
                <w:szCs w:val="22"/>
                <w:u w:val="none"/>
                <w:vertAlign w:val="baseline"/>
              </w:rPr>
              <w:t>4</w:t>
            </w:r>
          </w:p>
        </w:tc>
        <w:tc>
          <w:tcPr>
            <w:tcW w:w="3989" w:type="dxa"/>
            <w:tcBorders/>
          </w:tcPr>
          <w:p>
            <w:pPr>
              <w:pStyle w:val="Normal"/>
              <w:keepNext w:val="false"/>
              <w:keepLines w:val="false"/>
              <w:widowControl w:val="false"/>
              <w:pBdr/>
              <w:spacing w:lineRule="auto" w:line="240" w:before="0" w:after="0"/>
              <w:ind w:hanging="0" w:start="0" w:end="0"/>
              <w:jc w:val="start"/>
              <w:rPr>
                <w:rFonts w:ascii="IBM Plex Serif" w:hAnsi="IBM Plex Serif" w:eastAsia="IBM Plex Serif" w:cs="IBM Plex Serif"/>
                <w:b w:val="false"/>
                <w:bCs w:val="false"/>
                <w:i/>
                <w:iCs/>
                <w:caps w:val="false"/>
                <w:smallCaps w:val="false"/>
                <w:strike w:val="false"/>
                <w:dstrike w:val="false"/>
                <w:color w:val="000000"/>
                <w:position w:val="0"/>
                <w:sz w:val="22"/>
                <w:szCs w:val="22"/>
                <w:u w:val="none"/>
                <w:vertAlign w:val="baseline"/>
              </w:rPr>
            </w:pPr>
            <w:r>
              <w:rPr>
                <w:rFonts w:eastAsia="IBM Plex Serif" w:cs="IBM Plex Serif"/>
                <w:b w:val="false"/>
                <w:bCs w:val="false"/>
                <w:i/>
                <w:iCs/>
                <w:caps w:val="false"/>
                <w:smallCaps w:val="false"/>
                <w:strike w:val="false"/>
                <w:dstrike w:val="false"/>
                <w:color w:val="000000"/>
                <w:position w:val="0"/>
                <w:sz w:val="22"/>
                <w:szCs w:val="22"/>
                <w:u w:val="none"/>
                <w:vertAlign w:val="baseline"/>
              </w:rPr>
              <w:t>Hidalgo Riffarachi</w:t>
            </w:r>
          </w:p>
        </w:tc>
        <w:tc>
          <w:tcPr>
            <w:tcW w:w="3586" w:type="dxa"/>
            <w:tcBorders/>
          </w:tcPr>
          <w:p>
            <w:pPr>
              <w:pStyle w:val="Normal"/>
              <w:keepNext w:val="false"/>
              <w:keepLines w:val="false"/>
              <w:widowControl w:val="false"/>
              <w:pBdr/>
              <w:spacing w:lineRule="auto" w:line="240" w:before="0" w:after="0"/>
              <w:ind w:hanging="0" w:start="0" w:end="0"/>
              <w:jc w:val="start"/>
              <w:rPr>
                <w:rFonts w:ascii="IBM Plex Serif" w:hAnsi="IBM Plex Serif" w:eastAsia="IBM Plex Serif" w:cs="IBM Plex Serif"/>
                <w:b w:val="false"/>
                <w:bCs w:val="false"/>
                <w:i/>
                <w:iCs/>
                <w:caps w:val="false"/>
                <w:smallCaps w:val="false"/>
                <w:strike w:val="false"/>
                <w:dstrike w:val="false"/>
                <w:color w:val="000000"/>
                <w:position w:val="0"/>
                <w:sz w:val="22"/>
                <w:szCs w:val="22"/>
                <w:u w:val="none"/>
                <w:vertAlign w:val="baseline"/>
              </w:rPr>
            </w:pPr>
            <w:r>
              <w:rPr>
                <w:rFonts w:eastAsia="IBM Plex Serif" w:cs="IBM Plex Serif"/>
                <w:b w:val="false"/>
                <w:bCs w:val="false"/>
                <w:i/>
                <w:iCs/>
                <w:caps w:val="false"/>
                <w:smallCaps w:val="false"/>
                <w:strike w:val="false"/>
                <w:dstrike w:val="false"/>
                <w:color w:val="000000"/>
                <w:position w:val="0"/>
                <w:sz w:val="22"/>
                <w:szCs w:val="22"/>
                <w:u w:val="none"/>
                <w:vertAlign w:val="baseline"/>
              </w:rPr>
              <w:t>Osmar Javier</w:t>
            </w:r>
          </w:p>
        </w:tc>
        <w:tc>
          <w:tcPr>
            <w:tcW w:w="1783" w:type="dxa"/>
            <w:tcBorders/>
          </w:tcPr>
          <w:p>
            <w:pPr>
              <w:pStyle w:val="Normal"/>
              <w:keepNext w:val="false"/>
              <w:keepLines w:val="false"/>
              <w:widowControl w:val="false"/>
              <w:pBdr/>
              <w:spacing w:lineRule="auto" w:line="240" w:before="0" w:after="0"/>
              <w:ind w:hanging="0" w:start="0" w:end="0"/>
              <w:jc w:val="start"/>
              <w:rPr>
                <w:rFonts w:ascii="IBM Plex Serif" w:hAnsi="IBM Plex Serif" w:eastAsia="IBM Plex Serif" w:cs="IBM Plex Serif"/>
                <w:b w:val="false"/>
                <w:bCs w:val="false"/>
                <w:i/>
                <w:iCs/>
                <w:caps w:val="false"/>
                <w:smallCaps w:val="false"/>
                <w:strike w:val="false"/>
                <w:dstrike w:val="false"/>
                <w:color w:val="000000"/>
                <w:position w:val="0"/>
                <w:sz w:val="22"/>
                <w:szCs w:val="22"/>
                <w:u w:val="none"/>
                <w:vertAlign w:val="baseline"/>
              </w:rPr>
            </w:pPr>
            <w:r>
              <w:rPr>
                <w:rFonts w:eastAsia="IBM Plex Serif" w:cs="IBM Plex Serif"/>
                <w:b w:val="false"/>
                <w:bCs w:val="false"/>
                <w:i/>
                <w:iCs/>
                <w:caps w:val="false"/>
                <w:smallCaps w:val="false"/>
                <w:strike w:val="false"/>
                <w:dstrike w:val="false"/>
                <w:color w:val="000000"/>
                <w:position w:val="0"/>
                <w:sz w:val="22"/>
                <w:szCs w:val="22"/>
                <w:u w:val="none"/>
                <w:vertAlign w:val="baseline"/>
              </w:rPr>
              <w:t>217023045</w:t>
            </w:r>
          </w:p>
        </w:tc>
      </w:tr>
      <w:tr>
        <w:trPr/>
        <w:tc>
          <w:tcPr>
            <w:tcW w:w="300" w:type="dxa"/>
            <w:tcBorders/>
          </w:tcPr>
          <w:p>
            <w:pPr>
              <w:pStyle w:val="Normal"/>
              <w:keepNext w:val="false"/>
              <w:keepLines w:val="false"/>
              <w:widowControl w:val="false"/>
              <w:pBdr/>
              <w:spacing w:lineRule="auto" w:line="240" w:before="0" w:after="0"/>
              <w:ind w:hanging="0" w:start="0" w:end="0"/>
              <w:jc w:val="start"/>
              <w:rPr>
                <w:rFonts w:ascii="IBM Plex Serif" w:hAnsi="IBM Plex Serif" w:eastAsia="IBM Plex Serif" w:cs="IBM Plex Serif"/>
                <w:b w:val="false"/>
                <w:bCs w:val="false"/>
                <w:i w:val="false"/>
                <w:iCs w:val="false"/>
                <w:caps w:val="false"/>
                <w:smallCaps w:val="false"/>
                <w:strike w:val="false"/>
                <w:dstrike w:val="false"/>
                <w:color w:val="000000"/>
                <w:position w:val="0"/>
                <w:sz w:val="22"/>
                <w:szCs w:val="22"/>
                <w:u w:val="none"/>
                <w:vertAlign w:val="baseline"/>
              </w:rPr>
            </w:pPr>
            <w:r>
              <w:rPr>
                <w:rFonts w:eastAsia="IBM Plex Serif" w:cs="IBM Plex Serif"/>
                <w:b w:val="false"/>
                <w:bCs w:val="false"/>
                <w:i w:val="false"/>
                <w:iCs w:val="false"/>
                <w:caps w:val="false"/>
                <w:smallCaps w:val="false"/>
                <w:strike w:val="false"/>
                <w:dstrike w:val="false"/>
                <w:color w:val="000000"/>
                <w:position w:val="0"/>
                <w:sz w:val="22"/>
                <w:szCs w:val="22"/>
                <w:u w:val="none"/>
                <w:vertAlign w:val="baseline"/>
              </w:rPr>
              <w:t>5</w:t>
            </w:r>
          </w:p>
        </w:tc>
        <w:tc>
          <w:tcPr>
            <w:tcW w:w="3989" w:type="dxa"/>
            <w:tcBorders/>
          </w:tcPr>
          <w:p>
            <w:pPr>
              <w:pStyle w:val="Normal"/>
              <w:keepNext w:val="false"/>
              <w:keepLines w:val="false"/>
              <w:widowControl w:val="false"/>
              <w:pBdr/>
              <w:spacing w:lineRule="auto" w:line="240" w:before="0" w:after="0"/>
              <w:ind w:hanging="0" w:start="0" w:end="0"/>
              <w:jc w:val="start"/>
              <w:rPr>
                <w:rFonts w:ascii="IBM Plex Serif" w:hAnsi="IBM Plex Serif" w:eastAsia="IBM Plex Serif" w:cs="IBM Plex Serif"/>
                <w:b w:val="false"/>
                <w:bCs w:val="false"/>
                <w:i w:val="false"/>
                <w:iCs w:val="false"/>
                <w:caps w:val="false"/>
                <w:smallCaps w:val="false"/>
                <w:strike w:val="false"/>
                <w:dstrike w:val="false"/>
                <w:color w:val="000000"/>
                <w:position w:val="0"/>
                <w:sz w:val="22"/>
                <w:szCs w:val="22"/>
                <w:u w:val="none"/>
                <w:vertAlign w:val="baseline"/>
              </w:rPr>
            </w:pPr>
            <w:r>
              <w:rPr>
                <w:rFonts w:eastAsia="IBM Plex Serif" w:cs="IBM Plex Serif"/>
                <w:b w:val="false"/>
                <w:bCs w:val="false"/>
                <w:i w:val="false"/>
                <w:iCs w:val="false"/>
                <w:caps w:val="false"/>
                <w:smallCaps w:val="false"/>
                <w:strike w:val="false"/>
                <w:dstrike w:val="false"/>
                <w:color w:val="000000"/>
                <w:position w:val="0"/>
                <w:sz w:val="22"/>
                <w:szCs w:val="22"/>
                <w:u w:val="none"/>
                <w:vertAlign w:val="baseline"/>
              </w:rPr>
              <w:t>Huarachi Layme</w:t>
            </w:r>
          </w:p>
        </w:tc>
        <w:tc>
          <w:tcPr>
            <w:tcW w:w="3586" w:type="dxa"/>
            <w:tcBorders/>
          </w:tcPr>
          <w:p>
            <w:pPr>
              <w:pStyle w:val="Normal"/>
              <w:keepNext w:val="false"/>
              <w:keepLines w:val="false"/>
              <w:widowControl w:val="false"/>
              <w:pBdr/>
              <w:spacing w:lineRule="auto" w:line="240" w:before="0" w:after="0"/>
              <w:ind w:hanging="0" w:start="0" w:end="0"/>
              <w:jc w:val="start"/>
              <w:rPr>
                <w:rFonts w:ascii="IBM Plex Serif" w:hAnsi="IBM Plex Serif" w:eastAsia="IBM Plex Serif" w:cs="IBM Plex Serif"/>
                <w:b w:val="false"/>
                <w:bCs w:val="false"/>
                <w:i w:val="false"/>
                <w:iCs w:val="false"/>
                <w:caps w:val="false"/>
                <w:smallCaps w:val="false"/>
                <w:strike w:val="false"/>
                <w:dstrike w:val="false"/>
                <w:color w:val="000000"/>
                <w:position w:val="0"/>
                <w:sz w:val="22"/>
                <w:szCs w:val="22"/>
                <w:u w:val="none"/>
                <w:vertAlign w:val="baseline"/>
              </w:rPr>
            </w:pPr>
            <w:r>
              <w:rPr>
                <w:rFonts w:eastAsia="IBM Plex Serif" w:cs="IBM Plex Serif"/>
                <w:b w:val="false"/>
                <w:bCs w:val="false"/>
                <w:i w:val="false"/>
                <w:iCs w:val="false"/>
                <w:caps w:val="false"/>
                <w:smallCaps w:val="false"/>
                <w:strike w:val="false"/>
                <w:dstrike w:val="false"/>
                <w:color w:val="000000"/>
                <w:position w:val="0"/>
                <w:sz w:val="22"/>
                <w:szCs w:val="22"/>
                <w:u w:val="none"/>
                <w:vertAlign w:val="baseline"/>
              </w:rPr>
              <w:t>Eva Maribel</w:t>
            </w:r>
          </w:p>
        </w:tc>
        <w:tc>
          <w:tcPr>
            <w:tcW w:w="1783" w:type="dxa"/>
            <w:tcBorders/>
          </w:tcPr>
          <w:p>
            <w:pPr>
              <w:pStyle w:val="Normal"/>
              <w:keepNext w:val="false"/>
              <w:keepLines w:val="false"/>
              <w:widowControl w:val="false"/>
              <w:pBdr/>
              <w:spacing w:lineRule="auto" w:line="240" w:before="0" w:after="0"/>
              <w:ind w:hanging="0" w:start="0" w:end="0"/>
              <w:jc w:val="start"/>
              <w:rPr>
                <w:rFonts w:ascii="IBM Plex Serif" w:hAnsi="IBM Plex Serif" w:eastAsia="IBM Plex Serif" w:cs="IBM Plex Serif"/>
                <w:b w:val="false"/>
                <w:bCs w:val="false"/>
                <w:i w:val="false"/>
                <w:iCs w:val="false"/>
                <w:caps w:val="false"/>
                <w:smallCaps w:val="false"/>
                <w:strike w:val="false"/>
                <w:dstrike w:val="false"/>
                <w:color w:val="000000"/>
                <w:position w:val="0"/>
                <w:sz w:val="22"/>
                <w:szCs w:val="22"/>
                <w:u w:val="none"/>
                <w:vertAlign w:val="baseline"/>
              </w:rPr>
            </w:pPr>
            <w:r>
              <w:rPr>
                <w:rFonts w:eastAsia="IBM Plex Serif" w:cs="IBM Plex Serif"/>
                <w:b w:val="false"/>
                <w:bCs w:val="false"/>
                <w:i w:val="false"/>
                <w:iCs w:val="false"/>
                <w:caps w:val="false"/>
                <w:smallCaps w:val="false"/>
                <w:strike w:val="false"/>
                <w:dstrike w:val="false"/>
                <w:color w:val="000000"/>
                <w:position w:val="0"/>
                <w:sz w:val="22"/>
                <w:szCs w:val="22"/>
                <w:u w:val="none"/>
                <w:vertAlign w:val="baseline"/>
              </w:rPr>
              <w:t>220001502</w:t>
            </w:r>
          </w:p>
        </w:tc>
      </w:tr>
      <w:tr>
        <w:trPr/>
        <w:tc>
          <w:tcPr>
            <w:tcW w:w="300" w:type="dxa"/>
            <w:tcBorders/>
          </w:tcPr>
          <w:p>
            <w:pPr>
              <w:pStyle w:val="Normal"/>
              <w:keepNext w:val="false"/>
              <w:keepLines w:val="false"/>
              <w:widowControl w:val="false"/>
              <w:pBdr/>
              <w:spacing w:lineRule="auto" w:line="240" w:before="0" w:after="0"/>
              <w:ind w:hanging="0" w:start="0" w:end="0"/>
              <w:jc w:val="start"/>
              <w:rPr>
                <w:rFonts w:ascii="IBM Plex Serif" w:hAnsi="IBM Plex Serif" w:eastAsia="IBM Plex Serif" w:cs="IBM Plex Serif"/>
                <w:b w:val="false"/>
                <w:bCs w:val="false"/>
                <w:i w:val="false"/>
                <w:iCs w:val="false"/>
                <w:caps w:val="false"/>
                <w:smallCaps w:val="false"/>
                <w:strike w:val="false"/>
                <w:dstrike w:val="false"/>
                <w:color w:val="000000"/>
                <w:position w:val="0"/>
                <w:sz w:val="22"/>
                <w:szCs w:val="22"/>
                <w:u w:val="none"/>
                <w:vertAlign w:val="baseline"/>
              </w:rPr>
            </w:pPr>
            <w:r>
              <w:rPr>
                <w:rFonts w:eastAsia="IBM Plex Serif" w:cs="IBM Plex Serif"/>
                <w:b w:val="false"/>
                <w:bCs w:val="false"/>
                <w:i w:val="false"/>
                <w:iCs w:val="false"/>
                <w:caps w:val="false"/>
                <w:smallCaps w:val="false"/>
                <w:strike w:val="false"/>
                <w:dstrike w:val="false"/>
                <w:color w:val="000000"/>
                <w:position w:val="0"/>
                <w:sz w:val="22"/>
                <w:szCs w:val="22"/>
                <w:u w:val="none"/>
                <w:vertAlign w:val="baseline"/>
              </w:rPr>
              <w:t>6</w:t>
            </w:r>
          </w:p>
        </w:tc>
        <w:tc>
          <w:tcPr>
            <w:tcW w:w="3989" w:type="dxa"/>
            <w:tcBorders/>
          </w:tcPr>
          <w:p>
            <w:pPr>
              <w:pStyle w:val="Normal"/>
              <w:keepNext w:val="false"/>
              <w:keepLines w:val="false"/>
              <w:widowControl w:val="false"/>
              <w:pBdr/>
              <w:spacing w:lineRule="auto" w:line="240" w:before="0" w:after="0"/>
              <w:ind w:hanging="0" w:start="0" w:end="0"/>
              <w:jc w:val="start"/>
              <w:rPr>
                <w:rFonts w:ascii="IBM Plex Serif" w:hAnsi="IBM Plex Serif" w:eastAsia="IBM Plex Serif" w:cs="IBM Plex Serif"/>
                <w:b w:val="false"/>
                <w:bCs w:val="false"/>
                <w:i w:val="false"/>
                <w:iCs w:val="false"/>
                <w:caps w:val="false"/>
                <w:smallCaps w:val="false"/>
                <w:strike w:val="false"/>
                <w:dstrike w:val="false"/>
                <w:color w:val="000000"/>
                <w:position w:val="0"/>
                <w:sz w:val="22"/>
                <w:szCs w:val="22"/>
                <w:u w:val="none"/>
                <w:vertAlign w:val="baseline"/>
              </w:rPr>
            </w:pPr>
            <w:r>
              <w:rPr>
                <w:rFonts w:eastAsia="IBM Plex Serif" w:cs="IBM Plex Serif"/>
                <w:b w:val="false"/>
                <w:bCs w:val="false"/>
                <w:i w:val="false"/>
                <w:iCs w:val="false"/>
                <w:caps w:val="false"/>
                <w:smallCaps w:val="false"/>
                <w:strike w:val="false"/>
                <w:dstrike w:val="false"/>
                <w:color w:val="000000"/>
                <w:position w:val="0"/>
                <w:sz w:val="22"/>
                <w:szCs w:val="22"/>
                <w:u w:val="none"/>
                <w:vertAlign w:val="baseline"/>
              </w:rPr>
              <w:t>Rodriguez Arauz</w:t>
            </w:r>
          </w:p>
        </w:tc>
        <w:tc>
          <w:tcPr>
            <w:tcW w:w="3586" w:type="dxa"/>
            <w:tcBorders/>
          </w:tcPr>
          <w:p>
            <w:pPr>
              <w:pStyle w:val="Normal"/>
              <w:keepNext w:val="false"/>
              <w:keepLines w:val="false"/>
              <w:widowControl w:val="false"/>
              <w:pBdr/>
              <w:spacing w:lineRule="auto" w:line="240" w:before="0" w:after="0"/>
              <w:ind w:hanging="0" w:start="0" w:end="0"/>
              <w:jc w:val="start"/>
              <w:rPr>
                <w:rFonts w:ascii="IBM Plex Serif" w:hAnsi="IBM Plex Serif" w:eastAsia="IBM Plex Serif" w:cs="IBM Plex Serif"/>
                <w:b w:val="false"/>
                <w:bCs w:val="false"/>
                <w:i w:val="false"/>
                <w:iCs w:val="false"/>
                <w:caps w:val="false"/>
                <w:smallCaps w:val="false"/>
                <w:strike w:val="false"/>
                <w:dstrike w:val="false"/>
                <w:color w:val="000000"/>
                <w:position w:val="0"/>
                <w:sz w:val="22"/>
                <w:szCs w:val="22"/>
                <w:u w:val="none"/>
                <w:vertAlign w:val="baseline"/>
              </w:rPr>
            </w:pPr>
            <w:r>
              <w:rPr>
                <w:rFonts w:eastAsia="IBM Plex Serif" w:cs="IBM Plex Serif"/>
                <w:b w:val="false"/>
                <w:bCs w:val="false"/>
                <w:i w:val="false"/>
                <w:iCs w:val="false"/>
                <w:caps w:val="false"/>
                <w:smallCaps w:val="false"/>
                <w:strike w:val="false"/>
                <w:dstrike w:val="false"/>
                <w:color w:val="000000"/>
                <w:position w:val="0"/>
                <w:sz w:val="22"/>
                <w:szCs w:val="22"/>
                <w:u w:val="none"/>
                <w:vertAlign w:val="baseline"/>
              </w:rPr>
              <w:t>Evert</w:t>
            </w:r>
          </w:p>
        </w:tc>
        <w:tc>
          <w:tcPr>
            <w:tcW w:w="1783" w:type="dxa"/>
            <w:tcBorders/>
          </w:tcPr>
          <w:p>
            <w:pPr>
              <w:pStyle w:val="Normal"/>
              <w:keepNext w:val="false"/>
              <w:keepLines w:val="false"/>
              <w:widowControl w:val="false"/>
              <w:pBdr/>
              <w:spacing w:lineRule="auto" w:line="240" w:before="0" w:after="0"/>
              <w:ind w:hanging="0" w:start="0" w:end="0"/>
              <w:jc w:val="start"/>
              <w:rPr>
                <w:rFonts w:ascii="IBM Plex Serif" w:hAnsi="IBM Plex Serif" w:eastAsia="IBM Plex Serif" w:cs="IBM Plex Serif"/>
                <w:b w:val="false"/>
                <w:bCs w:val="false"/>
                <w:i w:val="false"/>
                <w:iCs w:val="false"/>
                <w:caps w:val="false"/>
                <w:smallCaps w:val="false"/>
                <w:strike w:val="false"/>
                <w:dstrike w:val="false"/>
                <w:color w:val="000000"/>
                <w:position w:val="0"/>
                <w:sz w:val="22"/>
                <w:szCs w:val="22"/>
                <w:u w:val="none"/>
                <w:vertAlign w:val="baseline"/>
              </w:rPr>
            </w:pPr>
            <w:r>
              <w:rPr>
                <w:rFonts w:eastAsia="IBM Plex Serif" w:cs="IBM Plex Serif"/>
                <w:b w:val="false"/>
                <w:bCs w:val="false"/>
                <w:i w:val="false"/>
                <w:iCs w:val="false"/>
                <w:caps w:val="false"/>
                <w:smallCaps w:val="false"/>
                <w:strike w:val="false"/>
                <w:dstrike w:val="false"/>
                <w:color w:val="000000"/>
                <w:position w:val="0"/>
                <w:sz w:val="22"/>
                <w:szCs w:val="22"/>
                <w:u w:val="none"/>
                <w:vertAlign w:val="baseline"/>
              </w:rPr>
              <w:t>223044083</w:t>
            </w:r>
          </w:p>
        </w:tc>
      </w:tr>
      <w:tr>
        <w:trPr/>
        <w:tc>
          <w:tcPr>
            <w:tcW w:w="300" w:type="dxa"/>
            <w:tcBorders>
              <w:bottom w:val="single" w:sz="6" w:space="0" w:color="000000"/>
            </w:tcBorders>
          </w:tcPr>
          <w:p>
            <w:pPr>
              <w:pStyle w:val="Normal"/>
              <w:keepNext w:val="false"/>
              <w:keepLines w:val="false"/>
              <w:widowControl w:val="false"/>
              <w:pBdr/>
              <w:spacing w:lineRule="auto" w:line="240" w:before="0" w:after="0"/>
              <w:ind w:hanging="0" w:start="0" w:end="0"/>
              <w:jc w:val="start"/>
              <w:rPr>
                <w:rFonts w:ascii="IBM Plex Serif" w:hAnsi="IBM Plex Serif" w:eastAsia="IBM Plex Serif" w:cs="IBM Plex Serif"/>
                <w:b w:val="false"/>
                <w:bCs w:val="false"/>
                <w:i w:val="false"/>
                <w:iCs w:val="false"/>
                <w:caps w:val="false"/>
                <w:smallCaps w:val="false"/>
                <w:strike w:val="false"/>
                <w:dstrike w:val="false"/>
                <w:color w:val="000000"/>
                <w:position w:val="0"/>
                <w:sz w:val="22"/>
                <w:szCs w:val="22"/>
                <w:u w:val="none"/>
                <w:vertAlign w:val="baseline"/>
              </w:rPr>
            </w:pPr>
            <w:r>
              <w:rPr>
                <w:rFonts w:eastAsia="IBM Plex Serif" w:cs="IBM Plex Serif"/>
                <w:b w:val="false"/>
                <w:bCs w:val="false"/>
                <w:i w:val="false"/>
                <w:iCs w:val="false"/>
                <w:caps w:val="false"/>
                <w:smallCaps w:val="false"/>
                <w:strike w:val="false"/>
                <w:dstrike w:val="false"/>
                <w:color w:val="000000"/>
                <w:position w:val="0"/>
                <w:sz w:val="22"/>
                <w:szCs w:val="22"/>
                <w:u w:val="none"/>
                <w:vertAlign w:val="baseline"/>
              </w:rPr>
              <w:t>7</w:t>
            </w:r>
          </w:p>
        </w:tc>
        <w:tc>
          <w:tcPr>
            <w:tcW w:w="3989" w:type="dxa"/>
            <w:tcBorders>
              <w:bottom w:val="single" w:sz="6" w:space="0" w:color="000000"/>
            </w:tcBorders>
          </w:tcPr>
          <w:p>
            <w:pPr>
              <w:pStyle w:val="Normal"/>
              <w:keepNext w:val="false"/>
              <w:keepLines w:val="false"/>
              <w:widowControl w:val="false"/>
              <w:pBdr/>
              <w:spacing w:lineRule="auto" w:line="240" w:before="0" w:after="0"/>
              <w:ind w:hanging="0" w:start="0" w:end="0"/>
              <w:jc w:val="start"/>
              <w:rPr>
                <w:rFonts w:ascii="IBM Plex Serif" w:hAnsi="IBM Plex Serif" w:eastAsia="IBM Plex Serif" w:cs="IBM Plex Serif"/>
                <w:b w:val="false"/>
                <w:bCs w:val="false"/>
                <w:i w:val="false"/>
                <w:iCs w:val="false"/>
                <w:caps w:val="false"/>
                <w:smallCaps w:val="false"/>
                <w:strike w:val="false"/>
                <w:dstrike w:val="false"/>
                <w:color w:val="000000"/>
                <w:position w:val="0"/>
                <w:sz w:val="22"/>
                <w:szCs w:val="22"/>
                <w:u w:val="none"/>
                <w:vertAlign w:val="baseline"/>
              </w:rPr>
            </w:pPr>
            <w:r>
              <w:rPr>
                <w:rFonts w:eastAsia="IBM Plex Serif" w:cs="IBM Plex Serif"/>
                <w:b w:val="false"/>
                <w:bCs w:val="false"/>
                <w:i w:val="false"/>
                <w:iCs w:val="false"/>
                <w:caps w:val="false"/>
                <w:smallCaps w:val="false"/>
                <w:strike w:val="false"/>
                <w:dstrike w:val="false"/>
                <w:color w:val="000000"/>
                <w:position w:val="0"/>
                <w:sz w:val="22"/>
                <w:szCs w:val="22"/>
                <w:u w:val="none"/>
                <w:vertAlign w:val="baseline"/>
              </w:rPr>
              <w:t>Rojas Rivero</w:t>
            </w:r>
          </w:p>
        </w:tc>
        <w:tc>
          <w:tcPr>
            <w:tcW w:w="3586" w:type="dxa"/>
            <w:tcBorders>
              <w:bottom w:val="single" w:sz="6" w:space="0" w:color="000000"/>
            </w:tcBorders>
          </w:tcPr>
          <w:p>
            <w:pPr>
              <w:pStyle w:val="Normal"/>
              <w:keepNext w:val="false"/>
              <w:keepLines w:val="false"/>
              <w:widowControl w:val="false"/>
              <w:pBdr/>
              <w:spacing w:lineRule="auto" w:line="240" w:before="0" w:after="0"/>
              <w:ind w:hanging="0" w:start="0" w:end="0"/>
              <w:jc w:val="start"/>
              <w:rPr>
                <w:rFonts w:ascii="IBM Plex Serif" w:hAnsi="IBM Plex Serif" w:eastAsia="IBM Plex Serif" w:cs="IBM Plex Serif"/>
                <w:b w:val="false"/>
                <w:bCs w:val="false"/>
                <w:i w:val="false"/>
                <w:iCs w:val="false"/>
                <w:caps w:val="false"/>
                <w:smallCaps w:val="false"/>
                <w:strike w:val="false"/>
                <w:dstrike w:val="false"/>
                <w:color w:val="000000"/>
                <w:position w:val="0"/>
                <w:sz w:val="22"/>
                <w:szCs w:val="22"/>
                <w:u w:val="none"/>
                <w:vertAlign w:val="baseline"/>
              </w:rPr>
            </w:pPr>
            <w:r>
              <w:rPr>
                <w:rFonts w:eastAsia="IBM Plex Serif" w:cs="IBM Plex Serif"/>
                <w:b w:val="false"/>
                <w:bCs w:val="false"/>
                <w:i w:val="false"/>
                <w:iCs w:val="false"/>
                <w:caps w:val="false"/>
                <w:smallCaps w:val="false"/>
                <w:strike w:val="false"/>
                <w:dstrike w:val="false"/>
                <w:color w:val="000000"/>
                <w:position w:val="0"/>
                <w:sz w:val="22"/>
                <w:szCs w:val="22"/>
                <w:u w:val="none"/>
                <w:vertAlign w:val="baseline"/>
              </w:rPr>
              <w:t>Douglas Ismael</w:t>
            </w:r>
          </w:p>
        </w:tc>
        <w:tc>
          <w:tcPr>
            <w:tcW w:w="1783" w:type="dxa"/>
            <w:tcBorders>
              <w:bottom w:val="single" w:sz="6" w:space="0" w:color="000000"/>
            </w:tcBorders>
          </w:tcPr>
          <w:p>
            <w:pPr>
              <w:pStyle w:val="Normal"/>
              <w:keepNext w:val="false"/>
              <w:keepLines w:val="false"/>
              <w:widowControl w:val="false"/>
              <w:pBdr/>
              <w:spacing w:lineRule="auto" w:line="240" w:before="0" w:after="0"/>
              <w:ind w:hanging="0" w:start="0" w:end="0"/>
              <w:jc w:val="start"/>
              <w:rPr>
                <w:rFonts w:ascii="IBM Plex Serif" w:hAnsi="IBM Plex Serif" w:eastAsia="IBM Plex Serif" w:cs="IBM Plex Serif"/>
                <w:b w:val="false"/>
                <w:bCs w:val="false"/>
                <w:i w:val="false"/>
                <w:iCs w:val="false"/>
                <w:caps w:val="false"/>
                <w:smallCaps w:val="false"/>
                <w:strike w:val="false"/>
                <w:dstrike w:val="false"/>
                <w:color w:val="000000"/>
                <w:position w:val="0"/>
                <w:sz w:val="22"/>
                <w:szCs w:val="22"/>
                <w:u w:val="none"/>
                <w:vertAlign w:val="baseline"/>
              </w:rPr>
            </w:pPr>
            <w:r>
              <w:rPr>
                <w:rFonts w:eastAsia="IBM Plex Serif" w:cs="IBM Plex Serif"/>
                <w:b w:val="false"/>
                <w:bCs w:val="false"/>
                <w:i w:val="false"/>
                <w:iCs w:val="false"/>
                <w:caps w:val="false"/>
                <w:smallCaps w:val="false"/>
                <w:strike w:val="false"/>
                <w:dstrike w:val="false"/>
                <w:color w:val="000000"/>
                <w:position w:val="0"/>
                <w:sz w:val="22"/>
                <w:szCs w:val="22"/>
                <w:u w:val="none"/>
                <w:vertAlign w:val="baseline"/>
              </w:rPr>
              <w:t>222047641</w:t>
            </w:r>
          </w:p>
        </w:tc>
      </w:tr>
    </w:tbl>
    <w:p>
      <w:pPr>
        <w:pStyle w:val="Normal"/>
        <w:rPr/>
      </w:pPr>
      <w:r>
        <w:rPr/>
      </w:r>
    </w:p>
    <w:p>
      <w:pPr>
        <w:sectPr>
          <w:footerReference w:type="default" r:id="rId5"/>
          <w:footerReference w:type="first" r:id="rId6"/>
          <w:type w:val="nextPage"/>
          <w:pgSz w:w="12240" w:h="15840"/>
          <w:pgMar w:left="852" w:right="852" w:gutter="850" w:header="0" w:top="852" w:footer="852" w:bottom="1707"/>
          <w:pgBorders w:display="allPages" w:offsetFrom="text">
            <w:top w:val="single" w:sz="2" w:space="14" w:color="000000"/>
            <w:left w:val="single" w:sz="2" w:space="14" w:color="000000"/>
            <w:bottom w:val="single" w:sz="2" w:space="14" w:color="000000"/>
            <w:right w:val="single" w:sz="2" w:space="14" w:color="000000"/>
          </w:pgBorders>
          <w:pgNumType w:fmt="decimal"/>
          <w:formProt w:val="false"/>
          <w:textDirection w:val="lrTb"/>
          <w:docGrid w:type="default" w:linePitch="600" w:charSpace="36864"/>
        </w:sectPr>
      </w:pPr>
    </w:p>
    <w:sdt>
      <w:sdtPr>
        <w:docPartObj>
          <w:docPartGallery w:val="Table of Contents"/>
          <w:docPartUnique w:val="true"/>
        </w:docPartObj>
      </w:sdtPr>
      <w:sdtContent>
        <w:p>
          <w:pPr>
            <w:pStyle w:val="TOCHeading"/>
            <w:rPr/>
          </w:pPr>
          <w:r>
            <w:rPr/>
            <w:t>Sumario</w:t>
          </w:r>
        </w:p>
        <w:p>
          <w:pPr>
            <w:pStyle w:val="TOC1"/>
            <w:tabs>
              <w:tab w:val="clear" w:pos="11106"/>
              <w:tab w:val="right" w:pos="9657" w:leader="dot"/>
            </w:tabs>
            <w:rPr/>
          </w:pPr>
          <w:r>
            <w:fldChar w:fldCharType="begin"/>
          </w:r>
          <w:r>
            <w:rPr>
              <w:rStyle w:val="Enlacedelndice"/>
            </w:rPr>
            <w:instrText xml:space="preserve"> TOC \f \o "1-5" \h</w:instrText>
          </w:r>
          <w:r>
            <w:rPr>
              <w:rStyle w:val="Enlacedelndice"/>
            </w:rPr>
            <w:fldChar w:fldCharType="separate"/>
          </w:r>
          <w:hyperlink w:anchor="__RefHeading___Toc329_2145611124" w:tooltip="Introducción">
            <w:r>
              <w:rPr>
                <w:rStyle w:val="Enlacedelndice"/>
              </w:rPr>
              <w:t>1. Introducción</w:t>
              <w:tab/>
              <w:t>6</w:t>
            </w:r>
          </w:hyperlink>
        </w:p>
        <w:p>
          <w:pPr>
            <w:pStyle w:val="TOC1"/>
            <w:tabs>
              <w:tab w:val="clear" w:pos="11106"/>
              <w:tab w:val="right" w:pos="9657" w:leader="dot"/>
            </w:tabs>
            <w:rPr/>
          </w:pPr>
          <w:hyperlink w:anchor="__RefHeading___Toc7529_371365040" w:tooltip="Antecedentes">
            <w:r>
              <w:rPr>
                <w:rStyle w:val="Enlacedelndice"/>
              </w:rPr>
              <w:t>2. Antecedentes</w:t>
              <w:tab/>
              <w:t>7</w:t>
            </w:r>
          </w:hyperlink>
        </w:p>
        <w:p>
          <w:pPr>
            <w:pStyle w:val="TOC3"/>
            <w:tabs>
              <w:tab w:val="clear" w:pos="11106"/>
              <w:tab w:val="right" w:pos="9657" w:leader="dot"/>
            </w:tabs>
            <w:rPr/>
          </w:pPr>
          <w:hyperlink w:anchor="__RefHeading___Toc7531_371365040" w:tooltip="Fundamentación teórica">
            <w:r>
              <w:rPr>
                <w:rStyle w:val="Enlacedelndice"/>
              </w:rPr>
              <w:t>2.1.1. Fundamentación teórica</w:t>
              <w:tab/>
              <w:t>7</w:t>
            </w:r>
          </w:hyperlink>
        </w:p>
        <w:p>
          <w:pPr>
            <w:pStyle w:val="TOC3"/>
            <w:tabs>
              <w:tab w:val="clear" w:pos="11106"/>
              <w:tab w:val="right" w:pos="9657" w:leader="dot"/>
            </w:tabs>
            <w:rPr/>
          </w:pPr>
          <w:hyperlink w:anchor="__RefHeading___Toc7533_371365040" w:tooltip="Procesos y herramientas de control documental">
            <w:r>
              <w:rPr>
                <w:rStyle w:val="Enlacedelndice"/>
              </w:rPr>
              <w:t>2.1.2. Procesos y herramientas de control documental</w:t>
              <w:tab/>
              <w:t>7</w:t>
            </w:r>
          </w:hyperlink>
        </w:p>
        <w:p>
          <w:pPr>
            <w:pStyle w:val="TOC3"/>
            <w:tabs>
              <w:tab w:val="clear" w:pos="11106"/>
              <w:tab w:val="right" w:pos="9657" w:leader="dot"/>
            </w:tabs>
            <w:rPr/>
          </w:pPr>
          <w:hyperlink w:anchor="__RefHeading___Toc7535_371365040" w:tooltip="Gestión documental en el ámbito de la salud">
            <w:r>
              <w:rPr>
                <w:rStyle w:val="Enlacedelndice"/>
              </w:rPr>
              <w:t>2.1.3. Gestión documental en el ámbito de la salud</w:t>
              <w:tab/>
              <w:t>8</w:t>
            </w:r>
          </w:hyperlink>
        </w:p>
        <w:p>
          <w:pPr>
            <w:pStyle w:val="TOC3"/>
            <w:tabs>
              <w:tab w:val="clear" w:pos="11106"/>
              <w:tab w:val="right" w:pos="9657" w:leader="dot"/>
            </w:tabs>
            <w:rPr/>
          </w:pPr>
          <w:hyperlink w:anchor="__RefHeading___Toc7537_371365040" w:tooltip="Software existente">
            <w:r>
              <w:rPr>
                <w:rStyle w:val="Enlacedelndice"/>
              </w:rPr>
              <w:t>2.1.4. Software existente</w:t>
              <w:tab/>
              <w:t>8</w:t>
            </w:r>
          </w:hyperlink>
        </w:p>
        <w:p>
          <w:pPr>
            <w:pStyle w:val="TOC2"/>
            <w:tabs>
              <w:tab w:val="clear" w:pos="11106"/>
              <w:tab w:val="right" w:pos="9657" w:leader="dot"/>
            </w:tabs>
            <w:rPr/>
          </w:pPr>
          <w:hyperlink w:anchor="__RefHeading___Toc7539_371365040" w:tooltip="Casos de estudio">
            <w:r>
              <w:rPr>
                <w:rStyle w:val="Enlacedelndice"/>
              </w:rPr>
              <w:t>2.2. Casos de estudio</w:t>
              <w:tab/>
              <w:t>9</w:t>
            </w:r>
          </w:hyperlink>
        </w:p>
        <w:p>
          <w:pPr>
            <w:pStyle w:val="TOC3"/>
            <w:tabs>
              <w:tab w:val="clear" w:pos="11106"/>
              <w:tab w:val="right" w:pos="9657" w:leader="dot"/>
            </w:tabs>
            <w:rPr/>
          </w:pPr>
          <w:hyperlink w:anchor="__RefHeading___Toc7541_371365040" w:tooltip="Centro de diagnóstico Future (Santa Cruz)">
            <w:r>
              <w:rPr>
                <w:rStyle w:val="Enlacedelndice"/>
              </w:rPr>
              <w:t>2.2.1. Centro de diagnóstico Future (Santa Cruz)</w:t>
              <w:tab/>
              <w:t>9</w:t>
            </w:r>
          </w:hyperlink>
        </w:p>
        <w:p>
          <w:pPr>
            <w:pStyle w:val="TOC3"/>
            <w:tabs>
              <w:tab w:val="clear" w:pos="11106"/>
              <w:tab w:val="right" w:pos="9657" w:leader="dot"/>
            </w:tabs>
            <w:rPr/>
          </w:pPr>
          <w:hyperlink w:anchor="__RefHeading___Toc7543_371365040" w:tooltip="Hospital San Juan de Dios">
            <w:r>
              <w:rPr>
                <w:rStyle w:val="Enlacedelndice"/>
              </w:rPr>
              <w:t>2.2.2. Hospital San Juan de Dios</w:t>
              <w:tab/>
              <w:t>9</w:t>
            </w:r>
          </w:hyperlink>
        </w:p>
        <w:p>
          <w:pPr>
            <w:pStyle w:val="TOC3"/>
            <w:tabs>
              <w:tab w:val="clear" w:pos="11106"/>
              <w:tab w:val="right" w:pos="9657" w:leader="dot"/>
            </w:tabs>
            <w:rPr/>
          </w:pPr>
          <w:hyperlink w:anchor="__RefHeading___Toc7545_371365040" w:tooltip="Hospital Francés (público)">
            <w:r>
              <w:rPr>
                <w:rStyle w:val="Enlacedelndice"/>
              </w:rPr>
              <w:t>2.2.3. Hospital Francés (público)</w:t>
              <w:tab/>
              <w:t>10</w:t>
            </w:r>
          </w:hyperlink>
        </w:p>
        <w:p>
          <w:pPr>
            <w:pStyle w:val="TOC2"/>
            <w:tabs>
              <w:tab w:val="clear" w:pos="11106"/>
              <w:tab w:val="right" w:pos="9657" w:leader="dot"/>
            </w:tabs>
            <w:rPr/>
          </w:pPr>
          <w:hyperlink w:anchor="__RefHeading___Toc7547_371365040" w:tooltip="Innovación propuesta">
            <w:r>
              <w:rPr>
                <w:rStyle w:val="Enlacedelndice"/>
              </w:rPr>
              <w:t>2.3. Innovación propuesta</w:t>
              <w:tab/>
              <w:t>10</w:t>
            </w:r>
          </w:hyperlink>
        </w:p>
        <w:p>
          <w:pPr>
            <w:pStyle w:val="TOC3"/>
            <w:tabs>
              <w:tab w:val="clear" w:pos="11106"/>
              <w:tab w:val="right" w:pos="9657" w:leader="dot"/>
            </w:tabs>
            <w:rPr/>
          </w:pPr>
          <w:hyperlink w:anchor="__RefHeading___Toc7549_371365040" w:tooltip="OCR con clasificación automática de documentos">
            <w:r>
              <w:rPr>
                <w:rStyle w:val="Enlacedelndice"/>
              </w:rPr>
              <w:t>2.3.1. OCR con clasificación automática de documentos</w:t>
              <w:tab/>
              <w:t>10</w:t>
            </w:r>
          </w:hyperlink>
        </w:p>
        <w:p>
          <w:pPr>
            <w:pStyle w:val="TOC3"/>
            <w:tabs>
              <w:tab w:val="clear" w:pos="11106"/>
              <w:tab w:val="right" w:pos="9657" w:leader="dot"/>
            </w:tabs>
            <w:rPr/>
          </w:pPr>
          <w:hyperlink w:anchor="__RefHeading___Toc7551_371365040" w:tooltip="Alertas de vencimiento documental">
            <w:r>
              <w:rPr>
                <w:rStyle w:val="Enlacedelndice"/>
              </w:rPr>
              <w:t>2.3.2. Alertas de vencimiento documental</w:t>
              <w:tab/>
              <w:t>11</w:t>
            </w:r>
          </w:hyperlink>
        </w:p>
        <w:p>
          <w:pPr>
            <w:pStyle w:val="TOC1"/>
            <w:tabs>
              <w:tab w:val="clear" w:pos="11106"/>
              <w:tab w:val="right" w:pos="9657" w:leader="dot"/>
            </w:tabs>
            <w:rPr/>
          </w:pPr>
          <w:hyperlink w:anchor="__RefHeading___Toc12549_3972331205" w:tooltip="Descripción del problema">
            <w:r>
              <w:rPr>
                <w:rStyle w:val="Enlacedelndice"/>
              </w:rPr>
              <w:t>3. Descripción del problema</w:t>
              <w:tab/>
              <w:t>11</w:t>
            </w:r>
          </w:hyperlink>
        </w:p>
        <w:p>
          <w:pPr>
            <w:pStyle w:val="TOC2"/>
            <w:tabs>
              <w:tab w:val="clear" w:pos="11106"/>
              <w:tab w:val="right" w:pos="9657" w:leader="dot"/>
            </w:tabs>
            <w:rPr/>
          </w:pPr>
          <w:hyperlink w:anchor="__RefHeading___Toc7553_371365040" w:tooltip="Pérdida y deterioro de documentos físicos">
            <w:r>
              <w:rPr>
                <w:rStyle w:val="Enlacedelndice"/>
              </w:rPr>
              <w:t>3.1. Pérdida y deterioro de documentos físicos</w:t>
              <w:tab/>
              <w:t>11</w:t>
            </w:r>
          </w:hyperlink>
        </w:p>
        <w:p>
          <w:pPr>
            <w:pStyle w:val="TOC2"/>
            <w:tabs>
              <w:tab w:val="clear" w:pos="11106"/>
              <w:tab w:val="right" w:pos="9657" w:leader="dot"/>
            </w:tabs>
            <w:rPr/>
          </w:pPr>
          <w:hyperlink w:anchor="__RefHeading___Toc7555_371365040" w:tooltip="Acceso lento a expedientes">
            <w:r>
              <w:rPr>
                <w:rStyle w:val="Enlacedelndice"/>
              </w:rPr>
              <w:t>3.2. Acceso lento a expedientes</w:t>
              <w:tab/>
              <w:t>12</w:t>
            </w:r>
          </w:hyperlink>
        </w:p>
        <w:p>
          <w:pPr>
            <w:pStyle w:val="TOC2"/>
            <w:tabs>
              <w:tab w:val="clear" w:pos="11106"/>
              <w:tab w:val="right" w:pos="9657" w:leader="dot"/>
            </w:tabs>
            <w:rPr/>
          </w:pPr>
          <w:hyperlink w:anchor="__RefHeading___Toc7557_371365040" w:tooltip="Ausencia de control de acceso y vulnerabilidad de la confidencialidad">
            <w:r>
              <w:rPr>
                <w:rStyle w:val="Enlacedelndice"/>
              </w:rPr>
              <w:t>3.3. Ausencia de control de acceso y vulnerabilidad de la confidencialidad</w:t>
              <w:tab/>
              <w:t>12</w:t>
            </w:r>
          </w:hyperlink>
        </w:p>
        <w:p>
          <w:pPr>
            <w:pStyle w:val="TOC2"/>
            <w:tabs>
              <w:tab w:val="clear" w:pos="11106"/>
              <w:tab w:val="right" w:pos="9657" w:leader="dot"/>
            </w:tabs>
            <w:rPr/>
          </w:pPr>
          <w:hyperlink w:anchor="__RefHeading___Toc7559_371365040" w:tooltip="Información fragmentada entre áreas e instituciones">
            <w:r>
              <w:rPr>
                <w:rStyle w:val="Enlacedelndice"/>
              </w:rPr>
              <w:t>3.4. Información fragmentada entre áreas e instituciones</w:t>
              <w:tab/>
              <w:t>13</w:t>
            </w:r>
          </w:hyperlink>
        </w:p>
        <w:p>
          <w:pPr>
            <w:pStyle w:val="TOC2"/>
            <w:tabs>
              <w:tab w:val="clear" w:pos="11106"/>
              <w:tab w:val="right" w:pos="9657" w:leader="dot"/>
            </w:tabs>
            <w:rPr/>
          </w:pPr>
          <w:hyperlink w:anchor="__RefHeading___Toc7561_371365040" w:tooltip="Carga administrativa elevada por clasificación manual">
            <w:r>
              <w:rPr>
                <w:rStyle w:val="Enlacedelndice"/>
              </w:rPr>
              <w:t>3.5. Carga administrativa elevada por clasificación manual</w:t>
              <w:tab/>
              <w:t>13</w:t>
            </w:r>
          </w:hyperlink>
        </w:p>
        <w:p>
          <w:pPr>
            <w:pStyle w:val="TOC2"/>
            <w:tabs>
              <w:tab w:val="clear" w:pos="11106"/>
              <w:tab w:val="right" w:pos="9657" w:leader="dot"/>
            </w:tabs>
            <w:rPr/>
          </w:pPr>
          <w:hyperlink w:anchor="__RefHeading___Toc7563_371365040" w:tooltip="Riesgos y pérdidas económicas">
            <w:r>
              <w:rPr>
                <w:rStyle w:val="Enlacedelndice"/>
              </w:rPr>
              <w:t>3.6. Riesgos y pérdidas económicas</w:t>
              <w:tab/>
              <w:t>13</w:t>
            </w:r>
          </w:hyperlink>
        </w:p>
        <w:p>
          <w:pPr>
            <w:pStyle w:val="TOC1"/>
            <w:tabs>
              <w:tab w:val="clear" w:pos="11106"/>
              <w:tab w:val="right" w:pos="9657" w:leader="dot"/>
            </w:tabs>
            <w:rPr/>
          </w:pPr>
          <w:hyperlink w:anchor="__RefHeading___Toc12547_3972331205" w:tooltip="Objetivos del proyecto">
            <w:r>
              <w:rPr>
                <w:rStyle w:val="Enlacedelndice"/>
              </w:rPr>
              <w:t>4. Objetivos del proyecto</w:t>
              <w:tab/>
              <w:t>14</w:t>
            </w:r>
          </w:hyperlink>
        </w:p>
        <w:p>
          <w:pPr>
            <w:pStyle w:val="TOC2"/>
            <w:tabs>
              <w:tab w:val="clear" w:pos="11106"/>
              <w:tab w:val="right" w:pos="9657" w:leader="dot"/>
            </w:tabs>
            <w:rPr/>
          </w:pPr>
          <w:hyperlink w:anchor="__RefHeading___Toc12595_3972331205" w:tooltip="Objetivo general">
            <w:r>
              <w:rPr>
                <w:rStyle w:val="Enlacedelndice"/>
              </w:rPr>
              <w:t>4.1. Objetivo general</w:t>
              <w:tab/>
              <w:t>14</w:t>
            </w:r>
          </w:hyperlink>
        </w:p>
        <w:p>
          <w:pPr>
            <w:pStyle w:val="TOC2"/>
            <w:tabs>
              <w:tab w:val="clear" w:pos="11106"/>
              <w:tab w:val="right" w:pos="9657" w:leader="dot"/>
            </w:tabs>
            <w:rPr/>
          </w:pPr>
          <w:hyperlink w:anchor="__RefHeading___Toc12593_3972331205" w:tooltip="Objetivos específicos">
            <w:r>
              <w:rPr>
                <w:rStyle w:val="Enlacedelndice"/>
              </w:rPr>
              <w:t>4.2. Objetivos específicos</w:t>
              <w:tab/>
              <w:t>15</w:t>
            </w:r>
          </w:hyperlink>
        </w:p>
        <w:p>
          <w:pPr>
            <w:pStyle w:val="TOC1"/>
            <w:tabs>
              <w:tab w:val="clear" w:pos="11106"/>
              <w:tab w:val="right" w:pos="9657" w:leader="dot"/>
            </w:tabs>
            <w:rPr/>
          </w:pPr>
          <w:hyperlink w:anchor="__RefHeading___Toc12545_3972331205" w:tooltip="Alcance">
            <w:r>
              <w:rPr>
                <w:rStyle w:val="Enlacedelndice"/>
              </w:rPr>
              <w:t>5. Alcance</w:t>
              <w:tab/>
              <w:t>15</w:t>
            </w:r>
          </w:hyperlink>
        </w:p>
        <w:p>
          <w:pPr>
            <w:pStyle w:val="TOC2"/>
            <w:tabs>
              <w:tab w:val="clear" w:pos="11106"/>
              <w:tab w:val="right" w:pos="9657" w:leader="dot"/>
            </w:tabs>
            <w:rPr/>
          </w:pPr>
          <w:hyperlink w:anchor="__RefHeading___Toc7565_371365040" w:tooltip="Módulos del MVP">
            <w:r>
              <w:rPr>
                <w:rStyle w:val="Enlacedelndice"/>
              </w:rPr>
              <w:t>5.1. Módulos del MVP</w:t>
              <w:tab/>
              <w:t>16</w:t>
            </w:r>
          </w:hyperlink>
        </w:p>
        <w:p>
          <w:pPr>
            <w:pStyle w:val="TOC2"/>
            <w:tabs>
              <w:tab w:val="clear" w:pos="11106"/>
              <w:tab w:val="right" w:pos="9657" w:leader="dot"/>
            </w:tabs>
            <w:rPr/>
          </w:pPr>
          <w:hyperlink w:anchor="__RefHeading___Toc7567_371365040" w:tooltip="Plataformas contempladas en el MVP">
            <w:r>
              <w:rPr>
                <w:rStyle w:val="Enlacedelndice"/>
              </w:rPr>
              <w:t>5.2. Plataformas contempladas en el MVP</w:t>
              <w:tab/>
              <w:t>17</w:t>
            </w:r>
          </w:hyperlink>
        </w:p>
        <w:p>
          <w:pPr>
            <w:pStyle w:val="TOC2"/>
            <w:tabs>
              <w:tab w:val="clear" w:pos="11106"/>
              <w:tab w:val="right" w:pos="9657" w:leader="dot"/>
            </w:tabs>
            <w:rPr/>
          </w:pPr>
          <w:hyperlink w:anchor="__RefHeading___Toc7569_371365040" w:tooltip="Fuera del alcance del MVP">
            <w:r>
              <w:rPr>
                <w:rStyle w:val="Enlacedelndice"/>
              </w:rPr>
              <w:t>5.3. Fuera del alcance del MVP</w:t>
              <w:tab/>
              <w:t>18</w:t>
            </w:r>
          </w:hyperlink>
        </w:p>
        <w:p>
          <w:pPr>
            <w:pStyle w:val="TOC1"/>
            <w:tabs>
              <w:tab w:val="clear" w:pos="11106"/>
              <w:tab w:val="right" w:pos="9657" w:leader="dot"/>
            </w:tabs>
            <w:rPr/>
          </w:pPr>
          <w:hyperlink w:anchor="__RefHeading___Toc7571_371365040" w:tooltip="Elementos del sistema de información basado en computadora">
            <w:r>
              <w:rPr>
                <w:rStyle w:val="Enlacedelndice"/>
              </w:rPr>
              <w:t>6. Elementos del sistema de información basado en computadora</w:t>
              <w:tab/>
              <w:t>18</w:t>
            </w:r>
          </w:hyperlink>
        </w:p>
        <w:p>
          <w:pPr>
            <w:pStyle w:val="TOC2"/>
            <w:tabs>
              <w:tab w:val="clear" w:pos="11106"/>
              <w:tab w:val="right" w:pos="9657" w:leader="dot"/>
            </w:tabs>
            <w:rPr/>
          </w:pPr>
          <w:hyperlink w:anchor="__RefHeading___Toc7573_371365040" w:tooltip="Software">
            <w:r>
              <w:rPr>
                <w:rStyle w:val="Enlacedelndice"/>
              </w:rPr>
              <w:t>6.1. Software</w:t>
              <w:tab/>
              <w:t>18</w:t>
            </w:r>
          </w:hyperlink>
        </w:p>
        <w:p>
          <w:pPr>
            <w:pStyle w:val="TOC2"/>
            <w:tabs>
              <w:tab w:val="clear" w:pos="11106"/>
              <w:tab w:val="right" w:pos="9657" w:leader="dot"/>
            </w:tabs>
            <w:rPr/>
          </w:pPr>
          <w:hyperlink w:anchor="__RefHeading___Toc7575_371365040" w:tooltip="Hardware">
            <w:r>
              <w:rPr>
                <w:rStyle w:val="Enlacedelndice"/>
              </w:rPr>
              <w:t>6.2. Hardware</w:t>
              <w:tab/>
              <w:t>19</w:t>
            </w:r>
          </w:hyperlink>
        </w:p>
        <w:p>
          <w:pPr>
            <w:pStyle w:val="TOC3"/>
            <w:tabs>
              <w:tab w:val="clear" w:pos="11106"/>
              <w:tab w:val="right" w:pos="9657" w:leader="dot"/>
            </w:tabs>
            <w:rPr/>
          </w:pPr>
          <w:hyperlink w:anchor="__RefHeading___Toc7577_371365040" w:tooltip="Infraestructura del servidor (entorno institucional)">
            <w:r>
              <w:rPr>
                <w:rStyle w:val="Enlacedelndice"/>
              </w:rPr>
              <w:t>6.2.1. Infraestructura del servidor (entorno institucional)</w:t>
              <w:tab/>
              <w:t>20</w:t>
            </w:r>
          </w:hyperlink>
        </w:p>
        <w:p>
          <w:pPr>
            <w:pStyle w:val="TOC3"/>
            <w:tabs>
              <w:tab w:val="clear" w:pos="11106"/>
              <w:tab w:val="right" w:pos="9657" w:leader="dot"/>
            </w:tabs>
            <w:rPr/>
          </w:pPr>
          <w:hyperlink w:anchor="__RefHeading___Toc7579_371365040" w:tooltip="Dispositivos de acceso (usuarios finales)">
            <w:r>
              <w:rPr>
                <w:rStyle w:val="Enlacedelndice"/>
              </w:rPr>
              <w:t>6.2.2. Dispositivos de acceso (usuarios finales)</w:t>
              <w:tab/>
              <w:t>20</w:t>
            </w:r>
          </w:hyperlink>
        </w:p>
        <w:p>
          <w:pPr>
            <w:pStyle w:val="TOC2"/>
            <w:tabs>
              <w:tab w:val="clear" w:pos="11106"/>
              <w:tab w:val="right" w:pos="9657" w:leader="dot"/>
            </w:tabs>
            <w:rPr/>
          </w:pPr>
          <w:hyperlink w:anchor="__RefHeading___Toc7581_371365040" w:tooltip="Datos">
            <w:r>
              <w:rPr>
                <w:rStyle w:val="Enlacedelndice"/>
              </w:rPr>
              <w:t>6.3. Datos</w:t>
              <w:tab/>
              <w:t>21</w:t>
            </w:r>
          </w:hyperlink>
        </w:p>
        <w:p>
          <w:pPr>
            <w:pStyle w:val="TOC2"/>
            <w:tabs>
              <w:tab w:val="clear" w:pos="11106"/>
              <w:tab w:val="right" w:pos="9657" w:leader="dot"/>
            </w:tabs>
            <w:rPr/>
          </w:pPr>
          <w:hyperlink w:anchor="__RefHeading___Toc7583_371365040" w:tooltip="Procesos">
            <w:r>
              <w:rPr>
                <w:rStyle w:val="Enlacedelndice"/>
              </w:rPr>
              <w:t>6.4. Procesos</w:t>
              <w:tab/>
              <w:t>22</w:t>
            </w:r>
          </w:hyperlink>
        </w:p>
        <w:p>
          <w:pPr>
            <w:pStyle w:val="TOC2"/>
            <w:tabs>
              <w:tab w:val="clear" w:pos="11106"/>
              <w:tab w:val="right" w:pos="9657" w:leader="dot"/>
            </w:tabs>
            <w:rPr/>
          </w:pPr>
          <w:hyperlink w:anchor="__RefHeading___Toc7585_371365040" w:tooltip="Actores">
            <w:r>
              <w:rPr>
                <w:rStyle w:val="Enlacedelndice"/>
              </w:rPr>
              <w:t>6.5. Actores</w:t>
              <w:tab/>
              <w:t>23</w:t>
            </w:r>
          </w:hyperlink>
        </w:p>
        <w:p>
          <w:pPr>
            <w:pStyle w:val="TOC2"/>
            <w:tabs>
              <w:tab w:val="clear" w:pos="11106"/>
              <w:tab w:val="right" w:pos="9657" w:leader="dot"/>
            </w:tabs>
            <w:rPr/>
          </w:pPr>
          <w:hyperlink w:anchor="__RefHeading___Toc7587_371365040" w:tooltip="Documentación">
            <w:r>
              <w:rPr>
                <w:rStyle w:val="Enlacedelndice"/>
              </w:rPr>
              <w:t>6.6. Documentación</w:t>
              <w:tab/>
              <w:t>24</w:t>
            </w:r>
          </w:hyperlink>
        </w:p>
        <w:p>
          <w:pPr>
            <w:pStyle w:val="TOC1"/>
            <w:tabs>
              <w:tab w:val="clear" w:pos="11106"/>
              <w:tab w:val="right" w:pos="9657" w:leader="dot"/>
            </w:tabs>
            <w:rPr/>
          </w:pPr>
          <w:hyperlink w:anchor="__RefHeading___Toc7589_371365040" w:tooltip="Stack tecnológico">
            <w:r>
              <w:rPr>
                <w:rStyle w:val="Enlacedelndice"/>
              </w:rPr>
              <w:t>7. Stack tecnológico</w:t>
              <w:tab/>
              <w:t>24</w:t>
            </w:r>
          </w:hyperlink>
        </w:p>
        <w:p>
          <w:pPr>
            <w:pStyle w:val="TOC1"/>
            <w:tabs>
              <w:tab w:val="clear" w:pos="11106"/>
              <w:tab w:val="right" w:pos="9657" w:leader="dot"/>
            </w:tabs>
            <w:rPr/>
          </w:pPr>
          <w:hyperlink w:anchor="__RefHeading___Toc7591_371365040" w:tooltip="Costos">
            <w:r>
              <w:rPr>
                <w:rStyle w:val="Enlacedelndice"/>
              </w:rPr>
              <w:t>8. Costos</w:t>
              <w:tab/>
              <w:t>26</w:t>
            </w:r>
          </w:hyperlink>
        </w:p>
        <w:p>
          <w:pPr>
            <w:pStyle w:val="TOC2"/>
            <w:tabs>
              <w:tab w:val="clear" w:pos="11106"/>
              <w:tab w:val="right" w:pos="9657" w:leader="dot"/>
            </w:tabs>
            <w:rPr/>
          </w:pPr>
          <w:hyperlink w:anchor="__RefHeading___Toc7593_371365040" w:tooltip="Costos de desarrollo (comunes a ambos modelos)">
            <w:r>
              <w:rPr>
                <w:rStyle w:val="Enlacedelndice"/>
              </w:rPr>
              <w:t>8.1. Costos de desarrollo (comunes a ambos modelos)</w:t>
              <w:tab/>
              <w:t>26</w:t>
            </w:r>
          </w:hyperlink>
        </w:p>
        <w:p>
          <w:pPr>
            <w:pStyle w:val="TOC2"/>
            <w:tabs>
              <w:tab w:val="clear" w:pos="11106"/>
              <w:tab w:val="right" w:pos="9657" w:leader="dot"/>
            </w:tabs>
            <w:rPr/>
          </w:pPr>
          <w:hyperlink w:anchor="__RefHeading___Toc7595_371365040" w:tooltip="Modelo SaaS (Software como Servicio)">
            <w:r>
              <w:rPr>
                <w:rStyle w:val="Enlacedelndice"/>
              </w:rPr>
              <w:t>8.2. Modelo SaaS (Software como Servicio)</w:t>
              <w:tab/>
              <w:t>27</w:t>
            </w:r>
          </w:hyperlink>
        </w:p>
        <w:p>
          <w:pPr>
            <w:pStyle w:val="TOC3"/>
            <w:tabs>
              <w:tab w:val="clear" w:pos="11106"/>
              <w:tab w:val="right" w:pos="9657" w:leader="dot"/>
            </w:tabs>
            <w:rPr/>
          </w:pPr>
          <w:hyperlink w:anchor="__RefHeading___Toc7597_371365040" w:tooltip="Inversión inicial (única)">
            <w:r>
              <w:rPr>
                <w:rStyle w:val="Enlacedelndice"/>
              </w:rPr>
              <w:t>8.2.1. Inversión inicial (única)</w:t>
              <w:tab/>
              <w:t>27</w:t>
            </w:r>
          </w:hyperlink>
        </w:p>
        <w:p>
          <w:pPr>
            <w:pStyle w:val="TOC3"/>
            <w:tabs>
              <w:tab w:val="clear" w:pos="11106"/>
              <w:tab w:val="right" w:pos="9657" w:leader="dot"/>
            </w:tabs>
            <w:rPr/>
          </w:pPr>
          <w:hyperlink w:anchor="__RefHeading___Toc7599_371365040" w:tooltip="Costo operativo recurrente (suscripción mensual)">
            <w:r>
              <w:rPr>
                <w:rStyle w:val="Enlacedelndice"/>
              </w:rPr>
              <w:t>8.2.2. Costo operativo recurrente (suscripción mensual)</w:t>
              <w:tab/>
              <w:t>28</w:t>
            </w:r>
          </w:hyperlink>
        </w:p>
        <w:p>
          <w:pPr>
            <w:pStyle w:val="TOC2"/>
            <w:tabs>
              <w:tab w:val="clear" w:pos="11106"/>
              <w:tab w:val="right" w:pos="9657" w:leader="dot"/>
            </w:tabs>
            <w:rPr/>
          </w:pPr>
          <w:hyperlink w:anchor="__RefHeading___Toc7601_371365040" w:tooltip="Modelo On-Premise (Instalación Local)">
            <w:r>
              <w:rPr>
                <w:rStyle w:val="Enlacedelndice"/>
              </w:rPr>
              <w:t>8.3. Modelo On-Premise (Instalación Local)</w:t>
              <w:tab/>
              <w:t>28</w:t>
            </w:r>
          </w:hyperlink>
        </w:p>
        <w:p>
          <w:pPr>
            <w:pStyle w:val="TOC3"/>
            <w:tabs>
              <w:tab w:val="clear" w:pos="11106"/>
              <w:tab w:val="right" w:pos="9657" w:leader="dot"/>
            </w:tabs>
            <w:rPr/>
          </w:pPr>
          <w:hyperlink w:anchor="__RefHeading___Toc7603_371365040" w:tooltip="Inversión inicial (única)">
            <w:r>
              <w:rPr>
                <w:rStyle w:val="Enlacedelndice"/>
              </w:rPr>
              <w:t>8.3.1. Inversión inicial (única)</w:t>
              <w:tab/>
              <w:t>28</w:t>
            </w:r>
          </w:hyperlink>
        </w:p>
        <w:p>
          <w:pPr>
            <w:pStyle w:val="TOC3"/>
            <w:tabs>
              <w:tab w:val="clear" w:pos="11106"/>
              <w:tab w:val="right" w:pos="9657" w:leader="dot"/>
            </w:tabs>
            <w:rPr/>
          </w:pPr>
          <w:hyperlink w:anchor="__RefHeading___Toc7605_371365040" w:tooltip="Costos operativos anuales">
            <w:r>
              <w:rPr>
                <w:rStyle w:val="Enlacedelndice"/>
              </w:rPr>
              <w:t>8.3.2. Costos operativos anuales</w:t>
              <w:tab/>
              <w:t>29</w:t>
            </w:r>
          </w:hyperlink>
        </w:p>
        <w:p>
          <w:pPr>
            <w:pStyle w:val="TOC2"/>
            <w:tabs>
              <w:tab w:val="clear" w:pos="11106"/>
              <w:tab w:val="right" w:pos="9657" w:leader="dot"/>
            </w:tabs>
            <w:rPr/>
          </w:pPr>
          <w:hyperlink w:anchor="__RefHeading___Toc7607_371365040" w:tooltip="Comparativa entre modelos">
            <w:r>
              <w:rPr>
                <w:rStyle w:val="Enlacedelndice"/>
              </w:rPr>
              <w:t>8.4. Comparativa entre modelos</w:t>
              <w:tab/>
              <w:t>30</w:t>
            </w:r>
          </w:hyperlink>
        </w:p>
        <w:p>
          <w:pPr>
            <w:pStyle w:val="TOC2"/>
            <w:tabs>
              <w:tab w:val="clear" w:pos="11106"/>
              <w:tab w:val="right" w:pos="9657" w:leader="dot"/>
            </w:tabs>
            <w:rPr/>
          </w:pPr>
          <w:hyperlink w:anchor="__RefHeading___Toc7609_371365040" w:tooltip="Análisis y recomendación">
            <w:r>
              <w:rPr>
                <w:rStyle w:val="Enlacedelndice"/>
              </w:rPr>
              <w:t>8.5. Análisis y recomendación</w:t>
              <w:tab/>
              <w:t>31</w:t>
            </w:r>
          </w:hyperlink>
        </w:p>
        <w:p>
          <w:pPr>
            <w:pStyle w:val="TOC1"/>
            <w:tabs>
              <w:tab w:val="clear" w:pos="11106"/>
              <w:tab w:val="right" w:pos="9657" w:leader="dot"/>
            </w:tabs>
            <w:rPr/>
          </w:pPr>
          <w:hyperlink w:anchor="__RefHeading___Toc12537_3972331205" w:tooltip="Beneficios">
            <w:r>
              <w:rPr>
                <w:rStyle w:val="Enlacedelndice"/>
              </w:rPr>
              <w:t>9. Beneficios</w:t>
              <w:tab/>
              <w:t>31</w:t>
            </w:r>
          </w:hyperlink>
        </w:p>
        <w:p>
          <w:pPr>
            <w:pStyle w:val="TOC2"/>
            <w:tabs>
              <w:tab w:val="clear" w:pos="11106"/>
              <w:tab w:val="right" w:pos="9657" w:leader="dot"/>
            </w:tabs>
            <w:rPr/>
          </w:pPr>
          <w:hyperlink w:anchor="__RefHeading___Toc7611_371365040" w:tooltip="Beneficios cuantitativos">
            <w:r>
              <w:rPr>
                <w:rStyle w:val="Enlacedelndice"/>
              </w:rPr>
              <w:t>9.1. Beneficios cuantitativos</w:t>
              <w:tab/>
              <w:t>31</w:t>
            </w:r>
          </w:hyperlink>
        </w:p>
        <w:p>
          <w:pPr>
            <w:pStyle w:val="TOC2"/>
            <w:tabs>
              <w:tab w:val="clear" w:pos="11106"/>
              <w:tab w:val="right" w:pos="9657" w:leader="dot"/>
            </w:tabs>
            <w:rPr/>
          </w:pPr>
          <w:hyperlink w:anchor="__RefHeading___Toc7613_371365040" w:tooltip="Beneficios cualitativos">
            <w:r>
              <w:rPr>
                <w:rStyle w:val="Enlacedelndice"/>
              </w:rPr>
              <w:t>9.2. Beneficios cualitativos</w:t>
              <w:tab/>
              <w:t>33</w:t>
            </w:r>
          </w:hyperlink>
        </w:p>
        <w:p>
          <w:pPr>
            <w:pStyle w:val="TOC2"/>
            <w:tabs>
              <w:tab w:val="clear" w:pos="11106"/>
              <w:tab w:val="right" w:pos="9657" w:leader="dot"/>
            </w:tabs>
            <w:rPr/>
          </w:pPr>
          <w:hyperlink w:anchor="__RefHeading___Toc7615_371365040" w:tooltip="Relación con la inversión">
            <w:r>
              <w:rPr>
                <w:rStyle w:val="Enlacedelndice"/>
              </w:rPr>
              <w:t>9.3. Relación con la inversión</w:t>
              <w:tab/>
              <w:t>34</w:t>
            </w:r>
          </w:hyperlink>
        </w:p>
        <w:p>
          <w:pPr>
            <w:pStyle w:val="TOC1"/>
            <w:tabs>
              <w:tab w:val="clear" w:pos="11106"/>
              <w:tab w:val="right" w:pos="9657" w:leader="dot"/>
            </w:tabs>
            <w:rPr/>
          </w:pPr>
          <w:hyperlink w:anchor="__RefHeading___Toc11602_371365040" w:tooltip="Referencias">
            <w:r>
              <w:rPr>
                <w:rStyle w:val="Enlacedelndice"/>
              </w:rPr>
              <w:t>10. Referencias</w:t>
              <w:tab/>
              <w:t>35</w:t>
            </w:r>
          </w:hyperlink>
        </w:p>
        <w:p>
          <w:pPr>
            <w:pStyle w:val="TOC1"/>
            <w:tabs>
              <w:tab w:val="clear" w:pos="11106"/>
              <w:tab w:val="right" w:pos="9657" w:leader="dot"/>
            </w:tabs>
            <w:rPr/>
          </w:pPr>
          <w:hyperlink w:anchor="__RefHeading___Toc373_2145611124" w:tooltip="Anexos">
            <w:r>
              <w:rPr>
                <w:rStyle w:val="Enlacedelndice"/>
              </w:rPr>
              <w:t>Anexos</w:t>
              <w:tab/>
              <w:t>1</w:t>
            </w:r>
          </w:hyperlink>
        </w:p>
        <w:p>
          <w:pPr>
            <w:pStyle w:val="TOC2"/>
            <w:tabs>
              <w:tab w:val="clear" w:pos="11106"/>
              <w:tab w:val="right" w:pos="9657" w:leader="dot"/>
            </w:tabs>
            <w:rPr/>
          </w:pPr>
          <w:hyperlink w:anchor="__RefHeading___Toc375_2145611124" w:tooltip="Formato de entrevista (tipo)">
            <w:r>
              <w:rPr>
                <w:rStyle w:val="Enlacedelndice"/>
              </w:rPr>
              <w:t>I. Formato de entrevista (tipo)</w:t>
              <w:tab/>
              <w:t>1</w:t>
            </w:r>
          </w:hyperlink>
        </w:p>
        <w:p>
          <w:pPr>
            <w:pStyle w:val="TOC2"/>
            <w:tabs>
              <w:tab w:val="clear" w:pos="11106"/>
              <w:tab w:val="right" w:pos="9657" w:leader="dot"/>
            </w:tabs>
            <w:rPr/>
          </w:pPr>
          <w:hyperlink w:anchor="__RefHeading___Toc11024_371365040" w:tooltip="Entrevistas realizadas">
            <w:r>
              <w:rPr>
                <w:rStyle w:val="Enlacedelndice"/>
              </w:rPr>
              <w:t>II. Entrevistas realizadas</w:t>
              <w:tab/>
              <w:t>2</w:t>
            </w:r>
          </w:hyperlink>
        </w:p>
        <w:p>
          <w:pPr>
            <w:pStyle w:val="TOC2"/>
            <w:tabs>
              <w:tab w:val="clear" w:pos="11106"/>
              <w:tab w:val="right" w:pos="9657" w:leader="dot"/>
            </w:tabs>
            <w:rPr/>
          </w:pPr>
          <w:hyperlink w:anchor="__RefHeading___Toc11028_371365040" w:tooltip="Documentación rescatada">
            <w:r>
              <w:rPr>
                <w:rStyle w:val="Enlacedelndice"/>
              </w:rPr>
              <w:t>III. Documentación rescatada</w:t>
              <w:tab/>
              <w:t>6</w:t>
            </w:r>
          </w:hyperlink>
        </w:p>
        <w:p>
          <w:pPr>
            <w:pStyle w:val="TOC2"/>
            <w:tabs>
              <w:tab w:val="clear" w:pos="11106"/>
              <w:tab w:val="right" w:pos="9657" w:leader="dot"/>
            </w:tabs>
            <w:rPr/>
          </w:pPr>
          <w:hyperlink w:anchor="__RefHeading___Toc381_2145611124" w:tooltip="Diapositivas">
            <w:r>
              <w:rPr>
                <w:rStyle w:val="Enlacedelndice"/>
              </w:rPr>
              <w:t>IV. Diapositivas</w:t>
              <w:tab/>
              <w:t>9</w:t>
            </w:r>
          </w:hyperlink>
        </w:p>
        <w:p>
          <w:pPr>
            <w:pStyle w:val="TOC2"/>
            <w:tabs>
              <w:tab w:val="clear" w:pos="11106"/>
              <w:tab w:val="right" w:pos="9657" w:leader="dot"/>
            </w:tabs>
            <w:rPr/>
          </w:pPr>
          <w:hyperlink w:anchor="__RefHeading___Toc381_2145611124_Copia_1" w:tooltip="Equipo de trabajo">
            <w:r>
              <w:rPr>
                <w:rStyle w:val="Enlacedelndice"/>
              </w:rPr>
              <w:t>V. Equipo de trabajo</w:t>
              <w:tab/>
              <w:t>10</w:t>
            </w:r>
          </w:hyperlink>
        </w:p>
        <w:p>
          <w:pPr>
            <w:pStyle w:val="TOC2"/>
            <w:tabs>
              <w:tab w:val="clear" w:pos="11106"/>
              <w:tab w:val="right" w:pos="9657" w:leader="dot"/>
            </w:tabs>
            <w:rPr/>
          </w:pPr>
          <w:hyperlink w:anchor="__RefHeading___Toc11030_371365040" w:tooltip="QR del repositorio del grupo">
            <w:r>
              <w:rPr>
                <w:rStyle w:val="Enlacedelndice"/>
              </w:rPr>
              <w:t>VI. QR del repositorio del grupo</w:t>
              <w:tab/>
              <w:t>12</w:t>
            </w:r>
          </w:hyperlink>
          <w:r>
            <w:rPr>
              <w:rStyle w:val="Enlacedelndice"/>
            </w:rPr>
            <w:fldChar w:fldCharType="end"/>
          </w:r>
        </w:p>
        <w:p>
          <w:pPr>
            <w:sectPr>
              <w:footerReference w:type="default" r:id="rId7"/>
              <w:footerReference w:type="first" r:id="rId8"/>
              <w:type w:val="nextPage"/>
              <w:pgSz w:w="12240" w:h="15840"/>
              <w:pgMar w:left="866" w:right="866" w:gutter="850" w:header="0" w:top="866" w:footer="0" w:bottom="866"/>
              <w:pgBorders w:display="allPages" w:offsetFrom="text">
                <w:top w:val="single" w:sz="6" w:space="14" w:color="000000"/>
                <w:left w:val="single" w:sz="6" w:space="14" w:color="000000"/>
                <w:bottom w:val="single" w:sz="6" w:space="14" w:color="000000"/>
                <w:right w:val="single" w:sz="6" w:space="14" w:color="000000"/>
              </w:pgBorders>
              <w:pgNumType w:fmt="decimal"/>
              <w:formProt w:val="false"/>
              <w:textDirection w:val="lrTb"/>
              <w:docGrid w:type="default" w:linePitch="600" w:charSpace="36864"/>
            </w:sectPr>
          </w:pPr>
        </w:p>
      </w:sdtContent>
    </w:sdt>
    <w:p>
      <w:pPr>
        <w:pStyle w:val="Heading1"/>
        <w:numPr>
          <w:ilvl w:val="0"/>
          <w:numId w:val="3"/>
        </w:numPr>
        <w:ind w:hanging="0" w:start="0"/>
        <w:rPr/>
      </w:pPr>
      <w:bookmarkStart w:id="2" w:name="__RefHeading___Toc329_2145611124"/>
      <w:bookmarkEnd w:id="2"/>
      <w:r>
        <w:rPr/>
        <w:t>Introducción</w:t>
      </w:r>
    </w:p>
    <w:p>
      <w:pPr>
        <w:pStyle w:val="BodyText"/>
        <w:rPr/>
      </w:pPr>
      <w:r>
        <w:rPr/>
        <w:t>En el entorno hospitalario y en las redes de clínicas, la documentación clínica y administrativa representa uno de los activos más críticos de la organización. Historias médicas, consentimientos informados, órdenes de laboratorio, resultados de diagnóstico y registros de facturación conforman un ecosistema documental cuya gestión deficiente compromete directamente la calidad de atención al paciente y la eficiencia operativa de la institución.</w:t>
      </w:r>
    </w:p>
    <w:p>
      <w:pPr>
        <w:pStyle w:val="BodyText"/>
        <w:rPr/>
      </w:pPr>
      <w:r>
        <w:rPr/>
        <w:t xml:space="preserve">El presente documento constituye el perfil de proyecto de </w:t>
      </w:r>
      <w:r>
        <w:rPr/>
        <w:t>un sistema de gestión empresarial</w:t>
      </w:r>
      <w:r>
        <w:rPr/>
        <w:t>, un sistema de información orientado a la gestión documental para hospitales y redes de clínicas. En él se exponen los antecedentes que justifican su desarrollo, la descripción detallada de la problemática que lo origina, los objetivos que guían su construcción, el alcance funcional previsto, los elementos que componen el sistema, el stack tecnológico seleccionado, una estimación de costos y beneficios, y la conformación del equipo responsable.</w:t>
      </w:r>
    </w:p>
    <w:p>
      <w:pPr>
        <w:pStyle w:val="BodyText"/>
        <w:rPr/>
      </w:pPr>
      <w:r>
        <w:rPr/>
        <w:t xml:space="preserve">La motivación que da origen a </w:t>
      </w:r>
      <w:r>
        <w:rPr/>
        <w:t>la realización del proyecto,</w:t>
      </w:r>
      <w:r>
        <w:rPr/>
        <w:t xml:space="preserve"> surge de una realidad frecuente en instituciones de salud de la región: la coexistencia de documentos físicos susceptibles de pérdida o deterioro, la ausencia de mecanismos eficientes de búsqueda y recuperación de expedientes, y la falta de trazabilidad sobre las versiones y modificaciones de los registros. Esta combinación de problemas genera demoras en la atención, duplicación de esfuerzos y riesgos legales para la institución.</w:t>
      </w:r>
    </w:p>
    <w:p>
      <w:pPr>
        <w:pStyle w:val="BodyText"/>
        <w:rPr/>
      </w:pPr>
      <w:r>
        <w:rPr/>
        <w:t>El perfil de proyecto que se presenta a continuación busca demostrar que una solución tecnológica adecuada no solo es viable, sino necesaria, y que su implementación representa una inversión con retorno medible tanto en eficiencia operativa como en calidad de servicio</w:t>
      </w:r>
      <w:r>
        <w:br w:type="page"/>
      </w:r>
    </w:p>
    <w:p>
      <w:pPr>
        <w:pStyle w:val="Heading1"/>
        <w:numPr>
          <w:ilvl w:val="0"/>
          <w:numId w:val="3"/>
        </w:numPr>
        <w:ind w:hanging="0" w:start="0"/>
        <w:rPr>
          <w:color w:val="auto"/>
        </w:rPr>
      </w:pPr>
      <w:bookmarkStart w:id="3" w:name="__RefHeading___Toc7529_371365040"/>
      <w:bookmarkEnd w:id="3"/>
      <w:r>
        <w:rPr>
          <w:color w:val="auto"/>
        </w:rPr>
        <w:t>Antecedentes</w:t>
      </w:r>
    </w:p>
    <w:p>
      <w:pPr>
        <w:pStyle w:val="Heading3"/>
        <w:numPr>
          <w:ilvl w:val="2"/>
          <w:numId w:val="3"/>
        </w:numPr>
        <w:ind w:hanging="0" w:start="0"/>
        <w:rPr/>
      </w:pPr>
      <w:bookmarkStart w:id="4" w:name="__RefHeading___Toc7531_371365040"/>
      <w:bookmarkEnd w:id="4"/>
      <w:r>
        <w:rPr/>
        <w:t>Fundamentación teórica</w:t>
      </w:r>
    </w:p>
    <w:p>
      <w:pPr>
        <w:pStyle w:val="BodyText"/>
        <w:rPr/>
      </w:pPr>
      <w:r>
        <w:rPr/>
        <w:t>La gestión documental es la disciplina responsable del control sistemático y eficiente de la creación, recepción, mantenimiento, uso y disposición final de los documentos a lo largo de su ciclo de vida. Su propósito central es asegurar que la información correcta esté disponible para la persona adecuada, en el momento preciso y al menor costo posible.</w:t>
      </w:r>
    </w:p>
    <w:p>
      <w:pPr>
        <w:pStyle w:val="BodyText"/>
        <w:rPr/>
      </w:pPr>
      <w:r>
        <w:rPr/>
        <w:t>El ciclo de vida de los documentos comprende cuatro fases:</w:t>
      </w:r>
    </w:p>
    <w:p>
      <w:pPr>
        <w:pStyle w:val="BodyText"/>
        <w:numPr>
          <w:ilvl w:val="0"/>
          <w:numId w:val="4"/>
        </w:numPr>
        <w:tabs>
          <w:tab w:val="clear" w:pos="643"/>
          <w:tab w:val="left" w:pos="0" w:leader="none"/>
        </w:tabs>
        <w:ind w:firstLine="567" w:start="0"/>
        <w:rPr/>
      </w:pPr>
      <w:r>
        <w:rPr>
          <w:rStyle w:val="Strong"/>
        </w:rPr>
        <w:t>Creación o generación:</w:t>
      </w:r>
      <w:r>
        <w:rPr/>
        <w:t> el documento se produce como evidencia de una actividad.</w:t>
      </w:r>
    </w:p>
    <w:p>
      <w:pPr>
        <w:pStyle w:val="BodyText"/>
        <w:numPr>
          <w:ilvl w:val="0"/>
          <w:numId w:val="4"/>
        </w:numPr>
        <w:tabs>
          <w:tab w:val="clear" w:pos="643"/>
          <w:tab w:val="left" w:pos="0" w:leader="none"/>
        </w:tabs>
        <w:ind w:firstLine="567" w:start="0"/>
        <w:rPr/>
      </w:pPr>
      <w:r>
        <w:rPr>
          <w:rStyle w:val="Strong"/>
        </w:rPr>
        <w:t>Mantenimiento y uso activo:</w:t>
      </w:r>
      <w:r>
        <w:rPr/>
        <w:t> se consulta y utiliza con frecuencia para respaldar procesos operativos.</w:t>
      </w:r>
    </w:p>
    <w:p>
      <w:pPr>
        <w:pStyle w:val="BodyText"/>
        <w:numPr>
          <w:ilvl w:val="0"/>
          <w:numId w:val="4"/>
        </w:numPr>
        <w:tabs>
          <w:tab w:val="clear" w:pos="643"/>
          <w:tab w:val="left" w:pos="0" w:leader="none"/>
        </w:tabs>
        <w:ind w:firstLine="567" w:start="0"/>
        <w:rPr/>
      </w:pPr>
      <w:r>
        <w:rPr>
          <w:rStyle w:val="Strong"/>
        </w:rPr>
        <w:t>Retención y conservación semiactiva:</w:t>
      </w:r>
      <w:r>
        <w:rPr/>
        <w:t> el uso disminuye, pero el documento se conserva por obligaciones legales o administrativas.</w:t>
      </w:r>
    </w:p>
    <w:p>
      <w:pPr>
        <w:pStyle w:val="BodyText"/>
        <w:numPr>
          <w:ilvl w:val="0"/>
          <w:numId w:val="4"/>
        </w:numPr>
        <w:tabs>
          <w:tab w:val="clear" w:pos="643"/>
          <w:tab w:val="left" w:pos="0" w:leader="none"/>
        </w:tabs>
        <w:ind w:firstLine="567" w:start="0"/>
        <w:rPr/>
      </w:pPr>
      <w:r>
        <w:rPr>
          <w:rStyle w:val="Strong"/>
        </w:rPr>
        <w:t>Disposición final:</w:t>
      </w:r>
      <w:r>
        <w:rPr/>
        <w:t> se decide su eliminación segura o su transferencia a un archivo histórico.</w:t>
      </w:r>
    </w:p>
    <w:p>
      <w:pPr>
        <w:pStyle w:val="BodyText"/>
        <w:rPr/>
      </w:pPr>
      <w:r>
        <w:rPr/>
        <w:t>Un </w:t>
      </w:r>
      <w:r>
        <w:rPr>
          <w:rStyle w:val="Strong"/>
        </w:rPr>
        <w:t>Sistema de Gestión Documental (DMS)</w:t>
      </w:r>
      <w:r>
        <w:rPr/>
        <w:t> materializa estos principios mediante tecnologías que permiten capturar, almacenar, indexar, recuperar y disponer documentos de manera controlada. En el ámbito de la salud, el documento crítico es la historia clínica, que debe garantizar autenticidad, fiabilidad, integridad y usabilidad. La norma ISO 15489 es el estándar internacional de referencia, y marcos como HIPAA establecen requisitos específicos para la protección de datos sanitarios.</w:t>
      </w:r>
    </w:p>
    <w:p>
      <w:pPr>
        <w:pStyle w:val="BodyText"/>
        <w:rPr/>
      </w:pPr>
      <w:r>
        <w:rPr/>
        <w:t>El éxito de un DMS no depende solo de la tecnología; requiere un marco organizativo que incluya una política formal, asignación clara de responsabilidades (alta dirección, gestor documental, administradores, personal operativo), planes de formación continua y mecanismos de seguimiento y evaluación.</w:t>
      </w:r>
    </w:p>
    <w:p>
      <w:pPr>
        <w:pStyle w:val="Heading3"/>
        <w:numPr>
          <w:ilvl w:val="2"/>
          <w:numId w:val="3"/>
        </w:numPr>
        <w:ind w:hanging="0" w:start="0"/>
        <w:rPr/>
      </w:pPr>
      <w:bookmarkStart w:id="5" w:name="__RefHeading___Toc7533_371365040"/>
      <w:bookmarkEnd w:id="5"/>
      <w:r>
        <w:rPr/>
        <w:t>Procesos y herramientas de control documental</w:t>
      </w:r>
    </w:p>
    <w:p>
      <w:pPr>
        <w:pStyle w:val="BodyText"/>
        <w:rPr/>
      </w:pPr>
      <w:r>
        <w:rPr/>
        <w:t>La operación de un DMS se apoya en procesos estandarizados: creación, captura (que puede incluir digitalización y OCR), clasificación e indexación mediante metadatos, control de acceso basado en roles (RBAC), almacenamiento seguro, uso y reutilización con control de versiones, migración y conversión, y disposición final (eliminación o transferencia).</w:t>
      </w:r>
    </w:p>
    <w:p>
      <w:pPr>
        <w:pStyle w:val="BodyText"/>
        <w:rPr/>
      </w:pPr>
      <w:r>
        <w:rPr/>
        <w:t>Las herramientas de control fundamentales son:</w:t>
      </w:r>
    </w:p>
    <w:p>
      <w:pPr>
        <w:pStyle w:val="BodyText"/>
        <w:numPr>
          <w:ilvl w:val="0"/>
          <w:numId w:val="5"/>
        </w:numPr>
        <w:tabs>
          <w:tab w:val="clear" w:pos="643"/>
          <w:tab w:val="left" w:pos="0" w:leader="none"/>
        </w:tabs>
        <w:ind w:firstLine="567" w:start="0"/>
        <w:rPr/>
      </w:pPr>
      <w:r>
        <w:rPr>
          <w:rStyle w:val="Strong"/>
        </w:rPr>
        <w:t>Esquemas de metadatos:</w:t>
      </w:r>
      <w:r>
        <w:rPr/>
        <w:t> estructuras que contextualizan los documentos (autor, fecha, tipo, paciente, etc.) y facilitan su recuperación.</w:t>
      </w:r>
    </w:p>
    <w:p>
      <w:pPr>
        <w:pStyle w:val="BodyText"/>
        <w:numPr>
          <w:ilvl w:val="0"/>
          <w:numId w:val="5"/>
        </w:numPr>
        <w:tabs>
          <w:tab w:val="clear" w:pos="643"/>
          <w:tab w:val="left" w:pos="0" w:leader="none"/>
        </w:tabs>
        <w:ind w:firstLine="567" w:start="0"/>
        <w:rPr/>
      </w:pPr>
      <w:r>
        <w:rPr>
          <w:rStyle w:val="Strong"/>
        </w:rPr>
        <w:t>Cuadros de clasificación:</w:t>
      </w:r>
      <w:r>
        <w:rPr/>
        <w:t> representación jerárquica de las series documentales según funciones y procesos.</w:t>
      </w:r>
    </w:p>
    <w:p>
      <w:pPr>
        <w:pStyle w:val="BodyText"/>
        <w:numPr>
          <w:ilvl w:val="0"/>
          <w:numId w:val="5"/>
        </w:numPr>
        <w:tabs>
          <w:tab w:val="clear" w:pos="643"/>
          <w:tab w:val="left" w:pos="0" w:leader="none"/>
        </w:tabs>
        <w:ind w:firstLine="567" w:start="0"/>
        <w:rPr/>
      </w:pPr>
      <w:r>
        <w:rPr>
          <w:rStyle w:val="Strong"/>
        </w:rPr>
        <w:t>Reglas de acceso:</w:t>
      </w:r>
      <w:r>
        <w:rPr/>
        <w:t> matrices que definen qué usuarios o roles pueden realizar acciones específicas sobre cada tipo de documento.</w:t>
      </w:r>
    </w:p>
    <w:p>
      <w:pPr>
        <w:pStyle w:val="BodyText"/>
        <w:numPr>
          <w:ilvl w:val="0"/>
          <w:numId w:val="5"/>
        </w:numPr>
        <w:tabs>
          <w:tab w:val="clear" w:pos="643"/>
          <w:tab w:val="left" w:pos="0" w:leader="none"/>
        </w:tabs>
        <w:ind w:firstLine="567" w:start="0"/>
        <w:rPr/>
      </w:pPr>
      <w:r>
        <w:rPr>
          <w:rStyle w:val="Strong"/>
        </w:rPr>
        <w:t>Calendarios de conservación:</w:t>
      </w:r>
      <w:r>
        <w:rPr/>
        <w:t> plazos de retención y destino final para cada serie, basados en valores administrativos, legales e históricos.</w:t>
      </w:r>
    </w:p>
    <w:p>
      <w:pPr>
        <w:pStyle w:val="Heading3"/>
        <w:numPr>
          <w:ilvl w:val="2"/>
          <w:numId w:val="3"/>
        </w:numPr>
        <w:ind w:hanging="0" w:start="0"/>
        <w:rPr/>
      </w:pPr>
      <w:bookmarkStart w:id="6" w:name="__RefHeading___Toc7535_371365040"/>
      <w:bookmarkEnd w:id="6"/>
      <w:r>
        <w:rPr/>
        <w:t>Gestión documental en el ámbito de la salud</w:t>
      </w:r>
    </w:p>
    <w:p>
      <w:pPr>
        <w:pStyle w:val="BodyText"/>
        <w:rPr/>
      </w:pPr>
      <w:r>
        <w:rPr/>
        <w:t>En el sector salud, la historia clínica es el documento principal y su gestión debe considerar su carácter sensible, legal y vital. El ciclo de vida de una historia clínica abarca desde su creación durante la atención hasta su disposición final, que puede extenderse por décadas debido a plazos legales. La confidencialidad, integridad y disponibilidad son críticas, por lo que se requieren controles de acceso robustos y pistas de auditoría.</w:t>
      </w:r>
    </w:p>
    <w:p>
      <w:pPr>
        <w:pStyle w:val="Heading3"/>
        <w:numPr>
          <w:ilvl w:val="2"/>
          <w:numId w:val="3"/>
        </w:numPr>
        <w:ind w:hanging="0" w:start="0"/>
        <w:rPr/>
      </w:pPr>
      <w:bookmarkStart w:id="7" w:name="__RefHeading___Toc7537_371365040"/>
      <w:bookmarkEnd w:id="7"/>
      <w:r>
        <w:rPr/>
        <w:t>Software existente</w:t>
      </w:r>
    </w:p>
    <w:p>
      <w:pPr>
        <w:pStyle w:val="BodyText"/>
        <w:rPr/>
      </w:pPr>
      <w:r>
        <w:rPr/>
        <w:t>Se analizaron cinco sistemas representativos para identificar funcionalidades y brechas:</w:t>
      </w:r>
    </w:p>
    <w:p>
      <w:pPr>
        <w:pStyle w:val="Tabla"/>
        <w:rPr/>
      </w:pPr>
      <w:r>
        <w:rPr/>
        <w:t xml:space="preserve">Tabla </w:t>
      </w:r>
      <w:r>
        <w:rPr/>
        <w:fldChar w:fldCharType="begin"/>
      </w:r>
      <w:r>
        <w:rPr/>
        <w:instrText xml:space="preserve"> SEQ Tabla \* ARABIC </w:instrText>
      </w:r>
      <w:r>
        <w:rPr/>
        <w:fldChar w:fldCharType="separate"/>
      </w:r>
      <w:r>
        <w:rPr/>
        <w:t>1</w:t>
      </w:r>
      <w:r>
        <w:rPr/>
        <w:fldChar w:fldCharType="end"/>
      </w:r>
      <w:r>
        <w:rPr/>
        <w:t xml:space="preserve"> </w:t>
        <w:br/>
      </w:r>
      <w:r>
        <w:rPr>
          <w:b w:val="false"/>
          <w:bCs w:val="false"/>
          <w:i/>
          <w:iCs/>
        </w:rPr>
        <w:t>Compar</w:t>
      </w:r>
      <w:r>
        <w:rPr>
          <w:b w:val="false"/>
          <w:bCs w:val="false"/>
          <w:i/>
          <w:iCs/>
        </w:rPr>
        <w:t>ación</w:t>
      </w:r>
      <w:r>
        <w:rPr>
          <w:b w:val="false"/>
          <w:bCs w:val="false"/>
          <w:i/>
          <w:iCs/>
        </w:rPr>
        <w:t xml:space="preserve"> entre softwares tipo SGD para clinicas</w:t>
      </w:r>
    </w:p>
    <w:tbl>
      <w:tblPr>
        <w:tblW w:w="9658" w:type="dxa"/>
        <w:jc w:val="start"/>
        <w:tblInd w:w="0" w:type="dxa"/>
        <w:tblLayout w:type="fixed"/>
        <w:tblCellMar>
          <w:top w:w="55" w:type="dxa"/>
          <w:start w:w="55" w:type="dxa"/>
          <w:bottom w:w="150" w:type="dxa"/>
          <w:end w:w="55" w:type="dxa"/>
        </w:tblCellMar>
      </w:tblPr>
      <w:tblGrid>
        <w:gridCol w:w="1692"/>
        <w:gridCol w:w="2273"/>
        <w:gridCol w:w="1574"/>
        <w:gridCol w:w="4119"/>
      </w:tblGrid>
      <w:tr>
        <w:trPr>
          <w:tblHeader w:val="true"/>
        </w:trPr>
        <w:tc>
          <w:tcPr>
            <w:tcW w:w="1692" w:type="dxa"/>
            <w:tcBorders>
              <w:bottom w:val="single" w:sz="4" w:space="0" w:color="000000"/>
              <w:end w:val="single" w:sz="4" w:space="0" w:color="000000"/>
            </w:tcBorders>
            <w:vAlign w:val="center"/>
          </w:tcPr>
          <w:p>
            <w:pPr>
              <w:pStyle w:val="Ttulodelatabla"/>
              <w:spacing w:before="113" w:after="113"/>
              <w:rPr/>
            </w:pPr>
            <w:r>
              <w:rPr/>
              <w:t>Sistema</w:t>
            </w:r>
          </w:p>
        </w:tc>
        <w:tc>
          <w:tcPr>
            <w:tcW w:w="2273" w:type="dxa"/>
            <w:tcBorders>
              <w:bottom w:val="single" w:sz="4" w:space="0" w:color="000000"/>
            </w:tcBorders>
            <w:vAlign w:val="center"/>
          </w:tcPr>
          <w:p>
            <w:pPr>
              <w:pStyle w:val="Ttulodelatabla"/>
              <w:spacing w:before="113" w:after="113"/>
              <w:rPr/>
            </w:pPr>
            <w:r>
              <w:rPr/>
              <w:t>Enfoque</w:t>
            </w:r>
          </w:p>
        </w:tc>
        <w:tc>
          <w:tcPr>
            <w:tcW w:w="1574" w:type="dxa"/>
            <w:tcBorders>
              <w:bottom w:val="single" w:sz="4" w:space="0" w:color="000000"/>
            </w:tcBorders>
            <w:vAlign w:val="center"/>
          </w:tcPr>
          <w:p>
            <w:pPr>
              <w:pStyle w:val="Ttulodelatabla"/>
              <w:spacing w:before="113" w:after="113"/>
              <w:rPr/>
            </w:pPr>
            <w:r>
              <w:rPr/>
              <w:t>Licencia</w:t>
            </w:r>
          </w:p>
        </w:tc>
        <w:tc>
          <w:tcPr>
            <w:tcW w:w="4119" w:type="dxa"/>
            <w:tcBorders>
              <w:bottom w:val="single" w:sz="4" w:space="0" w:color="000000"/>
            </w:tcBorders>
            <w:vAlign w:val="center"/>
          </w:tcPr>
          <w:p>
            <w:pPr>
              <w:pStyle w:val="Ttulodelatabla"/>
              <w:spacing w:before="113" w:after="113"/>
              <w:rPr/>
            </w:pPr>
            <w:r>
              <w:rPr/>
              <w:t>Característica relevante</w:t>
            </w:r>
          </w:p>
        </w:tc>
      </w:tr>
      <w:tr>
        <w:trPr/>
        <w:tc>
          <w:tcPr>
            <w:tcW w:w="1692" w:type="dxa"/>
            <w:tcBorders>
              <w:end w:val="single" w:sz="4" w:space="0" w:color="000000"/>
            </w:tcBorders>
            <w:vAlign w:val="center"/>
          </w:tcPr>
          <w:p>
            <w:pPr>
              <w:pStyle w:val="Contenidodelatabla"/>
              <w:spacing w:before="113" w:after="113"/>
              <w:rPr/>
            </w:pPr>
            <w:r>
              <w:rPr>
                <w:rStyle w:val="Strong"/>
              </w:rPr>
              <w:t>Alfresco Community</w:t>
            </w:r>
          </w:p>
        </w:tc>
        <w:tc>
          <w:tcPr>
            <w:tcW w:w="2273" w:type="dxa"/>
            <w:tcBorders/>
            <w:vAlign w:val="center"/>
          </w:tcPr>
          <w:p>
            <w:pPr>
              <w:pStyle w:val="Contenidodelatabla"/>
              <w:spacing w:before="113" w:after="113"/>
              <w:rPr/>
            </w:pPr>
            <w:r>
              <w:rPr/>
              <w:t>ECM (gestión documental general)</w:t>
            </w:r>
          </w:p>
        </w:tc>
        <w:tc>
          <w:tcPr>
            <w:tcW w:w="1574" w:type="dxa"/>
            <w:tcBorders/>
            <w:vAlign w:val="center"/>
          </w:tcPr>
          <w:p>
            <w:pPr>
              <w:pStyle w:val="Contenidodelatabla"/>
              <w:spacing w:before="113" w:after="113"/>
              <w:rPr/>
            </w:pPr>
            <w:r>
              <w:rPr/>
              <w:t>Open Source (LGPL)</w:t>
            </w:r>
          </w:p>
        </w:tc>
        <w:tc>
          <w:tcPr>
            <w:tcW w:w="4119" w:type="dxa"/>
            <w:tcBorders/>
            <w:vAlign w:val="center"/>
          </w:tcPr>
          <w:p>
            <w:pPr>
              <w:pStyle w:val="Contenidodelatabla"/>
              <w:spacing w:before="113" w:after="113"/>
              <w:rPr/>
            </w:pPr>
            <w:r>
              <w:rPr/>
              <w:t>Control de versiones, flujos de aprobación, modelos de contenido personalizables.</w:t>
            </w:r>
          </w:p>
        </w:tc>
      </w:tr>
      <w:tr>
        <w:trPr/>
        <w:tc>
          <w:tcPr>
            <w:tcW w:w="1692" w:type="dxa"/>
            <w:tcBorders>
              <w:end w:val="single" w:sz="4" w:space="0" w:color="000000"/>
            </w:tcBorders>
            <w:vAlign w:val="center"/>
          </w:tcPr>
          <w:p>
            <w:pPr>
              <w:pStyle w:val="Contenidodelatabla"/>
              <w:spacing w:before="113" w:after="113"/>
              <w:rPr/>
            </w:pPr>
            <w:r>
              <w:rPr>
                <w:rStyle w:val="Strong"/>
              </w:rPr>
              <w:t>OpenMRS</w:t>
            </w:r>
          </w:p>
        </w:tc>
        <w:tc>
          <w:tcPr>
            <w:tcW w:w="2273" w:type="dxa"/>
            <w:tcBorders/>
            <w:vAlign w:val="center"/>
          </w:tcPr>
          <w:p>
            <w:pPr>
              <w:pStyle w:val="Contenidodelatabla"/>
              <w:spacing w:before="113" w:after="113"/>
              <w:rPr/>
            </w:pPr>
            <w:r>
              <w:rPr/>
              <w:t>Plataforma de datos clínicos</w:t>
            </w:r>
          </w:p>
        </w:tc>
        <w:tc>
          <w:tcPr>
            <w:tcW w:w="1574" w:type="dxa"/>
            <w:tcBorders/>
            <w:vAlign w:val="center"/>
          </w:tcPr>
          <w:p>
            <w:pPr>
              <w:pStyle w:val="Contenidodelatabla"/>
              <w:spacing w:before="113" w:after="113"/>
              <w:rPr/>
            </w:pPr>
            <w:r>
              <w:rPr/>
              <w:t>Open Source (MPL 2.0)</w:t>
            </w:r>
          </w:p>
        </w:tc>
        <w:tc>
          <w:tcPr>
            <w:tcW w:w="4119" w:type="dxa"/>
            <w:tcBorders/>
            <w:vAlign w:val="center"/>
          </w:tcPr>
          <w:p>
            <w:pPr>
              <w:pStyle w:val="Contenidodelatabla"/>
              <w:spacing w:before="113" w:after="113"/>
              <w:rPr/>
            </w:pPr>
            <w:r>
              <w:rPr/>
              <w:t>Diccionario de conceptos estandarizados, interoperabilidad FHIR, amplia comunidad.</w:t>
            </w:r>
          </w:p>
        </w:tc>
      </w:tr>
      <w:tr>
        <w:trPr/>
        <w:tc>
          <w:tcPr>
            <w:tcW w:w="1692" w:type="dxa"/>
            <w:tcBorders>
              <w:end w:val="single" w:sz="4" w:space="0" w:color="000000"/>
            </w:tcBorders>
            <w:vAlign w:val="center"/>
          </w:tcPr>
          <w:p>
            <w:pPr>
              <w:pStyle w:val="Contenidodelatabla"/>
              <w:spacing w:before="113" w:after="113"/>
              <w:rPr/>
            </w:pPr>
            <w:r>
              <w:rPr>
                <w:rStyle w:val="Strong"/>
              </w:rPr>
              <w:t>Medesk</w:t>
            </w:r>
          </w:p>
        </w:tc>
        <w:tc>
          <w:tcPr>
            <w:tcW w:w="2273" w:type="dxa"/>
            <w:tcBorders/>
            <w:vAlign w:val="center"/>
          </w:tcPr>
          <w:p>
            <w:pPr>
              <w:pStyle w:val="Contenidodelatabla"/>
              <w:spacing w:before="113" w:after="113"/>
              <w:rPr/>
            </w:pPr>
            <w:r>
              <w:rPr/>
              <w:t>Gestión clínica y administrativa</w:t>
            </w:r>
          </w:p>
        </w:tc>
        <w:tc>
          <w:tcPr>
            <w:tcW w:w="1574" w:type="dxa"/>
            <w:tcBorders/>
            <w:vAlign w:val="center"/>
          </w:tcPr>
          <w:p>
            <w:pPr>
              <w:pStyle w:val="Contenidodelatabla"/>
              <w:spacing w:before="113" w:after="113"/>
              <w:rPr/>
            </w:pPr>
            <w:r>
              <w:rPr/>
              <w:t>Comercial (SaaS)</w:t>
            </w:r>
          </w:p>
        </w:tc>
        <w:tc>
          <w:tcPr>
            <w:tcW w:w="4119" w:type="dxa"/>
            <w:tcBorders/>
            <w:vAlign w:val="center"/>
          </w:tcPr>
          <w:p>
            <w:pPr>
              <w:pStyle w:val="Contenidodelatabla"/>
              <w:spacing w:before="113" w:after="113"/>
              <w:rPr/>
            </w:pPr>
            <w:r>
              <w:rPr/>
              <w:t>Historia clínica estructurada, telemedicina integrada, facturación.</w:t>
            </w:r>
          </w:p>
        </w:tc>
      </w:tr>
      <w:tr>
        <w:trPr/>
        <w:tc>
          <w:tcPr>
            <w:tcW w:w="1692" w:type="dxa"/>
            <w:tcBorders>
              <w:end w:val="single" w:sz="4" w:space="0" w:color="000000"/>
            </w:tcBorders>
            <w:vAlign w:val="center"/>
          </w:tcPr>
          <w:p>
            <w:pPr>
              <w:pStyle w:val="Contenidodelatabla"/>
              <w:spacing w:before="113" w:after="113"/>
              <w:rPr/>
            </w:pPr>
            <w:r>
              <w:rPr>
                <w:rStyle w:val="Strong"/>
              </w:rPr>
              <w:t>Cliniko</w:t>
            </w:r>
          </w:p>
        </w:tc>
        <w:tc>
          <w:tcPr>
            <w:tcW w:w="2273" w:type="dxa"/>
            <w:tcBorders/>
            <w:vAlign w:val="center"/>
          </w:tcPr>
          <w:p>
            <w:pPr>
              <w:pStyle w:val="Contenidodelatabla"/>
              <w:spacing w:before="113" w:after="113"/>
              <w:rPr/>
            </w:pPr>
            <w:r>
              <w:rPr/>
              <w:t>Gestión de prácticas</w:t>
            </w:r>
          </w:p>
        </w:tc>
        <w:tc>
          <w:tcPr>
            <w:tcW w:w="1574" w:type="dxa"/>
            <w:tcBorders/>
            <w:vAlign w:val="center"/>
          </w:tcPr>
          <w:p>
            <w:pPr>
              <w:pStyle w:val="Contenidodelatabla"/>
              <w:spacing w:before="113" w:after="113"/>
              <w:rPr/>
            </w:pPr>
            <w:r>
              <w:rPr/>
              <w:t>Comercial (SaaS)</w:t>
            </w:r>
          </w:p>
        </w:tc>
        <w:tc>
          <w:tcPr>
            <w:tcW w:w="4119" w:type="dxa"/>
            <w:tcBorders/>
            <w:vAlign w:val="center"/>
          </w:tcPr>
          <w:p>
            <w:pPr>
              <w:pStyle w:val="Contenidodelatabla"/>
              <w:spacing w:before="113" w:after="113"/>
              <w:rPr/>
            </w:pPr>
            <w:r>
              <w:rPr/>
              <w:t>Calendario, notas de tratamiento, telesalud, multi-sede.</w:t>
            </w:r>
          </w:p>
        </w:tc>
      </w:tr>
      <w:tr>
        <w:trPr/>
        <w:tc>
          <w:tcPr>
            <w:tcW w:w="1692" w:type="dxa"/>
            <w:tcBorders>
              <w:end w:val="single" w:sz="4" w:space="0" w:color="000000"/>
            </w:tcBorders>
            <w:vAlign w:val="center"/>
          </w:tcPr>
          <w:p>
            <w:pPr>
              <w:pStyle w:val="Contenidodelatabla"/>
              <w:spacing w:before="113" w:after="113"/>
              <w:rPr/>
            </w:pPr>
            <w:r>
              <w:rPr>
                <w:rStyle w:val="Strong"/>
              </w:rPr>
              <w:t>OpenEMR</w:t>
            </w:r>
          </w:p>
        </w:tc>
        <w:tc>
          <w:tcPr>
            <w:tcW w:w="2273" w:type="dxa"/>
            <w:tcBorders/>
            <w:vAlign w:val="center"/>
          </w:tcPr>
          <w:p>
            <w:pPr>
              <w:pStyle w:val="Contenidodelatabla"/>
              <w:spacing w:before="113" w:after="113"/>
              <w:rPr/>
            </w:pPr>
            <w:r>
              <w:rPr/>
              <w:t>EHR y gestión de práctica</w:t>
            </w:r>
          </w:p>
        </w:tc>
        <w:tc>
          <w:tcPr>
            <w:tcW w:w="1574" w:type="dxa"/>
            <w:tcBorders/>
            <w:vAlign w:val="center"/>
          </w:tcPr>
          <w:p>
            <w:pPr>
              <w:pStyle w:val="Contenidodelatabla"/>
              <w:spacing w:before="113" w:after="113"/>
              <w:rPr/>
            </w:pPr>
            <w:r>
              <w:rPr/>
              <w:t>Open Source</w:t>
            </w:r>
          </w:p>
        </w:tc>
        <w:tc>
          <w:tcPr>
            <w:tcW w:w="4119" w:type="dxa"/>
            <w:tcBorders/>
            <w:vAlign w:val="center"/>
          </w:tcPr>
          <w:p>
            <w:pPr>
              <w:pStyle w:val="Contenidodelatabla"/>
              <w:spacing w:before="113" w:after="113"/>
              <w:rPr/>
            </w:pPr>
            <w:r>
              <w:rPr/>
              <w:t>Historia clínica, portal del paciente, facturación, soporte FHIR.</w:t>
            </w:r>
          </w:p>
        </w:tc>
      </w:tr>
    </w:tbl>
    <w:p>
      <w:pPr>
        <w:pStyle w:val="BodyText"/>
        <w:ind w:hanging="0" w:start="0"/>
        <w:rPr>
          <w:i/>
        </w:rPr>
      </w:pPr>
      <w:r>
        <w:rPr>
          <w:i/>
          <w:iCs/>
        </w:rPr>
        <w:t xml:space="preserve">Nota. </w:t>
      </w:r>
      <w:r>
        <w:rPr>
          <w:i/>
          <w:iCs/>
        </w:rPr>
        <w:t>Ninguno de los sistemas ofrece de forma nativa e integrada las dos innovaciones que se proponen para el SGD para clínicas.</w:t>
      </w:r>
    </w:p>
    <w:p>
      <w:pPr>
        <w:pStyle w:val="Heading2"/>
        <w:numPr>
          <w:ilvl w:val="1"/>
          <w:numId w:val="3"/>
        </w:numPr>
        <w:ind w:hanging="0" w:start="0"/>
        <w:rPr/>
      </w:pPr>
      <w:bookmarkStart w:id="8" w:name="__RefHeading___Toc7539_371365040"/>
      <w:bookmarkEnd w:id="8"/>
      <w:r>
        <w:rPr/>
        <w:t>Casos de estudio</w:t>
      </w:r>
    </w:p>
    <w:p>
      <w:pPr>
        <w:pStyle w:val="BodyText"/>
        <w:rPr/>
      </w:pPr>
      <w:r>
        <w:rPr/>
        <w:t>Se documentaron tres instituciones de salud de la región, cuyas problemáticas fundamentan la necesidad del sistema.</w:t>
      </w:r>
    </w:p>
    <w:p>
      <w:pPr>
        <w:pStyle w:val="Heading3"/>
        <w:numPr>
          <w:ilvl w:val="2"/>
          <w:numId w:val="3"/>
        </w:numPr>
        <w:ind w:hanging="0" w:start="0"/>
        <w:rPr/>
      </w:pPr>
      <w:bookmarkStart w:id="9" w:name="__RefHeading___Toc7541_371365040"/>
      <w:bookmarkEnd w:id="9"/>
      <w:r>
        <w:rPr/>
        <w:t>Centro de diagnóstico Future (Santa Cruz)</w:t>
      </w:r>
    </w:p>
    <w:p>
      <w:pPr>
        <w:pStyle w:val="BodyText"/>
        <w:rPr/>
      </w:pPr>
      <w:r>
        <w:rPr>
          <w:rStyle w:val="Strong"/>
        </w:rPr>
        <w:t>Contexto:</w:t>
      </w:r>
      <w:r>
        <w:rPr/>
        <w:t> 80–150 pacientes/día; cada paciente genera imágenes DICOM (10 MB–500+ MB) más 2–5 hojas de informe.</w:t>
      </w:r>
    </w:p>
    <w:p>
      <w:pPr>
        <w:pStyle w:val="BodyText"/>
        <w:rPr/>
      </w:pPr>
      <w:r>
        <w:rPr>
          <w:rStyle w:val="Strong"/>
        </w:rPr>
        <w:t>Problemas:</w:t>
      </w:r>
      <w:r>
        <w:rPr/>
        <w:t> </w:t>
      </w:r>
      <w:r>
        <w:rPr/>
        <w:t>A</w:t>
      </w:r>
      <w:r>
        <w:rPr/>
        <w:t>cceso limitado a la información médica completa; ausencia de aplicación móvil; gestión parcial de la historia clínica sin integración completa.</w:t>
      </w:r>
    </w:p>
    <w:p>
      <w:pPr>
        <w:pStyle w:val="BodyText"/>
        <w:rPr/>
      </w:pPr>
      <w:r>
        <w:rPr>
          <w:rStyle w:val="Strong"/>
        </w:rPr>
        <w:t>Hallazgo clave:</w:t>
      </w:r>
      <w:r>
        <w:rPr/>
        <w:t> </w:t>
      </w:r>
      <w:r>
        <w:rPr/>
        <w:t>E</w:t>
      </w:r>
      <w:r>
        <w:rPr/>
        <w:t>l sistema actual no integra toda la historia clínica, limitándose a gestionar estudios y resultados de forma aislada.</w:t>
      </w:r>
    </w:p>
    <w:p>
      <w:pPr>
        <w:pStyle w:val="Heading3"/>
        <w:numPr>
          <w:ilvl w:val="2"/>
          <w:numId w:val="3"/>
        </w:numPr>
        <w:ind w:hanging="0" w:start="0"/>
        <w:rPr/>
      </w:pPr>
      <w:bookmarkStart w:id="10" w:name="__RefHeading___Toc7543_371365040"/>
      <w:bookmarkEnd w:id="10"/>
      <w:r>
        <w:rPr/>
        <w:t>Hospital San Juan de Dios</w:t>
      </w:r>
    </w:p>
    <w:p>
      <w:pPr>
        <w:pStyle w:val="BodyText"/>
        <w:rPr/>
      </w:pPr>
      <w:r>
        <w:rPr>
          <w:rStyle w:val="Strong"/>
        </w:rPr>
        <w:t>Contexto:</w:t>
      </w:r>
      <w:r>
        <w:rPr/>
        <w:t> 300–500 consultas externas más emergencias diarias; expedientes de pacientes crónicos con 200–500 páginas físicas.</w:t>
      </w:r>
    </w:p>
    <w:p>
      <w:pPr>
        <w:pStyle w:val="BodyText"/>
        <w:rPr/>
      </w:pPr>
      <w:r>
        <w:rPr>
          <w:rStyle w:val="Strong"/>
        </w:rPr>
        <w:t>Problemas:</w:t>
      </w:r>
      <w:r>
        <w:rPr/>
        <w:t> </w:t>
      </w:r>
      <w:r>
        <w:rPr/>
        <w:t>P</w:t>
      </w:r>
      <w:r>
        <w:rPr/>
        <w:t>érdida y deterioro de documentos; acceso lento (horas para localizar un expediente); confidencialidad vulnerable; costos elevados; vacío normativo sobre plazos de conservación.</w:t>
      </w:r>
    </w:p>
    <w:p>
      <w:pPr>
        <w:pStyle w:val="BodyText"/>
        <w:rPr/>
      </w:pPr>
      <w:r>
        <w:rPr>
          <w:rStyle w:val="Strong"/>
        </w:rPr>
        <w:t>Hallazgo clave:</w:t>
      </w:r>
      <w:r>
        <w:rPr/>
        <w:t> </w:t>
      </w:r>
      <w:r>
        <w:rPr/>
        <w:t>E</w:t>
      </w:r>
      <w:r>
        <w:rPr/>
        <w:t>l principal obstáculo para la digitalización es la validez legal de los documentos digitales, ya que actualmente se exige respaldo en papel con firmas y sellos.</w:t>
      </w:r>
    </w:p>
    <w:p>
      <w:pPr>
        <w:pStyle w:val="Heading3"/>
        <w:numPr>
          <w:ilvl w:val="2"/>
          <w:numId w:val="3"/>
        </w:numPr>
        <w:ind w:hanging="0" w:start="0"/>
        <w:rPr/>
      </w:pPr>
      <w:bookmarkStart w:id="11" w:name="__RefHeading___Toc7545_371365040"/>
      <w:bookmarkEnd w:id="11"/>
      <w:r>
        <w:rPr/>
        <w:t>Hospital Francés (público)</w:t>
      </w:r>
    </w:p>
    <w:p>
      <w:pPr>
        <w:pStyle w:val="BodyText"/>
        <w:rPr/>
      </w:pPr>
      <w:r>
        <w:rPr>
          <w:rStyle w:val="Strong"/>
        </w:rPr>
        <w:t>Contexto:</w:t>
      </w:r>
      <w:r>
        <w:rPr/>
        <w:t> 200–250 pacientes nuevos/mes; gestión 90% en papel, 10% digital (correo/WhatsApp); tiempo de acceso al historial en emergencias: 3–4 horas.</w:t>
      </w:r>
    </w:p>
    <w:p>
      <w:pPr>
        <w:pStyle w:val="BodyText"/>
        <w:rPr/>
      </w:pPr>
      <w:r>
        <w:rPr>
          <w:rStyle w:val="Strong"/>
        </w:rPr>
        <w:t>Problemas:</w:t>
      </w:r>
      <w:r>
        <w:rPr/>
        <w:t> </w:t>
      </w:r>
      <w:r>
        <w:rPr/>
        <w:t>S</w:t>
      </w:r>
      <w:r>
        <w:rPr/>
        <w:t>in respaldo documental ante pérdida; información fragmentada entre hospitales; baja familiaridad tecnológica del personal; restricción legal que exige sello físico y firma manuscrita.</w:t>
      </w:r>
    </w:p>
    <w:p>
      <w:pPr>
        <w:pStyle w:val="BodyText"/>
        <w:rPr/>
      </w:pPr>
      <w:r>
        <w:rPr>
          <w:rStyle w:val="Strong"/>
        </w:rPr>
        <w:t>Hallazgo clave:</w:t>
      </w:r>
      <w:r>
        <w:rPr/>
        <w:t> </w:t>
      </w:r>
      <w:r>
        <w:rPr/>
        <w:t>U</w:t>
      </w:r>
      <w:r>
        <w:rPr/>
        <w:t>na solución digital viable debe coexistir con el documento físico, empleando interfaces basadas en texto descriptivo (la iconografía es insuficiente para representar información clínica).</w:t>
      </w:r>
    </w:p>
    <w:p>
      <w:pPr>
        <w:pStyle w:val="Heading2"/>
        <w:numPr>
          <w:ilvl w:val="1"/>
          <w:numId w:val="3"/>
        </w:numPr>
        <w:ind w:hanging="0" w:start="0"/>
        <w:rPr/>
      </w:pPr>
      <w:bookmarkStart w:id="12" w:name="__RefHeading___Toc7547_371365040"/>
      <w:bookmarkEnd w:id="12"/>
      <w:r>
        <w:rPr/>
        <w:t>Innovación propuesta</w:t>
      </w:r>
    </w:p>
    <w:p>
      <w:pPr>
        <w:pStyle w:val="BodyText"/>
        <w:rPr/>
      </w:pPr>
      <w:r>
        <w:rPr/>
        <w:t>Para responder a las brechas identificadas y ofrecer valor diferenciado en el contexto sanitario boliviano, el SGD para clínicas incorporará dos características que no están presentes de forma nativa en los sistemas analizados.</w:t>
      </w:r>
    </w:p>
    <w:p>
      <w:pPr>
        <w:pStyle w:val="Heading3"/>
        <w:numPr>
          <w:ilvl w:val="2"/>
          <w:numId w:val="3"/>
        </w:numPr>
        <w:ind w:hanging="0" w:start="0"/>
        <w:rPr/>
      </w:pPr>
      <w:bookmarkStart w:id="13" w:name="__RefHeading___Toc7549_371365040"/>
      <w:bookmarkEnd w:id="13"/>
      <w:r>
        <w:rPr/>
        <w:t>OCR con clasificación automática de documentos</w:t>
      </w:r>
    </w:p>
    <w:p>
      <w:pPr>
        <w:pStyle w:val="BodyText"/>
        <w:rPr/>
      </w:pPr>
      <w:r>
        <w:rPr>
          <w:rStyle w:val="Strong"/>
        </w:rPr>
        <w:t>Descripción:</w:t>
      </w:r>
      <w:r>
        <w:rPr/>
        <w:t> </w:t>
      </w:r>
      <w:r>
        <w:rPr/>
        <w:t>M</w:t>
      </w:r>
      <w:r>
        <w:rPr/>
        <w:t>ódulo que digitaliza documentos físicos mediante escaneo o cámara, aplica reconocimiento óptico de caracteres (OCR) y clasifica automáticamente el tipo de formulario (HC-10, receta, resultado de laboratorio, etc.) utilizando visión por computadora y reconocimiento de entidades nombradas (NER) para extraer datos clave (paciente, fecha, diagnóstico).</w:t>
      </w:r>
    </w:p>
    <w:p>
      <w:pPr>
        <w:pStyle w:val="BodyText"/>
        <w:rPr/>
      </w:pPr>
      <w:r>
        <w:rPr>
          <w:rStyle w:val="Strong"/>
        </w:rPr>
        <w:t>Problema que resuelve:</w:t>
      </w:r>
      <w:r>
        <w:rPr/>
        <w:t> </w:t>
      </w:r>
      <w:r>
        <w:rPr/>
        <w:t>E</w:t>
      </w:r>
      <w:r>
        <w:rPr/>
        <w:t>limina la clasificación manual, reduciendo tiempos y errores en el ingreso de documentación histórica.</w:t>
      </w:r>
    </w:p>
    <w:p>
      <w:pPr>
        <w:pStyle w:val="Heading3"/>
        <w:numPr>
          <w:ilvl w:val="2"/>
          <w:numId w:val="3"/>
        </w:numPr>
        <w:ind w:hanging="0" w:start="0"/>
        <w:rPr/>
      </w:pPr>
      <w:bookmarkStart w:id="14" w:name="__RefHeading___Toc7551_371365040"/>
      <w:bookmarkEnd w:id="14"/>
      <w:r>
        <w:rPr/>
        <w:t>Alertas de vencimiento documental</w:t>
      </w:r>
    </w:p>
    <w:p>
      <w:pPr>
        <w:pStyle w:val="BodyText"/>
        <w:rPr/>
      </w:pPr>
      <w:r>
        <w:rPr>
          <w:rStyle w:val="Strong"/>
        </w:rPr>
        <w:t>Descripción:</w:t>
      </w:r>
      <w:r>
        <w:rPr/>
        <w:t> sistema de notificaciones automáticas que advierte cuando un documento crítico (consentimiento informado, credencial profesional, autorización de procedimiento, etc.) está próximo a vencer o ha expirado.</w:t>
      </w:r>
    </w:p>
    <w:p>
      <w:pPr>
        <w:pStyle w:val="BodyText"/>
        <w:rPr/>
      </w:pPr>
      <w:r>
        <w:rPr>
          <w:rStyle w:val="Strong"/>
        </w:rPr>
        <w:t>Problema que resuelve</w:t>
      </w:r>
      <w:r>
        <w:rPr>
          <w:rStyle w:val="Strong"/>
        </w:rPr>
        <w:t>:</w:t>
      </w:r>
      <w:r>
        <w:rPr/>
        <w:t xml:space="preserve"> En un entorno regulativo donde los plazos de vigencia no siempre están claramente normalizados, esta característica proporciona una ventaja competitiva tangible y medible. </w:t>
      </w:r>
      <w:r>
        <w:rPr/>
        <w:t>Permite una r</w:t>
      </w:r>
      <w:r>
        <w:rPr/>
        <w:t>educción de riesgos legales, mejora en la auditoría de cumplimiento normativo y optimización de la gestión administrativa.</w:t>
      </w:r>
    </w:p>
    <w:p>
      <w:pPr>
        <w:pStyle w:val="Heading1"/>
        <w:numPr>
          <w:ilvl w:val="0"/>
          <w:numId w:val="3"/>
        </w:numPr>
        <w:ind w:hanging="0" w:start="0"/>
        <w:rPr/>
      </w:pPr>
      <w:bookmarkStart w:id="15" w:name="__RefHeading___Toc12549_3972331205"/>
      <w:bookmarkStart w:id="16" w:name="_cndxddny2ozq"/>
      <w:bookmarkEnd w:id="15"/>
      <w:bookmarkEnd w:id="16"/>
      <w:r>
        <w:rPr/>
        <w:t>Descripción del problema</w:t>
      </w:r>
    </w:p>
    <w:p>
      <w:pPr>
        <w:pStyle w:val="BodyText"/>
        <w:rPr/>
      </w:pPr>
      <w:r>
        <w:rPr/>
        <w:t>Los hospitales y redes de clínicas gestionan diariamente volúmenes considerables de documentación clínica y administrativa: historias médicas, consentimientos informados, resultados de laboratorio, órdenes de diagnóstico por imagen, certificados de habilitación profesional y registros de facturación, entre otros. En la mayoría de las instituciones de salud de la región, esta documentación se administra de forma predominantemente manual y en soporte físico, lo que genera una cadena de problemas interrelacionados que afectan tanto la calidad de atención al paciente como la sostenibilidad operativa y económica de la institución.</w:t>
      </w:r>
    </w:p>
    <w:p>
      <w:pPr>
        <w:pStyle w:val="BodyText"/>
        <w:rPr/>
      </w:pPr>
      <w:r>
        <w:rPr/>
        <w:t>A continuación se describen los problemas identificados a partir del levantamiento realizado en tres instituciones de salud de la ciudad de Santa Cruz de la Sierra.</w:t>
      </w:r>
    </w:p>
    <w:p>
      <w:pPr>
        <w:pStyle w:val="Heading2"/>
        <w:numPr>
          <w:ilvl w:val="1"/>
          <w:numId w:val="3"/>
        </w:numPr>
        <w:ind w:hanging="0" w:start="0"/>
        <w:rPr/>
      </w:pPr>
      <w:bookmarkStart w:id="17" w:name="__RefHeading___Toc7553_371365040"/>
      <w:bookmarkEnd w:id="17"/>
      <w:r>
        <w:rPr/>
        <w:t>Pérdida y deterioro de documentos físicos</w:t>
      </w:r>
    </w:p>
    <w:p>
      <w:pPr>
        <w:pStyle w:val="BodyText"/>
        <w:rPr/>
      </w:pPr>
      <w:r>
        <w:rPr/>
        <w:t>El soporte en papel expone la documentación clínica a riesgos físicos inevitables. En el Hospital San Juan de Dios se registraron pérdidas y deterioro de expedientes ocasionados por filtraciones de agua, con afectación a registros de pacientes crónicos cuyas historias clínicas acumulan entre 200 y 500 páginas. Una vez deteriorado un documento físico, su información es irrecuperable si no existe respaldo digital, lo que puede comprometer la continuidad del tratamiento médico y derivar en consecuencias legales para la institución.</w:t>
      </w:r>
    </w:p>
    <w:p>
      <w:pPr>
        <w:pStyle w:val="BodyText"/>
        <w:rPr/>
      </w:pPr>
      <w:r>
        <w:rPr/>
        <w:t>En el Hospital Francés, el 90% de la documentación se gestiona en papel, con únicamente un 10% en formato digital mediante correo electrónico y aplicaciones de mensajería no especializadas. Esta situación implica que la mayor parte del acervo documental de la institución carece de cualquier mecanismo de respaldo ante eventos de pérdida o daño.</w:t>
      </w:r>
    </w:p>
    <w:p>
      <w:pPr>
        <w:pStyle w:val="Heading2"/>
        <w:numPr>
          <w:ilvl w:val="1"/>
          <w:numId w:val="3"/>
        </w:numPr>
        <w:ind w:hanging="0" w:start="0"/>
        <w:rPr/>
      </w:pPr>
      <w:bookmarkStart w:id="18" w:name="__RefHeading___Toc7555_371365040"/>
      <w:bookmarkEnd w:id="18"/>
      <w:r>
        <w:rPr/>
        <w:t>Acceso lento a expedientes</w:t>
      </w:r>
    </w:p>
    <w:p>
      <w:pPr>
        <w:pStyle w:val="BodyText"/>
        <w:rPr/>
      </w:pPr>
      <w:r>
        <w:rPr/>
        <w:t>La recuperación manual de documentos físicos impone demoras críticas, especialmente en situaciones de urgencia médica. En el Hospital Francés se documentó un tiempo de acceso al historial clínico de un paciente en situación de emergencia de entre tres y cuatro horas. Este retardo no es una anomalía puntual sino una consecuencia estructural del modelo de archivo físico sin indexación automatizada.</w:t>
      </w:r>
    </w:p>
    <w:p>
      <w:pPr>
        <w:pStyle w:val="BodyText"/>
        <w:rPr/>
      </w:pPr>
      <w:r>
        <w:rPr/>
        <w:t>En el Hospital San Juan de Dios, la localización de un expediente puede requerir horas de búsqueda entre estantes de documentación no estandarizada, consumiendo tiempo de personal administrativo que podría destinarse a tareas de mayor valor. En el Centro de Diagnóstico Future, donde se atienden entre 80 y 150 pacientes por día y cada uno genera entre 2 y 5 hojas de informe además de imágenes de entre 10 MB y 500 MB, la ausencia de un sistema integrado obliga al personal a consultar fuentes dispersas para reconstruir el historial de un paciente.</w:t>
      </w:r>
    </w:p>
    <w:p>
      <w:pPr>
        <w:pStyle w:val="Heading2"/>
        <w:numPr>
          <w:ilvl w:val="1"/>
          <w:numId w:val="3"/>
        </w:numPr>
        <w:ind w:hanging="0" w:start="0"/>
        <w:rPr/>
      </w:pPr>
      <w:bookmarkStart w:id="19" w:name="__RefHeading___Toc7557_371365040"/>
      <w:bookmarkEnd w:id="19"/>
      <w:r>
        <w:rPr/>
        <w:t>Ausencia de control de acceso y vulnerabilidad de la confidencialidad</w:t>
      </w:r>
    </w:p>
    <w:p>
      <w:pPr>
        <w:pStyle w:val="BodyText"/>
        <w:rPr/>
      </w:pPr>
      <w:r>
        <w:rPr/>
        <w:t>En ninguna de las tres instituciones relevadas se identificó un mecanismo formal de control de acceso a la documentación clínica. Cualquier miembro del personal con acceso físico al archivo puede consultar, retirar o modificar documentos sin dejar registro de la operación. Esta situación vulnera el principio de confidencialidad del dato clínico, expone a la institución a responsabilidades legales frente a los pacientes y dificulta cualquier proceso de auditoría interna o externa.</w:t>
      </w:r>
    </w:p>
    <w:p>
      <w:pPr>
        <w:pStyle w:val="BodyText"/>
        <w:rPr/>
      </w:pPr>
      <w:r>
        <w:rPr/>
        <w:t>En el Hospital San Juan de Dios se señaló explícitamente la ausencia de control de accesos como uno de los problemas críticos del sistema documental actual. La inexistencia de un historial de accesos impide determinar, ante una eventual reclamación, quién consultó o modificó un expediente y en qué momento.</w:t>
      </w:r>
    </w:p>
    <w:p>
      <w:pPr>
        <w:pStyle w:val="Heading2"/>
        <w:numPr>
          <w:ilvl w:val="1"/>
          <w:numId w:val="3"/>
        </w:numPr>
        <w:ind w:hanging="0" w:start="0"/>
        <w:rPr/>
      </w:pPr>
      <w:bookmarkStart w:id="20" w:name="__RefHeading___Toc7559_371365040"/>
      <w:bookmarkEnd w:id="20"/>
      <w:r>
        <w:rPr/>
        <w:t>Información fragmentada entre áreas e instituciones</w:t>
      </w:r>
    </w:p>
    <w:p>
      <w:pPr>
        <w:pStyle w:val="BodyText"/>
        <w:rPr/>
      </w:pPr>
      <w:r>
        <w:rPr/>
        <w:t>La documentación clínica de un mismo paciente frecuentemente se encuentra dispersa entre distintas áreas de una misma institución o entre diferentes instituciones donde el paciente fue atendido. En el Hospital Francés se identificó la ausencia total de interoperabilidad entre hospitales: cuando un paciente es referido o atendido en más de un centro, cada institución mantiene su propio expediente parcial sin posibilidad de consolidación.</w:t>
      </w:r>
    </w:p>
    <w:p>
      <w:pPr>
        <w:pStyle w:val="BodyText"/>
        <w:rPr/>
      </w:pPr>
      <w:r>
        <w:rPr/>
        <w:t>En el Centro de Diagnóstico Future, el sistema actual gestiona estudios y resultados de forma aislada, sin integrar la historia clínica completa del paciente. Esto obliga al médico tratante a solicitar información adicional que ya existe en el sistema pero no está accesible de forma unificada, generando duplicación de esfuerzos y riesgo de decisiones clínicas basadas en información incompleta.</w:t>
      </w:r>
    </w:p>
    <w:p>
      <w:pPr>
        <w:pStyle w:val="Heading2"/>
        <w:numPr>
          <w:ilvl w:val="1"/>
          <w:numId w:val="3"/>
        </w:numPr>
        <w:ind w:hanging="0" w:start="0"/>
        <w:rPr/>
      </w:pPr>
      <w:bookmarkStart w:id="21" w:name="__RefHeading___Toc7561_371365040"/>
      <w:bookmarkEnd w:id="21"/>
      <w:r>
        <w:rPr/>
        <w:t>Carga administrativa elevada por clasificación manual</w:t>
      </w:r>
    </w:p>
    <w:p>
      <w:pPr>
        <w:pStyle w:val="BodyText"/>
        <w:rPr/>
      </w:pPr>
      <w:r>
        <w:rPr/>
        <w:t>El ingreso, clasificación y archivo manual de documentos representa una carga de trabajo significativa para el personal administrativo. En instituciones con alto volumen de atención, como el Hospital San Juan de Dios con entre 300 y 500 consultas externas diarias más atenciones de emergencia, la clasificación manual de documentos consume recursos humanos de forma continua y está sujeta a errores de categorización, duplicación de registros y pérdida de documentos en el proceso de archivo.</w:t>
      </w:r>
    </w:p>
    <w:p>
      <w:pPr>
        <w:pStyle w:val="BodyText"/>
        <w:rPr/>
      </w:pPr>
      <w:r>
        <w:rPr/>
        <w:t>Esta carga se amplifica en el caso de la documentación histórica: la incorporación retroactiva de expedientes físicos al sistema requiere clasificar manualmente cada documento por tipo, paciente, fecha y área, una tarea que en instituciones con décadas de operación puede representar miles de páginas de documentación acumulada.</w:t>
      </w:r>
    </w:p>
    <w:p>
      <w:pPr>
        <w:pStyle w:val="Heading2"/>
        <w:numPr>
          <w:ilvl w:val="1"/>
          <w:numId w:val="3"/>
        </w:numPr>
        <w:ind w:hanging="0" w:start="0"/>
        <w:rPr/>
      </w:pPr>
      <w:bookmarkStart w:id="22" w:name="__RefHeading___Toc7563_371365040"/>
      <w:bookmarkEnd w:id="22"/>
      <w:r>
        <w:rPr/>
        <w:t>Riesgos y pérdidas económicas</w:t>
      </w:r>
    </w:p>
    <w:p>
      <w:pPr>
        <w:pStyle w:val="BodyText"/>
        <w:rPr/>
      </w:pPr>
      <w:r>
        <w:rPr/>
        <w:t>Los problemas descritos no son únicamente operativos: tienen consecuencias económicas directas y cuantificables.</w:t>
      </w:r>
    </w:p>
    <w:p>
      <w:pPr>
        <w:pStyle w:val="BodyText"/>
        <w:rPr/>
      </w:pPr>
      <w:r>
        <w:rPr>
          <w:rStyle w:val="Strong"/>
        </w:rPr>
        <w:t>Costos por ineficiencia operativa.</w:t>
      </w:r>
      <w:r>
        <w:rPr/>
        <w:t> El tiempo invertido por el personal administrativo en búsqueda, clasificación y archivo manual de documentos representa un costo de oportunidad real. Ese tiempo podría redirigirse hacia tareas de mayor valor para la institución. En instituciones con volúmenes de atención de entre 200 y 500 consultas diarias, incluso una reducción de 15 minutos por expediente en tiempos de búsqueda representa un ahorro significativo en horas-hombre mensuales.</w:t>
      </w:r>
    </w:p>
    <w:p>
      <w:pPr>
        <w:pStyle w:val="BodyText"/>
        <w:rPr/>
      </w:pPr>
      <w:r>
        <w:rPr>
          <w:rStyle w:val="Strong"/>
        </w:rPr>
        <w:t>Costos por materiales.</w:t>
      </w:r>
      <w:r>
        <w:rPr/>
        <w:t> El mantenimiento de un sistema documental físico implica gastos continuos en papel, tóner, mobiliario de archivo, espacio físico y personal dedicado a la gestión documental. En el Hospital San Juan de Dios estos costos fueron señalados explícitamente como un problema relevante.</w:t>
      </w:r>
    </w:p>
    <w:p>
      <w:pPr>
        <w:pStyle w:val="BodyText"/>
        <w:rPr/>
      </w:pPr>
      <w:r>
        <w:rPr>
          <w:rStyle w:val="Strong"/>
        </w:rPr>
        <w:t>Riesgo legal por documentación vencida o inválida.</w:t>
      </w:r>
      <w:r>
        <w:rPr/>
        <w:t> La ausencia de alertas sobre el vencimiento de documentos críticos —consentimientos informados, credenciales profesionales, autorizaciones de procedimientos— expone a las instituciones a sanciones regulatorias y a demandas civiles en caso de que un procedimiento sea cuestionado por falta de documentación válida vigente. En el contexto boliviano, donde los plazos de conservación documental no siempre están claramente normados, este riesgo es especialmente relevante.</w:t>
      </w:r>
    </w:p>
    <w:p>
      <w:pPr>
        <w:pStyle w:val="BodyText"/>
        <w:rPr/>
      </w:pPr>
      <w:r>
        <w:rPr>
          <w:rStyle w:val="Strong"/>
        </w:rPr>
        <w:t>Riesgo por pérdida irreversible de información.</w:t>
      </w:r>
      <w:r>
        <w:rPr/>
        <w:t> La destrucción de documentos físicos sin respaldo digital puede derivar en litigios donde la institución no puede probar la correcta prestación de un servicio médico, con consecuencias económicas y reputacionales de difícil cuantificación.</w:t>
      </w:r>
    </w:p>
    <w:p>
      <w:pPr>
        <w:pStyle w:val="BodyText"/>
        <w:rPr/>
      </w:pPr>
      <w:r>
        <w:rPr/>
        <w:t xml:space="preserve">La conjunción de estos problemas —pérdida de información, demoras en la atención, vulnerabilidad de datos, fragmentación documental, sobrecarga administrativa y exposición financiera— evidencia la necesidad de un sistema de gestión documental que, mediante la digitalización controlada, la automatización de procesos y la aplicación de controles de acceso y trazabilidad, transforme la gestión documental en un </w:t>
      </w:r>
      <w:r>
        <w:rPr/>
        <w:t>soporte para</w:t>
      </w:r>
      <w:r>
        <w:rPr/>
        <w:t xml:space="preserve"> la atención médica y no en un obstáculo.</w:t>
      </w:r>
    </w:p>
    <w:p>
      <w:pPr>
        <w:pStyle w:val="Heading1"/>
        <w:numPr>
          <w:ilvl w:val="0"/>
          <w:numId w:val="3"/>
        </w:numPr>
        <w:ind w:hanging="0" w:start="0"/>
        <w:rPr/>
      </w:pPr>
      <w:bookmarkStart w:id="23" w:name="__RefHeading___Toc12547_3972331205"/>
      <w:bookmarkStart w:id="24" w:name="_pwbb0g12n2zg"/>
      <w:bookmarkEnd w:id="23"/>
      <w:bookmarkEnd w:id="24"/>
      <w:r>
        <w:rPr/>
        <w:t>Objetivos del proyecto</w:t>
      </w:r>
    </w:p>
    <w:p>
      <w:pPr>
        <w:pStyle w:val="Heading2"/>
        <w:numPr>
          <w:ilvl w:val="1"/>
          <w:numId w:val="3"/>
        </w:numPr>
        <w:ind w:hanging="0" w:start="0"/>
        <w:rPr/>
      </w:pPr>
      <w:bookmarkStart w:id="25" w:name="__RefHeading___Toc12595_3972331205"/>
      <w:bookmarkStart w:id="26" w:name="_92kwh91zunu0"/>
      <w:bookmarkEnd w:id="25"/>
      <w:bookmarkEnd w:id="26"/>
      <w:r>
        <w:rPr/>
        <w:t>Objetivo general</w:t>
      </w:r>
    </w:p>
    <w:p>
      <w:pPr>
        <w:pStyle w:val="BodyText"/>
        <w:rPr/>
      </w:pPr>
      <w:r>
        <w:rPr/>
        <w:t>Desarrollar</w:t>
      </w:r>
      <w:r>
        <w:rPr/>
        <w:t xml:space="preserve"> un “MVP” de un sistema de gestión documental para hospitales y clínicas que centralice y controle el ciclo de vida de la documentación clínica y administrativa, reduciendo los riesgos asociados a la gestión manual.</w:t>
      </w:r>
    </w:p>
    <w:p>
      <w:pPr>
        <w:pStyle w:val="Heading2"/>
        <w:numPr>
          <w:ilvl w:val="1"/>
          <w:numId w:val="3"/>
        </w:numPr>
        <w:ind w:hanging="0" w:start="0"/>
        <w:rPr/>
      </w:pPr>
      <w:bookmarkStart w:id="27" w:name="__RefHeading___Toc12593_3972331205"/>
      <w:bookmarkStart w:id="28" w:name="_64r15chkzn9o"/>
      <w:bookmarkEnd w:id="27"/>
      <w:bookmarkEnd w:id="28"/>
      <w:r>
        <w:rPr/>
        <w:t>Objetivos específicos</w:t>
      </w:r>
    </w:p>
    <w:p>
      <w:pPr>
        <w:pStyle w:val="BodyText"/>
        <w:rPr/>
      </w:pPr>
      <w:r>
        <w:rPr>
          <w:b w:val="false"/>
          <w:bCs w:val="false"/>
          <w:i/>
          <w:iCs/>
          <w:u w:val="single"/>
        </w:rPr>
        <w:t>Analizar</w:t>
      </w:r>
      <w:r>
        <w:rPr>
          <w:i/>
          <w:iCs/>
          <w:u w:val="single"/>
        </w:rPr>
        <w:t xml:space="preserve"> los procesos documentales actuales de las instituciones de salud relevadas</w:t>
      </w:r>
      <w:r>
        <w:rPr/>
        <w:t xml:space="preserve"> </w:t>
      </w:r>
      <w:r>
        <w:rPr/>
        <w:t>i</w:t>
      </w:r>
      <w:r>
        <w:rPr>
          <w:i w:val="false"/>
          <w:iCs w:val="false"/>
        </w:rPr>
        <w:t>dentifica</w:t>
      </w:r>
      <w:r>
        <w:rPr>
          <w:i w:val="false"/>
          <w:iCs w:val="false"/>
        </w:rPr>
        <w:t>ndo</w:t>
      </w:r>
      <w:r>
        <w:rPr>
          <w:i w:val="false"/>
          <w:iCs w:val="false"/>
        </w:rPr>
        <w:t xml:space="preserve"> los flujos de trabajo, actores involucrados y puntos críticos de falla, como base para el diseño del sistema.</w:t>
      </w:r>
    </w:p>
    <w:p>
      <w:pPr>
        <w:pStyle w:val="BodyText"/>
        <w:rPr/>
      </w:pPr>
      <w:r>
        <w:rPr>
          <w:i/>
          <w:iCs/>
          <w:u w:val="single"/>
        </w:rPr>
        <w:t>Diseñar</w:t>
      </w:r>
      <w:r>
        <w:rPr>
          <w:i/>
          <w:iCs/>
          <w:u w:val="single"/>
        </w:rPr>
        <w:t xml:space="preserve"> un módulo de digitalización y carga de documentos</w:t>
      </w:r>
      <w:r>
        <w:rPr>
          <w:i/>
          <w:iCs/>
        </w:rPr>
        <w:t xml:space="preserve"> </w:t>
      </w:r>
      <w:r>
        <w:rPr>
          <w:i w:val="false"/>
          <w:iCs w:val="false"/>
        </w:rPr>
        <w:t>permitir</w:t>
      </w:r>
      <w:r>
        <w:rPr>
          <w:i w:val="false"/>
          <w:iCs w:val="false"/>
        </w:rPr>
        <w:t xml:space="preserve"> al personal administrativo incorporar documentación clínica y administrativa al sistema desde múltiples fuentes de entrada, incluyendo escaneo físico y carga de archivos digitales.</w:t>
      </w:r>
    </w:p>
    <w:p>
      <w:pPr>
        <w:pStyle w:val="BodyText"/>
        <w:rPr/>
      </w:pPr>
      <w:r>
        <w:rPr>
          <w:i/>
          <w:iCs/>
          <w:u w:val="single"/>
        </w:rPr>
        <w:t>Implementar</w:t>
      </w:r>
      <w:r>
        <w:rPr>
          <w:i/>
          <w:iCs/>
          <w:u w:val="single"/>
        </w:rPr>
        <w:t xml:space="preserve"> un módulo de OCR con clasificación automática</w:t>
      </w:r>
      <w:r>
        <w:rPr/>
        <w:t xml:space="preserve"> </w:t>
      </w:r>
      <w:r>
        <w:rPr>
          <w:i w:val="false"/>
          <w:iCs w:val="false"/>
        </w:rPr>
        <w:t>q</w:t>
      </w:r>
      <w:r>
        <w:rPr>
          <w:i w:val="false"/>
          <w:iCs w:val="false"/>
        </w:rPr>
        <w:t>ue permita reconocer el tipo de formulario de un documento digitalizado y extraer sus metadatos principales —paciente, fecha y tipo de documento— sin intervención manual del operador.</w:t>
      </w:r>
    </w:p>
    <w:p>
      <w:pPr>
        <w:pStyle w:val="BodyText"/>
        <w:rPr/>
      </w:pPr>
      <w:r>
        <w:rPr>
          <w:i/>
          <w:iCs/>
          <w:u w:val="single"/>
        </w:rPr>
        <w:t>Implementar un motor de búsqueda y recuperación de expedientes</w:t>
      </w:r>
      <w:r>
        <w:rPr/>
        <w:t xml:space="preserve"> </w:t>
      </w:r>
      <w:r>
        <w:rPr/>
        <w:t>q</w:t>
      </w:r>
      <w:r>
        <w:rPr/>
        <w:t>ue permita localizar cualquier documento indexado en el sistema en un tiempo significativamente menor al requerido por el proceso manual actual.</w:t>
      </w:r>
    </w:p>
    <w:p>
      <w:pPr>
        <w:pStyle w:val="BodyText"/>
        <w:rPr/>
      </w:pPr>
      <w:r>
        <w:rPr>
          <w:i/>
          <w:iCs/>
          <w:u w:val="single"/>
        </w:rPr>
        <w:t>Implementar un sistema de control de acceso basado en roles (RBAC)</w:t>
      </w:r>
      <w:r>
        <w:rPr/>
        <w:t xml:space="preserve"> </w:t>
      </w:r>
      <w:r>
        <w:rPr/>
        <w:t>q</w:t>
      </w:r>
      <w:r>
        <w:rPr/>
        <w:t>ue garantice que cada actor del sistema acceda únicamente a la documentación correspondiente a sus funciones, protegiendo la confidencialidad del dato clínico.</w:t>
      </w:r>
    </w:p>
    <w:p>
      <w:pPr>
        <w:pStyle w:val="BodyText"/>
        <w:rPr/>
      </w:pPr>
      <w:r>
        <w:rPr>
          <w:i/>
          <w:iCs/>
          <w:u w:val="single"/>
        </w:rPr>
        <w:t>Implementar un módulo de trazabilidad y auditoría</w:t>
      </w:r>
      <w:r>
        <w:rPr/>
        <w:t xml:space="preserve"> </w:t>
      </w:r>
      <w:r>
        <w:rPr/>
        <w:t>q</w:t>
      </w:r>
      <w:r>
        <w:rPr/>
        <w:t>ue registre de forma inmutable cada acción realizada sobre un documento —consulta, modificación, descarga o eliminación—, identificando el actor, la fecha y el tipo de operación.</w:t>
      </w:r>
    </w:p>
    <w:p>
      <w:pPr>
        <w:pStyle w:val="BodyText"/>
        <w:rPr/>
      </w:pPr>
      <w:r>
        <w:rPr>
          <w:i/>
          <w:iCs/>
          <w:u w:val="single"/>
        </w:rPr>
        <w:t>Integrar un sistema de alertas automáticas de vencimiento documental</w:t>
      </w:r>
      <w:r>
        <w:rPr/>
        <w:t xml:space="preserve"> </w:t>
      </w:r>
      <w:r>
        <w:rPr/>
        <w:t>q</w:t>
      </w:r>
      <w:r>
        <w:rPr/>
        <w:t>ue notifique con anticipación configurable cuando un documento crítico —consentimiento informado, credencial profesional, autorización de procedimiento— esté próximo a expirar o haya vencido.</w:t>
      </w:r>
    </w:p>
    <w:p>
      <w:pPr>
        <w:pStyle w:val="Heading1"/>
        <w:numPr>
          <w:ilvl w:val="0"/>
          <w:numId w:val="3"/>
        </w:numPr>
        <w:ind w:hanging="0" w:start="0"/>
        <w:rPr/>
      </w:pPr>
      <w:bookmarkStart w:id="29" w:name="__RefHeading___Toc12545_3972331205"/>
      <w:bookmarkStart w:id="30" w:name="_c7jwcr4c0pvx"/>
      <w:bookmarkEnd w:id="29"/>
      <w:bookmarkEnd w:id="30"/>
      <w:r>
        <w:rPr/>
        <w:t>Alcance</w:t>
      </w:r>
    </w:p>
    <w:p>
      <w:pPr>
        <w:pStyle w:val="BodyText"/>
        <w:rPr/>
      </w:pPr>
      <w:r>
        <w:rPr/>
        <w:t>El presente proyecto abarca el análisis, diseño e implementación de un producto mínimo viable (MVP) del sistema SGD, orientado a la gestión documental clínica y administrativa para hospitales y redes de clínicas. El sistema se desarrollará sobre una arquitectura de microservicios con interfaces web y móvil, comunicadas a través de una API REST centralizada.</w:t>
      </w:r>
    </w:p>
    <w:p>
      <w:pPr>
        <w:pStyle w:val="BodyText"/>
        <w:rPr/>
      </w:pPr>
      <w:r>
        <w:rPr/>
        <w:t>El alcance está organizado en </w:t>
      </w:r>
      <w:r>
        <w:rPr>
          <w:rStyle w:val="Strong"/>
        </w:rPr>
        <w:t>módulos funcionales independientes</w:t>
      </w:r>
      <w:r>
        <w:rPr/>
        <w:t>, cada uno con responsabilidad única y límites claramente definidos. Para efectos de planificación ágil, estos módulos se agrupan en las siguientes épicas o paquetes de funcionalidades:</w:t>
      </w:r>
    </w:p>
    <w:p>
      <w:pPr>
        <w:pStyle w:val="BodyText"/>
        <w:numPr>
          <w:ilvl w:val="0"/>
          <w:numId w:val="7"/>
        </w:numPr>
        <w:rPr/>
      </w:pPr>
      <w:r>
        <w:rPr>
          <w:rStyle w:val="Strong"/>
        </w:rPr>
        <w:t>Épica 1 – Gestión de usuarios y seguridad</w:t>
      </w:r>
      <w:r>
        <w:rPr/>
        <w:t>: autenticación, RBAC y trazabilidad/auditoría.</w:t>
      </w:r>
    </w:p>
    <w:p>
      <w:pPr>
        <w:pStyle w:val="BodyText"/>
        <w:numPr>
          <w:ilvl w:val="0"/>
          <w:numId w:val="7"/>
        </w:numPr>
        <w:rPr/>
      </w:pPr>
      <w:r>
        <w:rPr>
          <w:rStyle w:val="Strong"/>
        </w:rPr>
        <w:t>Épica 2 – Incorporación y procesamiento de documentos</w:t>
      </w:r>
      <w:r>
        <w:rPr/>
        <w:t>: digitalización, carga, OCR con clasificación automática.</w:t>
      </w:r>
    </w:p>
    <w:p>
      <w:pPr>
        <w:pStyle w:val="BodyText"/>
        <w:numPr>
          <w:ilvl w:val="0"/>
          <w:numId w:val="7"/>
        </w:numPr>
        <w:rPr/>
      </w:pPr>
      <w:r>
        <w:rPr>
          <w:rStyle w:val="Strong"/>
        </w:rPr>
        <w:t>Épica 3 – Recuperación y administración</w:t>
      </w:r>
      <w:r>
        <w:rPr/>
        <w:t>: motor de búsqueda, alertas de vencimiento, panel de administración.</w:t>
      </w:r>
    </w:p>
    <w:p>
      <w:pPr>
        <w:pStyle w:val="BodyText"/>
        <w:rPr/>
      </w:pPr>
      <w:r>
        <w:rPr/>
        <w:t>A continuación se describen los módulos que componen el MVP.</w:t>
      </w:r>
    </w:p>
    <w:p>
      <w:pPr>
        <w:pStyle w:val="Heading2"/>
        <w:numPr>
          <w:ilvl w:val="1"/>
          <w:numId w:val="3"/>
        </w:numPr>
        <w:ind w:hanging="0" w:start="0"/>
        <w:rPr/>
      </w:pPr>
      <w:bookmarkStart w:id="31" w:name="__RefHeading___Toc7565_371365040"/>
      <w:bookmarkEnd w:id="31"/>
      <w:r>
        <w:rPr/>
        <w:t>Módulos del MVP</w:t>
      </w:r>
    </w:p>
    <w:p>
      <w:pPr>
        <w:pStyle w:val="Tabla"/>
        <w:rPr/>
      </w:pPr>
      <w:r>
        <w:rPr/>
        <w:t xml:space="preserve">Tabla </w:t>
      </w:r>
      <w:r>
        <w:rPr/>
        <w:fldChar w:fldCharType="begin"/>
      </w:r>
      <w:r>
        <w:rPr/>
        <w:instrText xml:space="preserve"> SEQ Tabla \* ARABIC </w:instrText>
      </w:r>
      <w:r>
        <w:rPr/>
        <w:fldChar w:fldCharType="separate"/>
      </w:r>
      <w:r>
        <w:rPr/>
        <w:t>2</w:t>
      </w:r>
      <w:r>
        <w:rPr/>
        <w:fldChar w:fldCharType="end"/>
      </w:r>
      <w:r>
        <w:rPr/>
        <w:t xml:space="preserve"> </w:t>
        <w:br/>
      </w:r>
      <w:r>
        <w:rPr>
          <w:b w:val="false"/>
          <w:bCs w:val="false"/>
          <w:i/>
          <w:iCs/>
        </w:rPr>
        <w:t>Descripción de los módulos candidatos en el proyecto</w:t>
      </w:r>
    </w:p>
    <w:tbl>
      <w:tblPr>
        <w:tblW w:w="9658" w:type="dxa"/>
        <w:jc w:val="center"/>
        <w:tblInd w:w="0" w:type="dxa"/>
        <w:tblLayout w:type="fixed"/>
        <w:tblCellMar>
          <w:top w:w="55" w:type="dxa"/>
          <w:start w:w="55" w:type="dxa"/>
          <w:bottom w:w="150" w:type="dxa"/>
          <w:end w:w="55" w:type="dxa"/>
        </w:tblCellMar>
      </w:tblPr>
      <w:tblGrid>
        <w:gridCol w:w="2563"/>
        <w:gridCol w:w="7095"/>
      </w:tblGrid>
      <w:tr>
        <w:trPr>
          <w:tblHeader w:val="true"/>
        </w:trPr>
        <w:tc>
          <w:tcPr>
            <w:tcW w:w="2563" w:type="dxa"/>
            <w:tcBorders>
              <w:bottom w:val="single" w:sz="4" w:space="0" w:color="000000"/>
              <w:end w:val="single" w:sz="4" w:space="0" w:color="000000"/>
            </w:tcBorders>
            <w:vAlign w:val="center"/>
          </w:tcPr>
          <w:p>
            <w:pPr>
              <w:pStyle w:val="Normal"/>
              <w:spacing w:before="0" w:after="142"/>
              <w:rPr>
                <w:b/>
                <w:bCs/>
              </w:rPr>
            </w:pPr>
            <w:r>
              <w:rPr>
                <w:b/>
                <w:bCs/>
              </w:rPr>
              <w:t>Módulo</w:t>
            </w:r>
          </w:p>
        </w:tc>
        <w:tc>
          <w:tcPr>
            <w:tcW w:w="7095" w:type="dxa"/>
            <w:tcBorders>
              <w:bottom w:val="single" w:sz="4" w:space="0" w:color="000000"/>
            </w:tcBorders>
            <w:vAlign w:val="center"/>
          </w:tcPr>
          <w:p>
            <w:pPr>
              <w:pStyle w:val="Normal"/>
              <w:spacing w:before="0" w:after="142"/>
              <w:rPr>
                <w:b/>
                <w:bCs/>
              </w:rPr>
            </w:pPr>
            <w:r>
              <w:rPr>
                <w:b/>
                <w:bCs/>
              </w:rPr>
              <w:t>Descripción general</w:t>
            </w:r>
          </w:p>
        </w:tc>
      </w:tr>
      <w:tr>
        <w:trPr/>
        <w:tc>
          <w:tcPr>
            <w:tcW w:w="2563" w:type="dxa"/>
            <w:tcBorders>
              <w:end w:val="single" w:sz="4" w:space="0" w:color="000000"/>
            </w:tcBorders>
            <w:vAlign w:val="center"/>
          </w:tcPr>
          <w:p>
            <w:pPr>
              <w:pStyle w:val="Normal"/>
              <w:spacing w:before="0" w:after="142"/>
              <w:rPr>
                <w:b/>
                <w:bCs/>
              </w:rPr>
            </w:pPr>
            <w:r>
              <w:rPr>
                <w:b/>
                <w:bCs/>
              </w:rPr>
              <w:t>Autenticación y gestión de usuarios</w:t>
            </w:r>
          </w:p>
        </w:tc>
        <w:tc>
          <w:tcPr>
            <w:tcW w:w="7095" w:type="dxa"/>
            <w:tcBorders/>
            <w:vAlign w:val="center"/>
          </w:tcPr>
          <w:p>
            <w:pPr>
              <w:pStyle w:val="Normal"/>
              <w:spacing w:before="0" w:after="142"/>
              <w:rPr/>
            </w:pPr>
            <w:r>
              <w:rPr/>
              <w:t>Registro, inicio de sesión, recuperación de credenciales y administración del ciclo de vida de las cuentas de usuario dentro del sistema.</w:t>
            </w:r>
          </w:p>
        </w:tc>
      </w:tr>
      <w:tr>
        <w:trPr/>
        <w:tc>
          <w:tcPr>
            <w:tcW w:w="2563" w:type="dxa"/>
            <w:tcBorders>
              <w:end w:val="single" w:sz="4" w:space="0" w:color="000000"/>
            </w:tcBorders>
            <w:vAlign w:val="center"/>
          </w:tcPr>
          <w:p>
            <w:pPr>
              <w:pStyle w:val="Normal"/>
              <w:spacing w:before="0" w:after="142"/>
              <w:rPr>
                <w:b/>
                <w:bCs/>
              </w:rPr>
            </w:pPr>
            <w:r>
              <w:rPr>
                <w:b/>
                <w:bCs/>
              </w:rPr>
              <w:t>Control de acceso (RBAC)</w:t>
            </w:r>
          </w:p>
        </w:tc>
        <w:tc>
          <w:tcPr>
            <w:tcW w:w="7095" w:type="dxa"/>
            <w:tcBorders/>
            <w:vAlign w:val="center"/>
          </w:tcPr>
          <w:p>
            <w:pPr>
              <w:pStyle w:val="Normal"/>
              <w:spacing w:before="0" w:after="142"/>
              <w:rPr/>
            </w:pPr>
            <w:r>
              <w:rPr/>
              <w:t>Definición y asignación de roles y permisos que determinan qué recursos y operaciones puede ejecutar cada actor del sistema.</w:t>
            </w:r>
          </w:p>
        </w:tc>
      </w:tr>
      <w:tr>
        <w:trPr/>
        <w:tc>
          <w:tcPr>
            <w:tcW w:w="2563" w:type="dxa"/>
            <w:tcBorders>
              <w:end w:val="single" w:sz="4" w:space="0" w:color="000000"/>
            </w:tcBorders>
            <w:vAlign w:val="center"/>
          </w:tcPr>
          <w:p>
            <w:pPr>
              <w:pStyle w:val="Normal"/>
              <w:spacing w:before="0" w:after="142"/>
              <w:rPr>
                <w:b/>
                <w:bCs/>
              </w:rPr>
            </w:pPr>
            <w:r>
              <w:rPr>
                <w:b/>
                <w:bCs/>
              </w:rPr>
              <w:t>Digitalización y carga documental</w:t>
            </w:r>
          </w:p>
        </w:tc>
        <w:tc>
          <w:tcPr>
            <w:tcW w:w="7095" w:type="dxa"/>
            <w:tcBorders/>
            <w:vAlign w:val="center"/>
          </w:tcPr>
          <w:p>
            <w:pPr>
              <w:pStyle w:val="Normal"/>
              <w:spacing w:before="0" w:after="142"/>
              <w:rPr/>
            </w:pPr>
            <w:r>
              <w:rPr/>
              <w:t>Incorporación de documentos al sistema desde múltiples fuentes: escaneo físico, carga de archivos y captura desde dispositivo móvil.</w:t>
            </w:r>
          </w:p>
        </w:tc>
      </w:tr>
      <w:tr>
        <w:trPr/>
        <w:tc>
          <w:tcPr>
            <w:tcW w:w="2563" w:type="dxa"/>
            <w:tcBorders>
              <w:end w:val="single" w:sz="4" w:space="0" w:color="000000"/>
            </w:tcBorders>
            <w:vAlign w:val="center"/>
          </w:tcPr>
          <w:p>
            <w:pPr>
              <w:pStyle w:val="Normal"/>
              <w:spacing w:before="0" w:after="142"/>
              <w:rPr>
                <w:b/>
                <w:bCs/>
              </w:rPr>
            </w:pPr>
            <w:r>
              <w:rPr>
                <w:b/>
                <w:bCs/>
              </w:rPr>
              <w:t>OCR y clasificación automática</w:t>
            </w:r>
          </w:p>
        </w:tc>
        <w:tc>
          <w:tcPr>
            <w:tcW w:w="7095" w:type="dxa"/>
            <w:tcBorders/>
            <w:vAlign w:val="center"/>
          </w:tcPr>
          <w:p>
            <w:pPr>
              <w:pStyle w:val="Normal"/>
              <w:spacing w:before="0" w:after="142"/>
              <w:rPr/>
            </w:pPr>
            <w:r>
              <w:rPr/>
              <w:t>Reconocimiento óptico de caracteres sobre documentos digitalizados, clasificación automática por tipo de formulario y extracción de metadatos clave sin intervención manual.</w:t>
            </w:r>
          </w:p>
        </w:tc>
      </w:tr>
      <w:tr>
        <w:trPr/>
        <w:tc>
          <w:tcPr>
            <w:tcW w:w="2563" w:type="dxa"/>
            <w:tcBorders>
              <w:end w:val="single" w:sz="4" w:space="0" w:color="000000"/>
            </w:tcBorders>
            <w:vAlign w:val="center"/>
          </w:tcPr>
          <w:p>
            <w:pPr>
              <w:pStyle w:val="Normal"/>
              <w:spacing w:before="0" w:after="142"/>
              <w:rPr>
                <w:b/>
                <w:bCs/>
              </w:rPr>
            </w:pPr>
            <w:r>
              <w:rPr>
                <w:b/>
                <w:bCs/>
              </w:rPr>
              <w:t>Búsqueda y recuperación de expedientes</w:t>
            </w:r>
          </w:p>
        </w:tc>
        <w:tc>
          <w:tcPr>
            <w:tcW w:w="7095" w:type="dxa"/>
            <w:tcBorders/>
            <w:vAlign w:val="center"/>
          </w:tcPr>
          <w:p>
            <w:pPr>
              <w:pStyle w:val="Normal"/>
              <w:spacing w:before="0" w:after="142"/>
              <w:rPr/>
            </w:pPr>
            <w:r>
              <w:rPr/>
              <w:t>Motor de búsqueda indexada que permite localizar documentos por paciente, tipo, fecha, área u otros metadatos configurables.</w:t>
            </w:r>
          </w:p>
        </w:tc>
      </w:tr>
      <w:tr>
        <w:trPr/>
        <w:tc>
          <w:tcPr>
            <w:tcW w:w="2563" w:type="dxa"/>
            <w:tcBorders>
              <w:end w:val="single" w:sz="4" w:space="0" w:color="000000"/>
            </w:tcBorders>
            <w:vAlign w:val="center"/>
          </w:tcPr>
          <w:p>
            <w:pPr>
              <w:pStyle w:val="Normal"/>
              <w:spacing w:before="0" w:after="142"/>
              <w:rPr>
                <w:b/>
                <w:bCs/>
              </w:rPr>
            </w:pPr>
            <w:r>
              <w:rPr>
                <w:b/>
                <w:bCs/>
              </w:rPr>
              <w:t>Trazabilidad y auditoría</w:t>
            </w:r>
          </w:p>
        </w:tc>
        <w:tc>
          <w:tcPr>
            <w:tcW w:w="7095" w:type="dxa"/>
            <w:tcBorders/>
            <w:vAlign w:val="center"/>
          </w:tcPr>
          <w:p>
            <w:pPr>
              <w:pStyle w:val="Normal"/>
              <w:spacing w:before="0" w:after="142"/>
              <w:rPr/>
            </w:pPr>
            <w:r>
              <w:rPr/>
              <w:t>Registro inmutable de cada acción realizada sobre un documento: consulta, carga, modificación, descarga o eliminación, con identificación del actor y marca de tiempo.</w:t>
            </w:r>
          </w:p>
        </w:tc>
      </w:tr>
      <w:tr>
        <w:trPr/>
        <w:tc>
          <w:tcPr>
            <w:tcW w:w="2563" w:type="dxa"/>
            <w:tcBorders>
              <w:end w:val="single" w:sz="4" w:space="0" w:color="000000"/>
            </w:tcBorders>
            <w:vAlign w:val="center"/>
          </w:tcPr>
          <w:p>
            <w:pPr>
              <w:pStyle w:val="Normal"/>
              <w:spacing w:before="0" w:after="142"/>
              <w:rPr>
                <w:b/>
                <w:bCs/>
              </w:rPr>
            </w:pPr>
            <w:r>
              <w:rPr>
                <w:b/>
                <w:bCs/>
              </w:rPr>
              <w:t>Alertas de vencimiento documental</w:t>
            </w:r>
          </w:p>
        </w:tc>
        <w:tc>
          <w:tcPr>
            <w:tcW w:w="7095" w:type="dxa"/>
            <w:tcBorders/>
            <w:vAlign w:val="center"/>
          </w:tcPr>
          <w:p>
            <w:pPr>
              <w:pStyle w:val="Normal"/>
              <w:spacing w:before="0" w:after="142"/>
              <w:rPr/>
            </w:pPr>
            <w:r>
              <w:rPr/>
              <w:t>Sistema de notificaciones automáticas que advierte con anticipación configurable sobre documentos críticos próximos a vencer o ya vencidos.</w:t>
            </w:r>
          </w:p>
        </w:tc>
      </w:tr>
      <w:tr>
        <w:trPr/>
        <w:tc>
          <w:tcPr>
            <w:tcW w:w="2563" w:type="dxa"/>
            <w:tcBorders>
              <w:end w:val="single" w:sz="4" w:space="0" w:color="000000"/>
            </w:tcBorders>
            <w:vAlign w:val="center"/>
          </w:tcPr>
          <w:p>
            <w:pPr>
              <w:pStyle w:val="Normal"/>
              <w:spacing w:before="0" w:after="142"/>
              <w:rPr>
                <w:b/>
                <w:bCs/>
              </w:rPr>
            </w:pPr>
            <w:r>
              <w:rPr>
                <w:b/>
                <w:bCs/>
              </w:rPr>
              <w:t>Panel de administración</w:t>
            </w:r>
          </w:p>
        </w:tc>
        <w:tc>
          <w:tcPr>
            <w:tcW w:w="7095" w:type="dxa"/>
            <w:tcBorders/>
            <w:vAlign w:val="center"/>
          </w:tcPr>
          <w:p>
            <w:pPr>
              <w:pStyle w:val="Normal"/>
              <w:spacing w:before="0" w:after="142"/>
              <w:rPr/>
            </w:pPr>
            <w:r>
              <w:rPr/>
              <w:t>Interfaz centralizada para la gestión de usuarios, roles, configuración de alertas, consulta de logs de auditoría y parámetros generales del sistema.</w:t>
            </w:r>
          </w:p>
        </w:tc>
      </w:tr>
    </w:tbl>
    <w:p>
      <w:pPr>
        <w:pStyle w:val="Heading2"/>
        <w:numPr>
          <w:ilvl w:val="1"/>
          <w:numId w:val="3"/>
        </w:numPr>
        <w:spacing w:before="283" w:after="142"/>
        <w:ind w:hanging="0" w:start="0"/>
        <w:rPr/>
      </w:pPr>
      <w:bookmarkStart w:id="32" w:name="__RefHeading___Toc7567_371365040"/>
      <w:bookmarkEnd w:id="32"/>
      <w:r>
        <w:rPr/>
        <w:t>Plataformas contempladas en el MVP</w:t>
      </w:r>
    </w:p>
    <w:p>
      <w:pPr>
        <w:pStyle w:val="BodyText"/>
        <w:numPr>
          <w:ilvl w:val="0"/>
          <w:numId w:val="6"/>
        </w:numPr>
        <w:tabs>
          <w:tab w:val="clear" w:pos="643"/>
          <w:tab w:val="left" w:pos="0" w:leader="none"/>
        </w:tabs>
        <w:ind w:firstLine="567" w:start="0"/>
        <w:rPr/>
      </w:pPr>
      <w:r>
        <w:rPr>
          <w:rStyle w:val="Strong"/>
        </w:rPr>
        <w:t>Interfaz web (React):</w:t>
      </w:r>
      <w:r>
        <w:rPr/>
        <w:t> acceso completo al sistema desde navegador, orientado al personal administrativo, médico y directivo de la institución.</w:t>
      </w:r>
    </w:p>
    <w:p>
      <w:pPr>
        <w:pStyle w:val="BodyText"/>
        <w:numPr>
          <w:ilvl w:val="0"/>
          <w:numId w:val="6"/>
        </w:numPr>
        <w:tabs>
          <w:tab w:val="clear" w:pos="643"/>
          <w:tab w:val="left" w:pos="0" w:leader="none"/>
        </w:tabs>
        <w:ind w:firstLine="567" w:start="0"/>
        <w:rPr/>
      </w:pPr>
      <w:r>
        <w:rPr>
          <w:rStyle w:val="Strong"/>
        </w:rPr>
        <w:t>Aplicación móvil (Flutter):</w:t>
      </w:r>
      <w:r>
        <w:rPr/>
        <w:t> acceso a funciones clave desde dispositivos Android e iOS, orientado al personal que opera en campo o en consultorios sin acceso permanente a una estación de trabajo.</w:t>
      </w:r>
    </w:p>
    <w:p>
      <w:pPr>
        <w:pStyle w:val="BodyText"/>
        <w:numPr>
          <w:ilvl w:val="0"/>
          <w:numId w:val="6"/>
        </w:numPr>
        <w:tabs>
          <w:tab w:val="clear" w:pos="643"/>
          <w:tab w:val="left" w:pos="0" w:leader="none"/>
        </w:tabs>
        <w:ind w:firstLine="567" w:start="0"/>
        <w:rPr/>
      </w:pPr>
      <w:r>
        <w:rPr>
          <w:rStyle w:val="Strong"/>
        </w:rPr>
        <w:t>API REST:</w:t>
      </w:r>
      <w:r>
        <w:rPr/>
        <w:t> capa de comunicación centralizada entre las interfaces y los microservicios del sistema, con autenticación mediante tokens y documentación de endpoints.</w:t>
      </w:r>
    </w:p>
    <w:p>
      <w:pPr>
        <w:pStyle w:val="BodyText"/>
        <w:numPr>
          <w:ilvl w:val="0"/>
          <w:numId w:val="6"/>
        </w:numPr>
        <w:tabs>
          <w:tab w:val="clear" w:pos="643"/>
          <w:tab w:val="left" w:pos="0" w:leader="none"/>
        </w:tabs>
        <w:ind w:firstLine="567" w:start="0"/>
        <w:rPr/>
      </w:pPr>
      <w:r>
        <w:rPr>
          <w:rStyle w:val="Strong"/>
        </w:rPr>
        <w:t>Microservicios:</w:t>
      </w:r>
      <w:r>
        <w:rPr/>
        <w:t> cada módulo funcional se despliega como un servicio independiente, lo que permite escalar, mantener y actualizar componentes de forma aislada sin afectar al resto del sistema. La persistencia se gestiona mediante una base de datos por servicio o un esquema compartido según las necesidades de integración.</w:t>
      </w:r>
    </w:p>
    <w:p>
      <w:pPr>
        <w:pStyle w:val="Heading2"/>
        <w:numPr>
          <w:ilvl w:val="1"/>
          <w:numId w:val="3"/>
        </w:numPr>
        <w:ind w:hanging="0" w:start="0"/>
        <w:rPr/>
      </w:pPr>
      <w:bookmarkStart w:id="33" w:name="__RefHeading___Toc7569_371365040"/>
      <w:bookmarkEnd w:id="33"/>
      <w:r>
        <w:rPr/>
        <w:t>Fuera del alcance del MVP</w:t>
      </w:r>
    </w:p>
    <w:p>
      <w:pPr>
        <w:pStyle w:val="BodyText"/>
        <w:rPr/>
      </w:pPr>
      <w:r>
        <w:rPr/>
        <w:t>Para delimitar con precisión el proyecto, se listan explícitamente las funcionalidades que no forman parte de este MVP y quedan propuestas para versiones futuras:</w:t>
      </w:r>
    </w:p>
    <w:p>
      <w:pPr>
        <w:pStyle w:val="BodyText"/>
        <w:numPr>
          <w:ilvl w:val="0"/>
          <w:numId w:val="8"/>
        </w:numPr>
        <w:rPr>
          <w:i w:val="false"/>
          <w:iCs w:val="false"/>
        </w:rPr>
      </w:pPr>
      <w:r>
        <w:rPr>
          <w:i w:val="false"/>
          <w:iCs w:val="false"/>
        </w:rPr>
        <w:t>Interoperabilidad con sistemas externos mediante estándares HL7 o FHIR.</w:t>
      </w:r>
    </w:p>
    <w:p>
      <w:pPr>
        <w:pStyle w:val="BodyText"/>
        <w:numPr>
          <w:ilvl w:val="0"/>
          <w:numId w:val="8"/>
        </w:numPr>
        <w:rPr>
          <w:i w:val="false"/>
          <w:iCs w:val="false"/>
        </w:rPr>
      </w:pPr>
      <w:r>
        <w:rPr>
          <w:i w:val="false"/>
          <w:iCs w:val="false"/>
        </w:rPr>
        <w:t>Módulo de facturación y gestión de cobros.</w:t>
      </w:r>
    </w:p>
    <w:p>
      <w:pPr>
        <w:pStyle w:val="BodyText"/>
        <w:numPr>
          <w:ilvl w:val="0"/>
          <w:numId w:val="8"/>
        </w:numPr>
        <w:rPr>
          <w:i w:val="false"/>
          <w:iCs w:val="false"/>
        </w:rPr>
      </w:pPr>
      <w:r>
        <w:rPr>
          <w:i w:val="false"/>
          <w:iCs w:val="false"/>
        </w:rPr>
        <w:t>Telemedicina o video consulta integrada.</w:t>
      </w:r>
    </w:p>
    <w:p>
      <w:pPr>
        <w:pStyle w:val="BodyText"/>
        <w:numPr>
          <w:ilvl w:val="0"/>
          <w:numId w:val="8"/>
        </w:numPr>
        <w:rPr>
          <w:i w:val="false"/>
          <w:iCs w:val="false"/>
        </w:rPr>
      </w:pPr>
      <w:r>
        <w:rPr>
          <w:i w:val="false"/>
          <w:iCs w:val="false"/>
        </w:rPr>
        <w:t>Integración con equipos de diagnóstico por imagen (DICOM).</w:t>
      </w:r>
    </w:p>
    <w:p>
      <w:pPr>
        <w:pStyle w:val="BodyText"/>
        <w:numPr>
          <w:ilvl w:val="0"/>
          <w:numId w:val="8"/>
        </w:numPr>
        <w:rPr>
          <w:i w:val="false"/>
          <w:iCs w:val="false"/>
        </w:rPr>
      </w:pPr>
      <w:r>
        <w:rPr>
          <w:i w:val="false"/>
          <w:iCs w:val="false"/>
        </w:rPr>
        <w:t>Portal de autogestión para pacientes.</w:t>
      </w:r>
    </w:p>
    <w:p>
      <w:pPr>
        <w:pStyle w:val="BodyText"/>
        <w:numPr>
          <w:ilvl w:val="0"/>
          <w:numId w:val="8"/>
        </w:numPr>
        <w:rPr>
          <w:color w:val="auto"/>
        </w:rPr>
      </w:pPr>
      <w:r>
        <w:rPr>
          <w:i w:val="false"/>
          <w:iCs w:val="false"/>
        </w:rPr>
        <w:t>Firma digital con validez legal bajo normativa boliviana.</w:t>
      </w:r>
    </w:p>
    <w:p>
      <w:pPr>
        <w:pStyle w:val="Heading1"/>
        <w:numPr>
          <w:ilvl w:val="0"/>
          <w:numId w:val="3"/>
        </w:numPr>
        <w:ind w:hanging="0" w:start="0"/>
        <w:rPr/>
      </w:pPr>
      <w:bookmarkStart w:id="34" w:name="__RefHeading___Toc7571_371365040"/>
      <w:bookmarkEnd w:id="34"/>
      <w:r>
        <w:rPr/>
        <w:t>Elementos del sistema de información basado en computadora</w:t>
      </w:r>
    </w:p>
    <w:p>
      <w:pPr>
        <w:pStyle w:val="BodyText"/>
        <w:rPr/>
      </w:pPr>
      <w:r>
        <w:rPr/>
        <w:t>Los elementos que componen un SGD se describen a continuación tal como operan en un entorno de producción, es decir, con el sistema desplegado y en funcionamiento real dentro de una institución de salud.</w:t>
      </w:r>
    </w:p>
    <w:p>
      <w:pPr>
        <w:pStyle w:val="Heading2"/>
        <w:numPr>
          <w:ilvl w:val="1"/>
          <w:numId w:val="3"/>
        </w:numPr>
        <w:ind w:hanging="0" w:start="0"/>
        <w:rPr/>
      </w:pPr>
      <w:bookmarkStart w:id="35" w:name="__RefHeading___Toc7573_371365040"/>
      <w:bookmarkEnd w:id="35"/>
      <w:r>
        <w:rPr/>
        <w:t>Software</w:t>
      </w:r>
    </w:p>
    <w:p>
      <w:pPr>
        <w:pStyle w:val="BodyText"/>
        <w:rPr/>
      </w:pPr>
      <w:r>
        <w:rPr/>
        <w:t>El software comprende los componentes lógicos que, en conjunto, proveen la funcionalidad del sistema a los usuarios finales. Estos componentes se organizan en tres capas que interactúan entre sí de forma transparente para el usuario.</w:t>
      </w:r>
    </w:p>
    <w:p>
      <w:pPr>
        <w:pStyle w:val="Tabla"/>
        <w:rPr/>
      </w:pPr>
      <w:r>
        <w:rPr/>
        <w:t xml:space="preserve">Tabla </w:t>
      </w:r>
      <w:r>
        <w:rPr/>
        <w:fldChar w:fldCharType="begin"/>
      </w:r>
      <w:r>
        <w:rPr/>
        <w:instrText xml:space="preserve"> SEQ Tabla \* ARABIC </w:instrText>
      </w:r>
      <w:r>
        <w:rPr/>
        <w:fldChar w:fldCharType="separate"/>
      </w:r>
      <w:r>
        <w:rPr/>
        <w:t>3</w:t>
      </w:r>
      <w:r>
        <w:rPr/>
        <w:fldChar w:fldCharType="end"/>
      </w:r>
      <w:r>
        <w:rPr/>
        <w:t xml:space="preserve"> </w:t>
        <w:br/>
      </w:r>
      <w:r>
        <w:rPr>
          <w:b w:val="false"/>
          <w:bCs w:val="false"/>
          <w:i/>
          <w:iCs/>
        </w:rPr>
        <w:t>Descripcion</w:t>
      </w:r>
      <w:r>
        <w:rPr>
          <w:b w:val="false"/>
          <w:bCs w:val="false"/>
          <w:i/>
          <w:iCs/>
        </w:rPr>
        <w:t xml:space="preserve"> de los elementos tipo software en el sistema</w:t>
      </w:r>
    </w:p>
    <w:tbl>
      <w:tblPr>
        <w:tblW w:w="9658" w:type="dxa"/>
        <w:jc w:val="start"/>
        <w:tblInd w:w="0" w:type="dxa"/>
        <w:tblLayout w:type="fixed"/>
        <w:tblCellMar>
          <w:top w:w="55" w:type="dxa"/>
          <w:start w:w="55" w:type="dxa"/>
          <w:bottom w:w="55" w:type="dxa"/>
          <w:end w:w="55" w:type="dxa"/>
        </w:tblCellMar>
      </w:tblPr>
      <w:tblGrid>
        <w:gridCol w:w="2106"/>
        <w:gridCol w:w="2509"/>
        <w:gridCol w:w="5043"/>
      </w:tblGrid>
      <w:tr>
        <w:trPr>
          <w:tblHeader w:val="true"/>
        </w:trPr>
        <w:tc>
          <w:tcPr>
            <w:tcW w:w="2106" w:type="dxa"/>
            <w:tcBorders>
              <w:bottom w:val="single" w:sz="4" w:space="0" w:color="000000"/>
              <w:end w:val="single" w:sz="4" w:space="0" w:color="000000"/>
            </w:tcBorders>
            <w:vAlign w:val="center"/>
          </w:tcPr>
          <w:p>
            <w:pPr>
              <w:pStyle w:val="Ttulodelatabla"/>
              <w:spacing w:before="113" w:after="113"/>
              <w:rPr>
                <w:b/>
                <w:bCs/>
              </w:rPr>
            </w:pPr>
            <w:r>
              <w:rPr>
                <w:b/>
                <w:bCs/>
              </w:rPr>
              <w:t>Capa</w:t>
            </w:r>
          </w:p>
        </w:tc>
        <w:tc>
          <w:tcPr>
            <w:tcW w:w="2509" w:type="dxa"/>
            <w:tcBorders>
              <w:bottom w:val="single" w:sz="4" w:space="0" w:color="000000"/>
            </w:tcBorders>
            <w:vAlign w:val="center"/>
          </w:tcPr>
          <w:p>
            <w:pPr>
              <w:pStyle w:val="Ttulodelatabla"/>
              <w:spacing w:before="113" w:after="113"/>
              <w:rPr/>
            </w:pPr>
            <w:r>
              <w:rPr/>
              <w:t>Componente</w:t>
            </w:r>
          </w:p>
        </w:tc>
        <w:tc>
          <w:tcPr>
            <w:tcW w:w="5043" w:type="dxa"/>
            <w:tcBorders>
              <w:bottom w:val="single" w:sz="4" w:space="0" w:color="000000"/>
            </w:tcBorders>
            <w:vAlign w:val="center"/>
          </w:tcPr>
          <w:p>
            <w:pPr>
              <w:pStyle w:val="Ttulodelatabla"/>
              <w:spacing w:before="113" w:after="113"/>
              <w:rPr/>
            </w:pPr>
            <w:r>
              <w:rPr/>
              <w:t>Rol en el sistema en funcionamiento</w:t>
            </w:r>
          </w:p>
        </w:tc>
      </w:tr>
      <w:tr>
        <w:trPr/>
        <w:tc>
          <w:tcPr>
            <w:tcW w:w="2106" w:type="dxa"/>
            <w:tcBorders>
              <w:end w:val="single" w:sz="4" w:space="0" w:color="000000"/>
            </w:tcBorders>
            <w:vAlign w:val="center"/>
          </w:tcPr>
          <w:p>
            <w:pPr>
              <w:pStyle w:val="Contenidodelatabla"/>
              <w:spacing w:before="113" w:after="113"/>
              <w:rPr>
                <w:b/>
                <w:bCs/>
              </w:rPr>
            </w:pPr>
            <w:r>
              <w:rPr>
                <w:b/>
                <w:bCs/>
              </w:rPr>
              <w:t>Interfaz web</w:t>
            </w:r>
          </w:p>
        </w:tc>
        <w:tc>
          <w:tcPr>
            <w:tcW w:w="2509" w:type="dxa"/>
            <w:tcBorders/>
            <w:vAlign w:val="center"/>
          </w:tcPr>
          <w:p>
            <w:pPr>
              <w:pStyle w:val="Contenidodelatabla"/>
              <w:spacing w:before="113" w:after="113"/>
              <w:rPr/>
            </w:pPr>
            <w:r>
              <w:rPr/>
              <w:t>Aplicación de escritorio accesible desde navegador</w:t>
            </w:r>
          </w:p>
        </w:tc>
        <w:tc>
          <w:tcPr>
            <w:tcW w:w="5043" w:type="dxa"/>
            <w:tcBorders/>
            <w:vAlign w:val="center"/>
          </w:tcPr>
          <w:p>
            <w:pPr>
              <w:pStyle w:val="Contenidodelatabla"/>
              <w:spacing w:before="113" w:after="113"/>
              <w:rPr/>
            </w:pPr>
            <w:r>
              <w:rPr/>
              <w:t>Permite al personal administrativo, médico y directivo gestionar documentos, realizar búsquedas y configurar el sistema desde cualquier estación de trabajo.</w:t>
            </w:r>
          </w:p>
        </w:tc>
      </w:tr>
      <w:tr>
        <w:trPr/>
        <w:tc>
          <w:tcPr>
            <w:tcW w:w="2106" w:type="dxa"/>
            <w:tcBorders>
              <w:end w:val="single" w:sz="4" w:space="0" w:color="000000"/>
            </w:tcBorders>
            <w:vAlign w:val="center"/>
          </w:tcPr>
          <w:p>
            <w:pPr>
              <w:pStyle w:val="Contenidodelatabla"/>
              <w:spacing w:before="113" w:after="113"/>
              <w:rPr>
                <w:b/>
                <w:bCs/>
              </w:rPr>
            </w:pPr>
            <w:r>
              <w:rPr>
                <w:b/>
                <w:bCs/>
              </w:rPr>
              <w:t>Aplicación móvil</w:t>
            </w:r>
          </w:p>
        </w:tc>
        <w:tc>
          <w:tcPr>
            <w:tcW w:w="2509" w:type="dxa"/>
            <w:tcBorders/>
            <w:vAlign w:val="center"/>
          </w:tcPr>
          <w:p>
            <w:pPr>
              <w:pStyle w:val="Contenidodelatabla"/>
              <w:spacing w:before="113" w:after="113"/>
              <w:rPr/>
            </w:pPr>
            <w:r>
              <w:rPr/>
              <w:t>App para dispositivos Android e iOS</w:t>
            </w:r>
          </w:p>
        </w:tc>
        <w:tc>
          <w:tcPr>
            <w:tcW w:w="5043" w:type="dxa"/>
            <w:tcBorders/>
            <w:vAlign w:val="center"/>
          </w:tcPr>
          <w:p>
            <w:pPr>
              <w:pStyle w:val="Contenidodelatabla"/>
              <w:spacing w:before="113" w:after="113"/>
              <w:rPr/>
            </w:pPr>
            <w:r>
              <w:rPr/>
              <w:t>Extiende las funcionalidades clave al personal que opera en campo, consultorios o áreas sin acceso a una computadora, permitiendo consulta y carga de documentos desde dispositivos portátiles.</w:t>
            </w:r>
          </w:p>
        </w:tc>
      </w:tr>
      <w:tr>
        <w:trPr/>
        <w:tc>
          <w:tcPr>
            <w:tcW w:w="2106" w:type="dxa"/>
            <w:tcBorders>
              <w:end w:val="single" w:sz="4" w:space="0" w:color="000000"/>
            </w:tcBorders>
            <w:vAlign w:val="center"/>
          </w:tcPr>
          <w:p>
            <w:pPr>
              <w:pStyle w:val="Contenidodelatabla"/>
              <w:spacing w:before="113" w:after="113"/>
              <w:rPr>
                <w:b/>
                <w:bCs/>
              </w:rPr>
            </w:pPr>
            <w:r>
              <w:rPr>
                <w:b/>
                <w:bCs/>
              </w:rPr>
              <w:t>Lógica de negocio y API</w:t>
            </w:r>
          </w:p>
        </w:tc>
        <w:tc>
          <w:tcPr>
            <w:tcW w:w="2509" w:type="dxa"/>
            <w:tcBorders/>
            <w:vAlign w:val="center"/>
          </w:tcPr>
          <w:p>
            <w:pPr>
              <w:pStyle w:val="Contenidodelatabla"/>
              <w:spacing w:before="113" w:after="113"/>
              <w:rPr/>
            </w:pPr>
            <w:r>
              <w:rPr/>
              <w:t>Conjunto de servicios centralizados</w:t>
            </w:r>
          </w:p>
        </w:tc>
        <w:tc>
          <w:tcPr>
            <w:tcW w:w="5043" w:type="dxa"/>
            <w:tcBorders/>
            <w:vAlign w:val="center"/>
          </w:tcPr>
          <w:p>
            <w:pPr>
              <w:pStyle w:val="Contenidodelatabla"/>
              <w:spacing w:before="113" w:after="113"/>
              <w:rPr/>
            </w:pPr>
            <w:r>
              <w:rPr/>
              <w:t>Gestiona las reglas del negocio, autentica usuarios, coordina la comunicación entre la interfaz y los distintos servicios especializados del sistema.</w:t>
            </w:r>
          </w:p>
        </w:tc>
      </w:tr>
      <w:tr>
        <w:trPr/>
        <w:tc>
          <w:tcPr>
            <w:tcW w:w="2106" w:type="dxa"/>
            <w:tcBorders>
              <w:end w:val="single" w:sz="4" w:space="0" w:color="000000"/>
            </w:tcBorders>
            <w:vAlign w:val="center"/>
          </w:tcPr>
          <w:p>
            <w:pPr>
              <w:pStyle w:val="Contenidodelatabla"/>
              <w:spacing w:before="113" w:after="113"/>
              <w:rPr>
                <w:b/>
                <w:bCs/>
              </w:rPr>
            </w:pPr>
            <w:r>
              <w:rPr>
                <w:b/>
                <w:bCs/>
              </w:rPr>
              <w:t>Servicios especializados</w:t>
            </w:r>
          </w:p>
        </w:tc>
        <w:tc>
          <w:tcPr>
            <w:tcW w:w="2509" w:type="dxa"/>
            <w:tcBorders/>
            <w:vAlign w:val="center"/>
          </w:tcPr>
          <w:p>
            <w:pPr>
              <w:pStyle w:val="Contenidodelatabla"/>
              <w:spacing w:before="113" w:after="113"/>
              <w:rPr/>
            </w:pPr>
            <w:r>
              <w:rPr/>
              <w:t>Módulos independientes (carga, OCR, búsqueda, auditoría, alertas)</w:t>
            </w:r>
          </w:p>
        </w:tc>
        <w:tc>
          <w:tcPr>
            <w:tcW w:w="5043" w:type="dxa"/>
            <w:tcBorders/>
            <w:vAlign w:val="center"/>
          </w:tcPr>
          <w:p>
            <w:pPr>
              <w:pStyle w:val="Contenidodelatabla"/>
              <w:spacing w:before="113" w:after="113"/>
              <w:rPr/>
            </w:pPr>
            <w:r>
              <w:rPr/>
              <w:t>Cada módulo ejecuta una función específica: procesa documentos, indexa contenido, gestiona permisos, registra acciones o dispara notificaciones. Operan de forma coordinada pero aislada para garantizar estabilidad.</w:t>
            </w:r>
          </w:p>
        </w:tc>
      </w:tr>
      <w:tr>
        <w:trPr/>
        <w:tc>
          <w:tcPr>
            <w:tcW w:w="2106" w:type="dxa"/>
            <w:tcBorders>
              <w:end w:val="single" w:sz="4" w:space="0" w:color="000000"/>
            </w:tcBorders>
            <w:vAlign w:val="center"/>
          </w:tcPr>
          <w:p>
            <w:pPr>
              <w:pStyle w:val="Contenidodelatabla"/>
              <w:spacing w:before="113" w:after="113"/>
              <w:rPr>
                <w:b/>
                <w:bCs/>
              </w:rPr>
            </w:pPr>
            <w:r>
              <w:rPr>
                <w:b/>
                <w:bCs/>
              </w:rPr>
              <w:t>Motor de reconocimiento</w:t>
            </w:r>
          </w:p>
        </w:tc>
        <w:tc>
          <w:tcPr>
            <w:tcW w:w="2509" w:type="dxa"/>
            <w:tcBorders/>
            <w:vAlign w:val="center"/>
          </w:tcPr>
          <w:p>
            <w:pPr>
              <w:pStyle w:val="Contenidodelatabla"/>
              <w:spacing w:before="113" w:after="113"/>
              <w:rPr/>
            </w:pPr>
            <w:r>
              <w:rPr/>
              <w:t>Servicio de procesamiento de imágenes y texto</w:t>
            </w:r>
          </w:p>
        </w:tc>
        <w:tc>
          <w:tcPr>
            <w:tcW w:w="5043" w:type="dxa"/>
            <w:tcBorders/>
            <w:vAlign w:val="center"/>
          </w:tcPr>
          <w:p>
            <w:pPr>
              <w:pStyle w:val="Contenidodelatabla"/>
              <w:spacing w:before="113" w:after="113"/>
              <w:rPr/>
            </w:pPr>
            <w:r>
              <w:rPr/>
              <w:t>Convierte documentos escaneados en texto digital, identifica automáticamente el tipo de formulario y extrae datos clave (paciente, fecha, tipo de documento) sin intervención manual.</w:t>
            </w:r>
          </w:p>
        </w:tc>
      </w:tr>
      <w:tr>
        <w:trPr/>
        <w:tc>
          <w:tcPr>
            <w:tcW w:w="2106" w:type="dxa"/>
            <w:tcBorders>
              <w:end w:val="single" w:sz="4" w:space="0" w:color="000000"/>
            </w:tcBorders>
            <w:vAlign w:val="center"/>
          </w:tcPr>
          <w:p>
            <w:pPr>
              <w:pStyle w:val="Contenidodelatabla"/>
              <w:spacing w:before="113" w:after="113"/>
              <w:rPr>
                <w:b/>
                <w:bCs/>
              </w:rPr>
            </w:pPr>
            <w:r>
              <w:rPr>
                <w:b/>
                <w:bCs/>
              </w:rPr>
              <w:t>Almacenamiento de datos</w:t>
            </w:r>
          </w:p>
        </w:tc>
        <w:tc>
          <w:tcPr>
            <w:tcW w:w="2509" w:type="dxa"/>
            <w:tcBorders/>
            <w:vAlign w:val="center"/>
          </w:tcPr>
          <w:p>
            <w:pPr>
              <w:pStyle w:val="Contenidodelatabla"/>
              <w:spacing w:before="113" w:after="113"/>
              <w:rPr/>
            </w:pPr>
            <w:r>
              <w:rPr/>
              <w:t>Repositorio centralizado</w:t>
            </w:r>
          </w:p>
        </w:tc>
        <w:tc>
          <w:tcPr>
            <w:tcW w:w="5043" w:type="dxa"/>
            <w:tcBorders/>
            <w:vAlign w:val="center"/>
          </w:tcPr>
          <w:p>
            <w:pPr>
              <w:pStyle w:val="Contenidodelatabla"/>
              <w:spacing w:before="113" w:after="113"/>
              <w:rPr/>
            </w:pPr>
            <w:r>
              <w:rPr/>
              <w:t>Conserva de forma segura los documentos digitalizados, sus metadatos, los registros de usuarios, los permisos asignados y las bitácoras de auditoría.</w:t>
            </w:r>
          </w:p>
        </w:tc>
      </w:tr>
    </w:tbl>
    <w:p>
      <w:pPr>
        <w:pStyle w:val="Heading2"/>
        <w:numPr>
          <w:ilvl w:val="1"/>
          <w:numId w:val="3"/>
        </w:numPr>
        <w:spacing w:before="283" w:after="142"/>
        <w:ind w:hanging="0" w:start="0"/>
        <w:rPr/>
      </w:pPr>
      <w:bookmarkStart w:id="36" w:name="__RefHeading___Toc7575_371365040"/>
      <w:bookmarkEnd w:id="36"/>
      <w:r>
        <w:rPr/>
        <w:t>Hardware</w:t>
      </w:r>
    </w:p>
    <w:p>
      <w:pPr>
        <w:pStyle w:val="BodyText"/>
        <w:rPr/>
      </w:pPr>
      <w:r>
        <w:rPr/>
        <w:t>El hardware constituye la infraestructura física sobre la que el sistema se ejecuta en producción. Se distingue entre la infraestructura de servidores (lado institucional) y los dispositivos de acceso (lado del usuario).</w:t>
      </w:r>
    </w:p>
    <w:p>
      <w:pPr>
        <w:pStyle w:val="Heading3"/>
        <w:numPr>
          <w:ilvl w:val="2"/>
          <w:numId w:val="3"/>
        </w:numPr>
        <w:ind w:hanging="0" w:start="0"/>
        <w:rPr/>
      </w:pPr>
      <w:bookmarkStart w:id="37" w:name="__RefHeading___Toc7577_371365040"/>
      <w:bookmarkEnd w:id="37"/>
      <w:r>
        <w:rPr>
          <w:rStyle w:val="Strong"/>
          <w:b/>
          <w:bCs/>
        </w:rPr>
        <w:t>Infraestructura del servidor (entorno institucional)</w:t>
      </w:r>
    </w:p>
    <w:p>
      <w:pPr>
        <w:pStyle w:val="Tabla"/>
        <w:rPr/>
      </w:pPr>
      <w:r>
        <w:rPr>
          <w:rStyle w:val="Strong"/>
          <w:b/>
        </w:rPr>
        <w:t xml:space="preserve">Tabla </w:t>
      </w:r>
      <w:r>
        <w:rPr>
          <w:rStyle w:val="Strong"/>
          <w:b/>
        </w:rPr>
        <w:fldChar w:fldCharType="begin"/>
      </w:r>
      <w:r>
        <w:rPr>
          <w:rStyle w:val="Strong"/>
          <w:b/>
        </w:rPr>
        <w:instrText xml:space="preserve"> SEQ Tabla \* ARABIC </w:instrText>
      </w:r>
      <w:r>
        <w:rPr>
          <w:rStyle w:val="Strong"/>
          <w:b/>
        </w:rPr>
        <w:fldChar w:fldCharType="separate"/>
      </w:r>
      <w:r>
        <w:rPr>
          <w:rStyle w:val="Strong"/>
          <w:b/>
        </w:rPr>
        <w:t>4</w:t>
      </w:r>
      <w:r>
        <w:rPr>
          <w:rStyle w:val="Strong"/>
          <w:b/>
        </w:rPr>
        <w:fldChar w:fldCharType="end"/>
      </w:r>
      <w:r>
        <w:rPr>
          <w:rStyle w:val="Strong"/>
          <w:b/>
        </w:rPr>
        <w:t xml:space="preserve"> </w:t>
        <w:br/>
      </w:r>
      <w:r>
        <w:rPr>
          <w:rStyle w:val="Strong"/>
          <w:b w:val="false"/>
          <w:bCs w:val="false"/>
          <w:i/>
          <w:iCs/>
        </w:rPr>
        <w:t>Descripción de la infraestructura para alojar el sistema</w:t>
      </w:r>
    </w:p>
    <w:tbl>
      <w:tblPr>
        <w:tblW w:w="9658" w:type="dxa"/>
        <w:jc w:val="start"/>
        <w:tblInd w:w="0" w:type="dxa"/>
        <w:tblLayout w:type="fixed"/>
        <w:tblCellMar>
          <w:top w:w="55" w:type="dxa"/>
          <w:start w:w="55" w:type="dxa"/>
          <w:bottom w:w="150" w:type="dxa"/>
          <w:end w:w="55" w:type="dxa"/>
        </w:tblCellMar>
      </w:tblPr>
      <w:tblGrid>
        <w:gridCol w:w="2149"/>
        <w:gridCol w:w="7509"/>
      </w:tblGrid>
      <w:tr>
        <w:trPr>
          <w:tblHeader w:val="true"/>
        </w:trPr>
        <w:tc>
          <w:tcPr>
            <w:tcW w:w="2149" w:type="dxa"/>
            <w:tcBorders>
              <w:bottom w:val="single" w:sz="4" w:space="0" w:color="000000"/>
              <w:end w:val="single" w:sz="4" w:space="0" w:color="000000"/>
            </w:tcBorders>
            <w:vAlign w:val="center"/>
          </w:tcPr>
          <w:p>
            <w:pPr>
              <w:pStyle w:val="Ttulodelatabla"/>
              <w:spacing w:before="113" w:after="113"/>
              <w:rPr>
                <w:b/>
                <w:bCs/>
              </w:rPr>
            </w:pPr>
            <w:r>
              <w:rPr>
                <w:b/>
                <w:bCs/>
              </w:rPr>
              <w:t>Componente</w:t>
            </w:r>
          </w:p>
        </w:tc>
        <w:tc>
          <w:tcPr>
            <w:tcW w:w="7509" w:type="dxa"/>
            <w:tcBorders>
              <w:bottom w:val="single" w:sz="4" w:space="0" w:color="000000"/>
            </w:tcBorders>
            <w:vAlign w:val="center"/>
          </w:tcPr>
          <w:p>
            <w:pPr>
              <w:pStyle w:val="Ttulodelatabla"/>
              <w:spacing w:before="113" w:after="113"/>
              <w:rPr/>
            </w:pPr>
            <w:r>
              <w:rPr/>
              <w:t>Función en la operación del sistema</w:t>
            </w:r>
          </w:p>
        </w:tc>
      </w:tr>
      <w:tr>
        <w:trPr/>
        <w:tc>
          <w:tcPr>
            <w:tcW w:w="2149" w:type="dxa"/>
            <w:tcBorders>
              <w:end w:val="single" w:sz="4" w:space="0" w:color="000000"/>
            </w:tcBorders>
            <w:vAlign w:val="center"/>
          </w:tcPr>
          <w:p>
            <w:pPr>
              <w:pStyle w:val="Contenidodelatabla"/>
              <w:spacing w:before="113" w:after="113"/>
              <w:rPr>
                <w:b/>
                <w:bCs/>
              </w:rPr>
            </w:pPr>
            <w:r>
              <w:rPr>
                <w:b/>
                <w:bCs/>
              </w:rPr>
              <w:t>Servidor de aplicaciones</w:t>
            </w:r>
          </w:p>
        </w:tc>
        <w:tc>
          <w:tcPr>
            <w:tcW w:w="7509" w:type="dxa"/>
            <w:tcBorders/>
            <w:vAlign w:val="center"/>
          </w:tcPr>
          <w:p>
            <w:pPr>
              <w:pStyle w:val="Contenidodelatabla"/>
              <w:spacing w:before="113" w:after="113"/>
              <w:rPr/>
            </w:pPr>
            <w:r>
              <w:rPr/>
              <w:t>Aloja los servicios que ejecutan la lógica del sistema, procesando las peticiones de los usuarios y coordinando las operaciones entre módulos.</w:t>
            </w:r>
          </w:p>
        </w:tc>
      </w:tr>
      <w:tr>
        <w:trPr/>
        <w:tc>
          <w:tcPr>
            <w:tcW w:w="2149" w:type="dxa"/>
            <w:tcBorders>
              <w:end w:val="single" w:sz="4" w:space="0" w:color="000000"/>
            </w:tcBorders>
            <w:vAlign w:val="center"/>
          </w:tcPr>
          <w:p>
            <w:pPr>
              <w:pStyle w:val="Contenidodelatabla"/>
              <w:spacing w:before="113" w:after="113"/>
              <w:rPr>
                <w:b/>
                <w:bCs/>
              </w:rPr>
            </w:pPr>
            <w:r>
              <w:rPr>
                <w:b/>
                <w:bCs/>
              </w:rPr>
              <w:t>Servidor de base de datos</w:t>
            </w:r>
          </w:p>
        </w:tc>
        <w:tc>
          <w:tcPr>
            <w:tcW w:w="7509" w:type="dxa"/>
            <w:tcBorders/>
            <w:vAlign w:val="center"/>
          </w:tcPr>
          <w:p>
            <w:pPr>
              <w:pStyle w:val="Contenidodelatabla"/>
              <w:spacing w:before="113" w:after="113"/>
              <w:rPr/>
            </w:pPr>
            <w:r>
              <w:rPr/>
              <w:t>Gestiona el almacenamiento y consulta de toda la información estructurada: documentos indexados, usuarios, permisos y registros de auditoría.</w:t>
            </w:r>
          </w:p>
        </w:tc>
      </w:tr>
      <w:tr>
        <w:trPr/>
        <w:tc>
          <w:tcPr>
            <w:tcW w:w="2149" w:type="dxa"/>
            <w:tcBorders>
              <w:end w:val="single" w:sz="4" w:space="0" w:color="000000"/>
            </w:tcBorders>
            <w:vAlign w:val="center"/>
          </w:tcPr>
          <w:p>
            <w:pPr>
              <w:pStyle w:val="Contenidodelatabla"/>
              <w:spacing w:before="113" w:after="113"/>
              <w:rPr>
                <w:b/>
                <w:bCs/>
              </w:rPr>
            </w:pPr>
            <w:r>
              <w:rPr>
                <w:b/>
                <w:bCs/>
              </w:rPr>
              <w:t>Repositorio de archivos</w:t>
            </w:r>
          </w:p>
        </w:tc>
        <w:tc>
          <w:tcPr>
            <w:tcW w:w="7509" w:type="dxa"/>
            <w:tcBorders/>
            <w:vAlign w:val="center"/>
          </w:tcPr>
          <w:p>
            <w:pPr>
              <w:pStyle w:val="Contenidodelatabla"/>
              <w:spacing w:before="113" w:after="113"/>
              <w:rPr/>
            </w:pPr>
            <w:r>
              <w:rPr/>
              <w:t>Almacena físicamente los documentos digitalizados (PDF, imágenes, etc.), manteniéndolos disponibles para su consulta y recuperación inmediata.</w:t>
            </w:r>
          </w:p>
        </w:tc>
      </w:tr>
      <w:tr>
        <w:trPr/>
        <w:tc>
          <w:tcPr>
            <w:tcW w:w="2149" w:type="dxa"/>
            <w:tcBorders>
              <w:end w:val="single" w:sz="4" w:space="0" w:color="000000"/>
            </w:tcBorders>
            <w:vAlign w:val="center"/>
          </w:tcPr>
          <w:p>
            <w:pPr>
              <w:pStyle w:val="Contenidodelatabla"/>
              <w:spacing w:before="113" w:after="113"/>
              <w:rPr>
                <w:b/>
                <w:bCs/>
              </w:rPr>
            </w:pPr>
            <w:r>
              <w:rPr>
                <w:b/>
                <w:bCs/>
              </w:rPr>
              <w:t>Infraestructura de red</w:t>
            </w:r>
          </w:p>
        </w:tc>
        <w:tc>
          <w:tcPr>
            <w:tcW w:w="7509" w:type="dxa"/>
            <w:tcBorders/>
            <w:vAlign w:val="center"/>
          </w:tcPr>
          <w:p>
            <w:pPr>
              <w:pStyle w:val="Contenidodelatabla"/>
              <w:spacing w:before="113" w:after="113"/>
              <w:rPr/>
            </w:pPr>
            <w:r>
              <w:rPr/>
              <w:t>Conecta todos los componentes entre sí y garantiza la comunicación segura entre los dispositivos de los usuarios y los servidores del sistema.</w:t>
            </w:r>
          </w:p>
        </w:tc>
      </w:tr>
    </w:tbl>
    <w:p>
      <w:pPr>
        <w:pStyle w:val="Heading3"/>
        <w:numPr>
          <w:ilvl w:val="2"/>
          <w:numId w:val="3"/>
        </w:numPr>
        <w:ind w:hanging="0" w:start="0"/>
        <w:rPr/>
      </w:pPr>
      <w:bookmarkStart w:id="38" w:name="__RefHeading___Toc7579_371365040"/>
      <w:bookmarkEnd w:id="38"/>
      <w:r>
        <w:rPr>
          <w:rStyle w:val="Strong"/>
          <w:b/>
          <w:bCs/>
        </w:rPr>
        <w:t>Dispositivos de acceso (usuarios finales)</w:t>
      </w:r>
    </w:p>
    <w:p>
      <w:pPr>
        <w:pStyle w:val="Tabla"/>
        <w:ind w:hanging="0" w:start="0"/>
        <w:rPr/>
      </w:pPr>
      <w:r>
        <w:rPr>
          <w:rStyle w:val="Strong"/>
          <w:b/>
        </w:rPr>
        <w:t xml:space="preserve">Tabla </w:t>
      </w:r>
      <w:r>
        <w:rPr>
          <w:rStyle w:val="Strong"/>
          <w:b/>
        </w:rPr>
        <w:fldChar w:fldCharType="begin"/>
      </w:r>
      <w:r>
        <w:rPr>
          <w:rStyle w:val="Strong"/>
          <w:b/>
        </w:rPr>
        <w:instrText xml:space="preserve"> SEQ Tabla \* ARABIC </w:instrText>
      </w:r>
      <w:r>
        <w:rPr>
          <w:rStyle w:val="Strong"/>
          <w:b/>
        </w:rPr>
        <w:fldChar w:fldCharType="separate"/>
      </w:r>
      <w:r>
        <w:rPr>
          <w:rStyle w:val="Strong"/>
          <w:b/>
        </w:rPr>
        <w:t>5</w:t>
      </w:r>
      <w:r>
        <w:rPr>
          <w:rStyle w:val="Strong"/>
          <w:b/>
        </w:rPr>
        <w:fldChar w:fldCharType="end"/>
      </w:r>
      <w:r>
        <w:rPr>
          <w:rStyle w:val="Strong"/>
          <w:b/>
        </w:rPr>
        <w:t xml:space="preserve"> </w:t>
        <w:br/>
      </w:r>
      <w:r>
        <w:rPr>
          <w:rStyle w:val="Strong"/>
          <w:b w:val="false"/>
          <w:bCs w:val="false"/>
          <w:i/>
          <w:iCs/>
        </w:rPr>
        <w:t>Descripción de la i</w:t>
      </w:r>
      <w:r>
        <w:rPr>
          <w:rStyle w:val="Strong"/>
          <w:b w:val="false"/>
          <w:bCs w:val="false"/>
          <w:i/>
          <w:iCs/>
        </w:rPr>
        <w:t xml:space="preserve">nfraestructura necesaria para acceder al sistema </w:t>
      </w:r>
      <w:r>
        <w:rPr>
          <w:rStyle w:val="Strong"/>
          <w:b w:val="false"/>
          <w:bCs w:val="false"/>
          <w:i/>
          <w:iCs/>
        </w:rPr>
        <w:t>como cliente</w:t>
      </w:r>
    </w:p>
    <w:tbl>
      <w:tblPr>
        <w:tblW w:w="9658" w:type="dxa"/>
        <w:jc w:val="start"/>
        <w:tblInd w:w="0" w:type="dxa"/>
        <w:tblLayout w:type="fixed"/>
        <w:tblCellMar>
          <w:top w:w="55" w:type="dxa"/>
          <w:start w:w="55" w:type="dxa"/>
          <w:bottom w:w="150" w:type="dxa"/>
          <w:end w:w="55" w:type="dxa"/>
        </w:tblCellMar>
      </w:tblPr>
      <w:tblGrid>
        <w:gridCol w:w="2327"/>
        <w:gridCol w:w="7331"/>
      </w:tblGrid>
      <w:tr>
        <w:trPr>
          <w:tblHeader w:val="true"/>
        </w:trPr>
        <w:tc>
          <w:tcPr>
            <w:tcW w:w="2327" w:type="dxa"/>
            <w:tcBorders>
              <w:bottom w:val="single" w:sz="4" w:space="0" w:color="000000"/>
              <w:end w:val="single" w:sz="4" w:space="0" w:color="000000"/>
            </w:tcBorders>
            <w:vAlign w:val="center"/>
          </w:tcPr>
          <w:p>
            <w:pPr>
              <w:pStyle w:val="Ttulodelatabla"/>
              <w:spacing w:before="113" w:after="113"/>
              <w:rPr>
                <w:b/>
                <w:bCs/>
              </w:rPr>
            </w:pPr>
            <w:r>
              <w:rPr>
                <w:b/>
                <w:bCs/>
              </w:rPr>
              <w:t>Dispositivo</w:t>
            </w:r>
          </w:p>
        </w:tc>
        <w:tc>
          <w:tcPr>
            <w:tcW w:w="7331" w:type="dxa"/>
            <w:tcBorders>
              <w:bottom w:val="single" w:sz="4" w:space="0" w:color="000000"/>
            </w:tcBorders>
            <w:vAlign w:val="center"/>
          </w:tcPr>
          <w:p>
            <w:pPr>
              <w:pStyle w:val="Ttulodelatabla"/>
              <w:spacing w:before="113" w:after="113"/>
              <w:rPr/>
            </w:pPr>
            <w:r>
              <w:rPr/>
              <w:t>Uso en la operación diaria</w:t>
            </w:r>
          </w:p>
        </w:tc>
      </w:tr>
      <w:tr>
        <w:trPr/>
        <w:tc>
          <w:tcPr>
            <w:tcW w:w="2327" w:type="dxa"/>
            <w:tcBorders>
              <w:end w:val="single" w:sz="4" w:space="0" w:color="000000"/>
            </w:tcBorders>
            <w:vAlign w:val="center"/>
          </w:tcPr>
          <w:p>
            <w:pPr>
              <w:pStyle w:val="Contenidodelatabla"/>
              <w:spacing w:before="113" w:after="113"/>
              <w:rPr>
                <w:b/>
                <w:bCs/>
              </w:rPr>
            </w:pPr>
            <w:r>
              <w:rPr>
                <w:b/>
                <w:bCs/>
              </w:rPr>
              <w:t>Estación de trabajo (PC o laptop)</w:t>
            </w:r>
          </w:p>
        </w:tc>
        <w:tc>
          <w:tcPr>
            <w:tcW w:w="7331" w:type="dxa"/>
            <w:tcBorders/>
            <w:vAlign w:val="center"/>
          </w:tcPr>
          <w:p>
            <w:pPr>
              <w:pStyle w:val="Contenidodelatabla"/>
              <w:spacing w:before="113" w:after="113"/>
              <w:rPr/>
            </w:pPr>
            <w:r>
              <w:rPr/>
              <w:t>Permite al personal administrativo, médico y directivo acceder al sistema a través de la interfaz web completa.</w:t>
            </w:r>
          </w:p>
        </w:tc>
      </w:tr>
      <w:tr>
        <w:trPr/>
        <w:tc>
          <w:tcPr>
            <w:tcW w:w="2327" w:type="dxa"/>
            <w:tcBorders>
              <w:end w:val="single" w:sz="4" w:space="0" w:color="000000"/>
            </w:tcBorders>
            <w:vAlign w:val="center"/>
          </w:tcPr>
          <w:p>
            <w:pPr>
              <w:pStyle w:val="Contenidodelatabla"/>
              <w:spacing w:before="113" w:after="113"/>
              <w:rPr>
                <w:b/>
                <w:bCs/>
              </w:rPr>
            </w:pPr>
            <w:r>
              <w:rPr>
                <w:b/>
                <w:bCs/>
              </w:rPr>
              <w:t>Escáner de documentos</w:t>
            </w:r>
          </w:p>
        </w:tc>
        <w:tc>
          <w:tcPr>
            <w:tcW w:w="7331" w:type="dxa"/>
            <w:tcBorders/>
            <w:vAlign w:val="center"/>
          </w:tcPr>
          <w:p>
            <w:pPr>
              <w:pStyle w:val="Contenidodelatabla"/>
              <w:spacing w:before="113" w:after="113"/>
              <w:rPr/>
            </w:pPr>
            <w:r>
              <w:rPr/>
              <w:t>Utilizado en el área de recepción o archivo para digitalizar documentación física en el momento de ingreso al sistema.</w:t>
            </w:r>
          </w:p>
        </w:tc>
      </w:tr>
      <w:tr>
        <w:trPr/>
        <w:tc>
          <w:tcPr>
            <w:tcW w:w="2327" w:type="dxa"/>
            <w:tcBorders>
              <w:end w:val="single" w:sz="4" w:space="0" w:color="000000"/>
            </w:tcBorders>
            <w:vAlign w:val="center"/>
          </w:tcPr>
          <w:p>
            <w:pPr>
              <w:pStyle w:val="Contenidodelatabla"/>
              <w:spacing w:before="113" w:after="113"/>
              <w:rPr>
                <w:b/>
                <w:bCs/>
              </w:rPr>
            </w:pPr>
            <w:r>
              <w:rPr>
                <w:b/>
                <w:bCs/>
              </w:rPr>
              <w:t>Dispositivo móvil (teléfono o tablet)</w:t>
            </w:r>
          </w:p>
        </w:tc>
        <w:tc>
          <w:tcPr>
            <w:tcW w:w="7331" w:type="dxa"/>
            <w:tcBorders/>
            <w:vAlign w:val="center"/>
          </w:tcPr>
          <w:p>
            <w:pPr>
              <w:pStyle w:val="Contenidodelatabla"/>
              <w:spacing w:before="113" w:after="113"/>
              <w:rPr/>
            </w:pPr>
            <w:r>
              <w:rPr/>
              <w:t>Facilita el acceso a la aplicación móvil para consulta de expedientes o carga de documentos desde consultorios, salas de internación o atención en campo.</w:t>
            </w:r>
          </w:p>
        </w:tc>
      </w:tr>
    </w:tbl>
    <w:p>
      <w:pPr>
        <w:pStyle w:val="Heading2"/>
        <w:numPr>
          <w:ilvl w:val="1"/>
          <w:numId w:val="3"/>
        </w:numPr>
        <w:spacing w:before="283" w:after="142"/>
        <w:ind w:hanging="0" w:start="0"/>
        <w:rPr/>
      </w:pPr>
      <w:bookmarkStart w:id="39" w:name="__RefHeading___Toc7581_371365040"/>
      <w:bookmarkEnd w:id="39"/>
      <w:r>
        <w:rPr/>
        <w:t>Datos</w:t>
      </w:r>
    </w:p>
    <w:p>
      <w:pPr>
        <w:pStyle w:val="BodyText"/>
        <w:rPr/>
      </w:pPr>
      <w:r>
        <w:rPr/>
        <w:t>Los datos son la materia prima que el sistema captura, procesa y transforma en información útil para la toma de decisiones clínicas y administrativas. En operación, el sistema maneja los siguientes tipos de datos:</w:t>
      </w:r>
    </w:p>
    <w:p>
      <w:pPr>
        <w:pStyle w:val="Tabla"/>
        <w:rPr/>
      </w:pPr>
      <w:r>
        <w:rPr/>
        <w:t xml:space="preserve">Tabla </w:t>
      </w:r>
      <w:r>
        <w:rPr/>
        <w:fldChar w:fldCharType="begin"/>
      </w:r>
      <w:r>
        <w:rPr/>
        <w:instrText xml:space="preserve"> SEQ Tabla \* ARABIC </w:instrText>
      </w:r>
      <w:r>
        <w:rPr/>
        <w:fldChar w:fldCharType="separate"/>
      </w:r>
      <w:r>
        <w:rPr/>
        <w:t>6</w:t>
      </w:r>
      <w:r>
        <w:rPr/>
        <w:fldChar w:fldCharType="end"/>
      </w:r>
      <w:r>
        <w:rPr/>
        <w:t xml:space="preserve"> </w:t>
        <w:br/>
      </w:r>
      <w:r>
        <w:rPr>
          <w:b w:val="false"/>
          <w:bCs w:val="false"/>
          <w:i/>
          <w:iCs/>
        </w:rPr>
        <w:t>Descripción de los datos identificados en el sistema</w:t>
      </w:r>
    </w:p>
    <w:tbl>
      <w:tblPr>
        <w:tblW w:w="9658" w:type="dxa"/>
        <w:jc w:val="start"/>
        <w:tblInd w:w="0" w:type="dxa"/>
        <w:tblLayout w:type="fixed"/>
        <w:tblCellMar>
          <w:top w:w="55" w:type="dxa"/>
          <w:start w:w="55" w:type="dxa"/>
          <w:bottom w:w="150" w:type="dxa"/>
          <w:end w:w="55" w:type="dxa"/>
        </w:tblCellMar>
      </w:tblPr>
      <w:tblGrid>
        <w:gridCol w:w="1821"/>
        <w:gridCol w:w="4225"/>
        <w:gridCol w:w="3612"/>
      </w:tblGrid>
      <w:tr>
        <w:trPr>
          <w:tblHeader w:val="true"/>
        </w:trPr>
        <w:tc>
          <w:tcPr>
            <w:tcW w:w="1821" w:type="dxa"/>
            <w:tcBorders>
              <w:bottom w:val="single" w:sz="4" w:space="0" w:color="000000"/>
              <w:end w:val="single" w:sz="4" w:space="0" w:color="000000"/>
            </w:tcBorders>
            <w:vAlign w:val="center"/>
          </w:tcPr>
          <w:p>
            <w:pPr>
              <w:pStyle w:val="Ttulodelatabla"/>
              <w:spacing w:before="113" w:after="113"/>
              <w:rPr>
                <w:b/>
                <w:bCs/>
              </w:rPr>
            </w:pPr>
            <w:r>
              <w:rPr>
                <w:b/>
                <w:bCs/>
              </w:rPr>
              <w:t>Tipo de dato</w:t>
            </w:r>
          </w:p>
        </w:tc>
        <w:tc>
          <w:tcPr>
            <w:tcW w:w="4225" w:type="dxa"/>
            <w:tcBorders>
              <w:bottom w:val="single" w:sz="4" w:space="0" w:color="000000"/>
            </w:tcBorders>
            <w:vAlign w:val="center"/>
          </w:tcPr>
          <w:p>
            <w:pPr>
              <w:pStyle w:val="Ttulodelatabla"/>
              <w:spacing w:before="113" w:after="113"/>
              <w:rPr/>
            </w:pPr>
            <w:r>
              <w:rPr/>
              <w:t>Descripción</w:t>
            </w:r>
          </w:p>
        </w:tc>
        <w:tc>
          <w:tcPr>
            <w:tcW w:w="3612" w:type="dxa"/>
            <w:tcBorders>
              <w:bottom w:val="single" w:sz="4" w:space="0" w:color="000000"/>
            </w:tcBorders>
            <w:vAlign w:val="center"/>
          </w:tcPr>
          <w:p>
            <w:pPr>
              <w:pStyle w:val="Ttulodelatabla"/>
              <w:spacing w:before="113" w:after="113"/>
              <w:rPr/>
            </w:pPr>
            <w:r>
              <w:rPr/>
              <w:t>Origen en la operación</w:t>
            </w:r>
          </w:p>
        </w:tc>
      </w:tr>
      <w:tr>
        <w:trPr/>
        <w:tc>
          <w:tcPr>
            <w:tcW w:w="1821" w:type="dxa"/>
            <w:tcBorders>
              <w:end w:val="single" w:sz="4" w:space="0" w:color="000000"/>
            </w:tcBorders>
            <w:vAlign w:val="center"/>
          </w:tcPr>
          <w:p>
            <w:pPr>
              <w:pStyle w:val="Contenidodelatabla"/>
              <w:spacing w:before="113" w:after="113"/>
              <w:rPr>
                <w:b/>
                <w:bCs/>
              </w:rPr>
            </w:pPr>
            <w:r>
              <w:rPr>
                <w:b/>
                <w:bCs/>
              </w:rPr>
              <w:t>Datos del paciente</w:t>
            </w:r>
          </w:p>
        </w:tc>
        <w:tc>
          <w:tcPr>
            <w:tcW w:w="4225" w:type="dxa"/>
            <w:tcBorders/>
            <w:vAlign w:val="center"/>
          </w:tcPr>
          <w:p>
            <w:pPr>
              <w:pStyle w:val="Contenidodelatabla"/>
              <w:spacing w:before="113" w:after="113"/>
              <w:rPr/>
            </w:pPr>
            <w:r>
              <w:rPr/>
              <w:t>Identidad y atributos básicos de las personas atendidas: nombre, fecha de nacimiento, número de historia clínica, identificadores únicos.</w:t>
            </w:r>
          </w:p>
        </w:tc>
        <w:tc>
          <w:tcPr>
            <w:tcW w:w="3612" w:type="dxa"/>
            <w:tcBorders/>
            <w:vAlign w:val="center"/>
          </w:tcPr>
          <w:p>
            <w:pPr>
              <w:pStyle w:val="Contenidodelatabla"/>
              <w:spacing w:before="113" w:after="113"/>
              <w:rPr/>
            </w:pPr>
            <w:r>
              <w:rPr/>
              <w:t>Registro inicial manual por parte del personal administrativo o importación desde sistemas existentes.</w:t>
            </w:r>
          </w:p>
        </w:tc>
      </w:tr>
      <w:tr>
        <w:trPr/>
        <w:tc>
          <w:tcPr>
            <w:tcW w:w="1821" w:type="dxa"/>
            <w:tcBorders>
              <w:end w:val="single" w:sz="4" w:space="0" w:color="000000"/>
            </w:tcBorders>
            <w:vAlign w:val="center"/>
          </w:tcPr>
          <w:p>
            <w:pPr>
              <w:pStyle w:val="Contenidodelatabla"/>
              <w:spacing w:before="113" w:after="113"/>
              <w:rPr>
                <w:b/>
                <w:bCs/>
              </w:rPr>
            </w:pPr>
            <w:r>
              <w:rPr>
                <w:b/>
                <w:bCs/>
              </w:rPr>
              <w:t>Datos documentales</w:t>
            </w:r>
          </w:p>
        </w:tc>
        <w:tc>
          <w:tcPr>
            <w:tcW w:w="4225" w:type="dxa"/>
            <w:tcBorders/>
            <w:vAlign w:val="center"/>
          </w:tcPr>
          <w:p>
            <w:pPr>
              <w:pStyle w:val="Contenidodelatabla"/>
              <w:spacing w:before="113" w:after="113"/>
              <w:rPr/>
            </w:pPr>
            <w:r>
              <w:rPr/>
              <w:t>Contenido y características de los documentos gestionados: tipo de formulario, fecha de emisión, área responsable, estado de vigencia.</w:t>
            </w:r>
          </w:p>
        </w:tc>
        <w:tc>
          <w:tcPr>
            <w:tcW w:w="3612" w:type="dxa"/>
            <w:tcBorders/>
            <w:vAlign w:val="center"/>
          </w:tcPr>
          <w:p>
            <w:pPr>
              <w:pStyle w:val="Contenidodelatabla"/>
              <w:spacing w:before="113" w:after="113"/>
              <w:rPr/>
            </w:pPr>
            <w:r>
              <w:rPr/>
              <w:t>Capturados mediante carga directa de archivos o extraídos automáticamente por el módulo de OCR.</w:t>
            </w:r>
          </w:p>
        </w:tc>
      </w:tr>
      <w:tr>
        <w:trPr/>
        <w:tc>
          <w:tcPr>
            <w:tcW w:w="1821" w:type="dxa"/>
            <w:tcBorders>
              <w:end w:val="single" w:sz="4" w:space="0" w:color="000000"/>
            </w:tcBorders>
            <w:vAlign w:val="center"/>
          </w:tcPr>
          <w:p>
            <w:pPr>
              <w:pStyle w:val="Contenidodelatabla"/>
              <w:spacing w:before="113" w:after="113"/>
              <w:rPr>
                <w:b/>
                <w:bCs/>
              </w:rPr>
            </w:pPr>
            <w:r>
              <w:rPr>
                <w:b/>
                <w:bCs/>
              </w:rPr>
              <w:t>Metadatos de indexación</w:t>
            </w:r>
          </w:p>
        </w:tc>
        <w:tc>
          <w:tcPr>
            <w:tcW w:w="4225" w:type="dxa"/>
            <w:tcBorders/>
            <w:vAlign w:val="center"/>
          </w:tcPr>
          <w:p>
            <w:pPr>
              <w:pStyle w:val="Contenidodelatabla"/>
              <w:spacing w:before="113" w:after="113"/>
              <w:rPr/>
            </w:pPr>
            <w:r>
              <w:rPr/>
              <w:t>Información estructurada que contextualiza y facilita la recuperación de documentos: autor, fecha de carga, palabras clave, clasificación automática.</w:t>
            </w:r>
          </w:p>
        </w:tc>
        <w:tc>
          <w:tcPr>
            <w:tcW w:w="3612" w:type="dxa"/>
            <w:tcBorders/>
            <w:vAlign w:val="center"/>
          </w:tcPr>
          <w:p>
            <w:pPr>
              <w:pStyle w:val="Contenidodelatabla"/>
              <w:spacing w:before="113" w:after="113"/>
              <w:rPr/>
            </w:pPr>
            <w:r>
              <w:rPr/>
              <w:t>Generados automáticamente por el sistema en el momento de incorporación del documento.</w:t>
            </w:r>
          </w:p>
        </w:tc>
      </w:tr>
      <w:tr>
        <w:trPr/>
        <w:tc>
          <w:tcPr>
            <w:tcW w:w="1821" w:type="dxa"/>
            <w:tcBorders>
              <w:end w:val="single" w:sz="4" w:space="0" w:color="000000"/>
            </w:tcBorders>
            <w:vAlign w:val="center"/>
          </w:tcPr>
          <w:p>
            <w:pPr>
              <w:pStyle w:val="Contenidodelatabla"/>
              <w:spacing w:before="113" w:after="113"/>
              <w:rPr>
                <w:b/>
                <w:bCs/>
              </w:rPr>
            </w:pPr>
            <w:r>
              <w:rPr>
                <w:b/>
                <w:bCs/>
              </w:rPr>
              <w:t>Datos de acceso y auditoría</w:t>
            </w:r>
          </w:p>
        </w:tc>
        <w:tc>
          <w:tcPr>
            <w:tcW w:w="4225" w:type="dxa"/>
            <w:tcBorders/>
            <w:vAlign w:val="center"/>
          </w:tcPr>
          <w:p>
            <w:pPr>
              <w:pStyle w:val="Contenidodelatabla"/>
              <w:spacing w:before="113" w:after="113"/>
              <w:rPr/>
            </w:pPr>
            <w:r>
              <w:rPr/>
              <w:t>Registro de todas las interacciones de los usuarios con los documentos: quién realizó la operación, qué acción ejecutó, cuándo y desde qué dispositivo.</w:t>
            </w:r>
          </w:p>
        </w:tc>
        <w:tc>
          <w:tcPr>
            <w:tcW w:w="3612" w:type="dxa"/>
            <w:tcBorders/>
            <w:vAlign w:val="center"/>
          </w:tcPr>
          <w:p>
            <w:pPr>
              <w:pStyle w:val="Contenidodelatabla"/>
              <w:spacing w:before="113" w:after="113"/>
              <w:rPr/>
            </w:pPr>
            <w:r>
              <w:rPr/>
              <w:t>Generados automáticamente por el módulo de trazabilidad ante cada operación.</w:t>
            </w:r>
          </w:p>
        </w:tc>
      </w:tr>
      <w:tr>
        <w:trPr/>
        <w:tc>
          <w:tcPr>
            <w:tcW w:w="1821" w:type="dxa"/>
            <w:tcBorders>
              <w:end w:val="single" w:sz="4" w:space="0" w:color="000000"/>
            </w:tcBorders>
            <w:vAlign w:val="center"/>
          </w:tcPr>
          <w:p>
            <w:pPr>
              <w:pStyle w:val="Contenidodelatabla"/>
              <w:spacing w:before="113" w:after="113"/>
              <w:rPr>
                <w:b/>
                <w:bCs/>
              </w:rPr>
            </w:pPr>
            <w:r>
              <w:rPr>
                <w:b/>
                <w:bCs/>
              </w:rPr>
              <w:t>Datos de alertas</w:t>
            </w:r>
          </w:p>
        </w:tc>
        <w:tc>
          <w:tcPr>
            <w:tcW w:w="4225" w:type="dxa"/>
            <w:tcBorders/>
            <w:vAlign w:val="center"/>
          </w:tcPr>
          <w:p>
            <w:pPr>
              <w:pStyle w:val="Contenidodelatabla"/>
              <w:spacing w:before="113" w:after="113"/>
              <w:rPr/>
            </w:pPr>
            <w:r>
              <w:rPr/>
              <w:t>Información sobre documentos críticos y su estado de vigencia: documento afectado, fecha de vencimiento, destinatario de la notificación, estado de la alerta.</w:t>
            </w:r>
          </w:p>
        </w:tc>
        <w:tc>
          <w:tcPr>
            <w:tcW w:w="3612" w:type="dxa"/>
            <w:tcBorders/>
            <w:vAlign w:val="center"/>
          </w:tcPr>
          <w:p>
            <w:pPr>
              <w:pStyle w:val="Contenidodelatabla"/>
              <w:spacing w:before="113" w:after="113"/>
              <w:rPr/>
            </w:pPr>
            <w:r>
              <w:rPr/>
              <w:t>Generados por el módulo de alertas a partir de los metadatos documentales y la configuración de umbrales.</w:t>
            </w:r>
          </w:p>
        </w:tc>
      </w:tr>
      <w:tr>
        <w:trPr/>
        <w:tc>
          <w:tcPr>
            <w:tcW w:w="1821" w:type="dxa"/>
            <w:tcBorders>
              <w:end w:val="single" w:sz="4" w:space="0" w:color="000000"/>
            </w:tcBorders>
            <w:vAlign w:val="center"/>
          </w:tcPr>
          <w:p>
            <w:pPr>
              <w:pStyle w:val="Contenidodelatabla"/>
              <w:spacing w:before="113" w:after="113"/>
              <w:rPr>
                <w:b/>
                <w:bCs/>
              </w:rPr>
            </w:pPr>
            <w:r>
              <w:rPr>
                <w:b/>
                <w:bCs/>
              </w:rPr>
              <w:t>Datos de usuarios y roles</w:t>
            </w:r>
          </w:p>
        </w:tc>
        <w:tc>
          <w:tcPr>
            <w:tcW w:w="4225" w:type="dxa"/>
            <w:tcBorders/>
            <w:vAlign w:val="center"/>
          </w:tcPr>
          <w:p>
            <w:pPr>
              <w:pStyle w:val="Contenidodelatabla"/>
              <w:spacing w:before="113" w:after="113"/>
              <w:rPr/>
            </w:pPr>
            <w:r>
              <w:rPr/>
              <w:t>Registros de las personas autorizadas a utilizar el sistema: credenciales de acceso, rol asignado, permisos activos, historial de sesiones.</w:t>
            </w:r>
          </w:p>
        </w:tc>
        <w:tc>
          <w:tcPr>
            <w:tcW w:w="3612" w:type="dxa"/>
            <w:tcBorders/>
            <w:vAlign w:val="center"/>
          </w:tcPr>
          <w:p>
            <w:pPr>
              <w:pStyle w:val="Contenidodelatabla"/>
              <w:spacing w:before="113" w:after="113"/>
              <w:rPr/>
            </w:pPr>
            <w:r>
              <w:rPr/>
              <w:t>Administrados por el personal técnico autorizado a través del panel de administración.</w:t>
            </w:r>
          </w:p>
        </w:tc>
      </w:tr>
    </w:tbl>
    <w:p>
      <w:pPr>
        <w:pStyle w:val="Heading2"/>
        <w:numPr>
          <w:ilvl w:val="1"/>
          <w:numId w:val="3"/>
        </w:numPr>
        <w:spacing w:before="283" w:after="142"/>
        <w:ind w:hanging="0" w:start="0"/>
        <w:rPr/>
      </w:pPr>
      <w:bookmarkStart w:id="40" w:name="__RefHeading___Toc7583_371365040"/>
      <w:bookmarkEnd w:id="40"/>
      <w:r>
        <w:rPr/>
        <w:t>Procesos</w:t>
      </w:r>
    </w:p>
    <w:p>
      <w:pPr>
        <w:pStyle w:val="BodyText"/>
        <w:rPr/>
      </w:pPr>
      <w:r>
        <w:rPr/>
        <w:t>Los procesos definen cómo fluyen los datos dentro del sistema y cómo se transforman en información útil durante la operación diaria. Los procesos principales del SGD en producción son:</w:t>
      </w:r>
    </w:p>
    <w:p>
      <w:pPr>
        <w:pStyle w:val="BodyText"/>
        <w:rPr/>
      </w:pPr>
      <w:r>
        <w:rPr>
          <w:rStyle w:val="Strong"/>
        </w:rPr>
        <w:t>Incorporación documental.</w:t>
      </w:r>
      <w:r>
        <w:rPr/>
        <w:t> Cuando un documento físico llega al área de recepción, el personal administrativo lo digitaliza mediante escáner. El sistema recibe la imagen, aplica reconocimiento óptico de caracteres (OCR), identifica automáticamente el tipo de formulario, extrae metadatos clave (paciente, fecha, tipo de documento) y registra el documento en el repositorio con su información completa. Todo el proceso ocurre sin necesidad de clasificación manual.</w:t>
      </w:r>
    </w:p>
    <w:p>
      <w:pPr>
        <w:pStyle w:val="BodyText"/>
        <w:rPr/>
      </w:pPr>
      <w:r>
        <w:rPr>
          <w:rStyle w:val="Strong"/>
        </w:rPr>
        <w:t>Búsqueda y recuperación.</w:t>
      </w:r>
      <w:r>
        <w:rPr/>
        <w:t> Un médico o administrativo ingresa criterios de búsqueda —por nombre de paciente, número de historia clínica, tipo de documento o rango de fechas—. El sistema consulta el índice de metadatos, retorna los resultados relevantes en segundos y permite acceder al documento completo. Cada búsqueda queda registrada automáticamente en la bitácora de auditoría.</w:t>
      </w:r>
    </w:p>
    <w:p>
      <w:pPr>
        <w:pStyle w:val="BodyText"/>
        <w:rPr/>
      </w:pPr>
      <w:r>
        <w:rPr>
          <w:rStyle w:val="Strong"/>
        </w:rPr>
        <w:t>Control de acceso.</w:t>
      </w:r>
      <w:r>
        <w:rPr/>
        <w:t> Al intentar acceder a un documento o funcionalidad, el sistema verifica el rol del usuario autenticado y evalúa si dispone de los permisos necesarios. Si el acceso está autorizado, se concede la operación; en caso contrario, se deniega y se registra el intento fallido. Este proceso opera de forma transparente para el usuario, garantizando que cada persona vea únicamente la información correspondiente a sus funciones.</w:t>
      </w:r>
    </w:p>
    <w:p>
      <w:pPr>
        <w:pStyle w:val="BodyText"/>
        <w:rPr/>
      </w:pPr>
      <w:r>
        <w:rPr>
          <w:rStyle w:val="Strong"/>
        </w:rPr>
        <w:t>Gestión del ciclo de vida documental.</w:t>
      </w:r>
      <w:r>
        <w:rPr/>
        <w:t> El sistema monitorea continuamente las fechas de vencimiento de los documentos críticos (consentimientos informados, credenciales profesionales, autorizaciones de procedimientos). Cuando un documento se acerca a su fecha de expiración, el sistema genera automáticamente alertas dirigidas a los responsables configurados. Al alcanzar la fecha de vencimiento, el documento cambia su estado a “expirado” y las notificaciones se actualizan.</w:t>
      </w:r>
    </w:p>
    <w:p>
      <w:pPr>
        <w:pStyle w:val="BodyText"/>
        <w:rPr/>
      </w:pPr>
      <w:r>
        <w:rPr>
          <w:rStyle w:val="Strong"/>
        </w:rPr>
        <w:t>Auditoría.</w:t>
      </w:r>
      <w:r>
        <w:rPr/>
        <w:t> Cada operación que un usuario realiza sobre un documento —consulta, carga, modificación, descarga o eliminación— genera un registro inmutable que incluye la identificación del actor, el tipo de operación, la marca de tiempo y la dirección desde la que se realizó. Estos registros son accesibles únicamente para los administradores del sistema y constituyen la evidencia de cumplimiento normativo.</w:t>
      </w:r>
    </w:p>
    <w:p>
      <w:pPr>
        <w:pStyle w:val="Heading2"/>
        <w:numPr>
          <w:ilvl w:val="1"/>
          <w:numId w:val="3"/>
        </w:numPr>
        <w:ind w:hanging="0" w:start="0"/>
        <w:rPr/>
      </w:pPr>
      <w:bookmarkStart w:id="41" w:name="__RefHeading___Toc7585_371365040"/>
      <w:bookmarkEnd w:id="41"/>
      <w:r>
        <w:rPr/>
        <w:t>Actores</w:t>
      </w:r>
    </w:p>
    <w:p>
      <w:pPr>
        <w:pStyle w:val="BodyText"/>
        <w:rPr/>
      </w:pPr>
      <w:r>
        <w:rPr/>
        <w:t>Los actores son todas las personas o sistemas externos que interactúan con el SGD en su operación diaria.</w:t>
      </w:r>
    </w:p>
    <w:p>
      <w:pPr>
        <w:pStyle w:val="Tabla"/>
        <w:ind w:hanging="0" w:start="0"/>
        <w:rPr/>
      </w:pPr>
      <w:r>
        <w:rPr/>
        <w:t xml:space="preserve">Tabla </w:t>
      </w:r>
      <w:r>
        <w:rPr/>
        <w:fldChar w:fldCharType="begin"/>
      </w:r>
      <w:r>
        <w:rPr/>
        <w:instrText xml:space="preserve"> SEQ Tabla \* ARABIC </w:instrText>
      </w:r>
      <w:r>
        <w:rPr/>
        <w:fldChar w:fldCharType="separate"/>
      </w:r>
      <w:r>
        <w:rPr/>
        <w:t>7</w:t>
      </w:r>
      <w:r>
        <w:rPr/>
        <w:fldChar w:fldCharType="end"/>
      </w:r>
      <w:r>
        <w:rPr/>
        <w:t xml:space="preserve"> </w:t>
        <w:br/>
      </w:r>
      <w:r>
        <w:rPr>
          <w:b w:val="false"/>
          <w:bCs w:val="false"/>
          <w:i/>
          <w:iCs/>
        </w:rPr>
        <w:t>Descripción de actores en el sistema</w:t>
      </w:r>
    </w:p>
    <w:tbl>
      <w:tblPr>
        <w:tblW w:w="9658" w:type="dxa"/>
        <w:jc w:val="start"/>
        <w:tblInd w:w="0" w:type="dxa"/>
        <w:tblLayout w:type="fixed"/>
        <w:tblCellMar>
          <w:top w:w="55" w:type="dxa"/>
          <w:start w:w="55" w:type="dxa"/>
          <w:bottom w:w="150" w:type="dxa"/>
          <w:end w:w="55" w:type="dxa"/>
        </w:tblCellMar>
      </w:tblPr>
      <w:tblGrid>
        <w:gridCol w:w="2224"/>
        <w:gridCol w:w="1953"/>
        <w:gridCol w:w="5481"/>
      </w:tblGrid>
      <w:tr>
        <w:trPr>
          <w:tblHeader w:val="true"/>
        </w:trPr>
        <w:tc>
          <w:tcPr>
            <w:tcW w:w="2224" w:type="dxa"/>
            <w:tcBorders>
              <w:bottom w:val="single" w:sz="4" w:space="0" w:color="000000"/>
              <w:end w:val="single" w:sz="4" w:space="0" w:color="000000"/>
            </w:tcBorders>
            <w:vAlign w:val="center"/>
          </w:tcPr>
          <w:p>
            <w:pPr>
              <w:pStyle w:val="Ttulodelatabla"/>
              <w:spacing w:before="113" w:after="113"/>
              <w:rPr>
                <w:b/>
                <w:bCs/>
              </w:rPr>
            </w:pPr>
            <w:r>
              <w:rPr>
                <w:b/>
                <w:bCs/>
              </w:rPr>
              <w:t>Actor</w:t>
            </w:r>
          </w:p>
        </w:tc>
        <w:tc>
          <w:tcPr>
            <w:tcW w:w="1953" w:type="dxa"/>
            <w:tcBorders>
              <w:bottom w:val="single" w:sz="4" w:space="0" w:color="000000"/>
            </w:tcBorders>
            <w:vAlign w:val="center"/>
          </w:tcPr>
          <w:p>
            <w:pPr>
              <w:pStyle w:val="Ttulodelatabla"/>
              <w:spacing w:before="113" w:after="113"/>
              <w:rPr/>
            </w:pPr>
            <w:r>
              <w:rPr/>
              <w:t>Rol en el sistema</w:t>
            </w:r>
          </w:p>
        </w:tc>
        <w:tc>
          <w:tcPr>
            <w:tcW w:w="5481" w:type="dxa"/>
            <w:tcBorders>
              <w:bottom w:val="single" w:sz="4" w:space="0" w:color="000000"/>
            </w:tcBorders>
            <w:vAlign w:val="center"/>
          </w:tcPr>
          <w:p>
            <w:pPr>
              <w:pStyle w:val="Ttulodelatabla"/>
              <w:spacing w:before="113" w:after="113"/>
              <w:rPr/>
            </w:pPr>
            <w:r>
              <w:rPr/>
              <w:t>Interacciones principales</w:t>
            </w:r>
          </w:p>
        </w:tc>
      </w:tr>
      <w:tr>
        <w:trPr/>
        <w:tc>
          <w:tcPr>
            <w:tcW w:w="2224" w:type="dxa"/>
            <w:tcBorders>
              <w:end w:val="single" w:sz="4" w:space="0" w:color="000000"/>
            </w:tcBorders>
            <w:vAlign w:val="center"/>
          </w:tcPr>
          <w:p>
            <w:pPr>
              <w:pStyle w:val="Contenidodelatabla"/>
              <w:spacing w:before="113" w:after="113"/>
              <w:rPr>
                <w:b/>
                <w:bCs/>
              </w:rPr>
            </w:pPr>
            <w:r>
              <w:rPr>
                <w:b/>
                <w:bCs/>
              </w:rPr>
              <w:t>Personal administrativo</w:t>
            </w:r>
          </w:p>
        </w:tc>
        <w:tc>
          <w:tcPr>
            <w:tcW w:w="1953" w:type="dxa"/>
            <w:tcBorders/>
            <w:vAlign w:val="center"/>
          </w:tcPr>
          <w:p>
            <w:pPr>
              <w:pStyle w:val="Contenidodelatabla"/>
              <w:spacing w:before="113" w:after="113"/>
              <w:rPr/>
            </w:pPr>
            <w:r>
              <w:rPr/>
              <w:t>Usuario operativo central</w:t>
            </w:r>
          </w:p>
        </w:tc>
        <w:tc>
          <w:tcPr>
            <w:tcW w:w="5481" w:type="dxa"/>
            <w:tcBorders/>
            <w:vAlign w:val="center"/>
          </w:tcPr>
          <w:p>
            <w:pPr>
              <w:pStyle w:val="Contenidodelatabla"/>
              <w:spacing w:before="113" w:after="113"/>
              <w:rPr/>
            </w:pPr>
            <w:r>
              <w:rPr/>
              <w:t>Carga documentos, clasifica expedientes, realiza búsquedas, gestiona el ingreso y salida de documentación.</w:t>
            </w:r>
          </w:p>
        </w:tc>
      </w:tr>
      <w:tr>
        <w:trPr/>
        <w:tc>
          <w:tcPr>
            <w:tcW w:w="2224" w:type="dxa"/>
            <w:tcBorders>
              <w:end w:val="single" w:sz="4" w:space="0" w:color="000000"/>
            </w:tcBorders>
            <w:vAlign w:val="center"/>
          </w:tcPr>
          <w:p>
            <w:pPr>
              <w:pStyle w:val="Contenidodelatabla"/>
              <w:spacing w:before="113" w:after="113"/>
              <w:rPr>
                <w:b/>
                <w:bCs/>
              </w:rPr>
            </w:pPr>
            <w:r>
              <w:rPr>
                <w:b/>
                <w:bCs/>
              </w:rPr>
              <w:t>Médico / profesional de salud</w:t>
            </w:r>
          </w:p>
        </w:tc>
        <w:tc>
          <w:tcPr>
            <w:tcW w:w="1953" w:type="dxa"/>
            <w:tcBorders/>
            <w:vAlign w:val="center"/>
          </w:tcPr>
          <w:p>
            <w:pPr>
              <w:pStyle w:val="Contenidodelatabla"/>
              <w:spacing w:before="113" w:after="113"/>
              <w:rPr/>
            </w:pPr>
            <w:r>
              <w:rPr/>
              <w:t>Usuario de consulta clínica</w:t>
            </w:r>
          </w:p>
        </w:tc>
        <w:tc>
          <w:tcPr>
            <w:tcW w:w="5481" w:type="dxa"/>
            <w:tcBorders/>
            <w:vAlign w:val="center"/>
          </w:tcPr>
          <w:p>
            <w:pPr>
              <w:pStyle w:val="Contenidodelatabla"/>
              <w:spacing w:before="113" w:after="113"/>
              <w:rPr/>
            </w:pPr>
            <w:r>
              <w:rPr/>
              <w:t>Accede a historias clínicas y resultados de pacientes bajo su atención, consulta documentación para toma de decisiones.</w:t>
            </w:r>
          </w:p>
        </w:tc>
      </w:tr>
      <w:tr>
        <w:trPr/>
        <w:tc>
          <w:tcPr>
            <w:tcW w:w="2224" w:type="dxa"/>
            <w:tcBorders>
              <w:end w:val="single" w:sz="4" w:space="0" w:color="000000"/>
            </w:tcBorders>
            <w:vAlign w:val="center"/>
          </w:tcPr>
          <w:p>
            <w:pPr>
              <w:pStyle w:val="Contenidodelatabla"/>
              <w:spacing w:before="113" w:after="113"/>
              <w:rPr>
                <w:b/>
                <w:bCs/>
              </w:rPr>
            </w:pPr>
            <w:r>
              <w:rPr>
                <w:b/>
                <w:bCs/>
              </w:rPr>
              <w:t>Director / gerente de la institución</w:t>
            </w:r>
          </w:p>
        </w:tc>
        <w:tc>
          <w:tcPr>
            <w:tcW w:w="1953" w:type="dxa"/>
            <w:tcBorders/>
            <w:vAlign w:val="center"/>
          </w:tcPr>
          <w:p>
            <w:pPr>
              <w:pStyle w:val="Contenidodelatabla"/>
              <w:spacing w:before="113" w:after="113"/>
              <w:rPr/>
            </w:pPr>
            <w:r>
              <w:rPr/>
              <w:t>Usuario de supervisión</w:t>
            </w:r>
          </w:p>
        </w:tc>
        <w:tc>
          <w:tcPr>
            <w:tcW w:w="5481" w:type="dxa"/>
            <w:tcBorders/>
            <w:vAlign w:val="center"/>
          </w:tcPr>
          <w:p>
            <w:pPr>
              <w:pStyle w:val="Contenidodelatabla"/>
              <w:spacing w:before="113" w:after="113"/>
              <w:rPr/>
            </w:pPr>
            <w:r>
              <w:rPr/>
              <w:t>Consulta reportes de actividad, revisa logs de auditoría y supervisa el estado general del repositorio documental.</w:t>
            </w:r>
          </w:p>
        </w:tc>
      </w:tr>
      <w:tr>
        <w:trPr/>
        <w:tc>
          <w:tcPr>
            <w:tcW w:w="2224" w:type="dxa"/>
            <w:tcBorders>
              <w:end w:val="single" w:sz="4" w:space="0" w:color="000000"/>
            </w:tcBorders>
            <w:vAlign w:val="center"/>
          </w:tcPr>
          <w:p>
            <w:pPr>
              <w:pStyle w:val="Contenidodelatabla"/>
              <w:spacing w:before="113" w:after="113"/>
              <w:rPr>
                <w:b/>
                <w:bCs/>
              </w:rPr>
            </w:pPr>
            <w:r>
              <w:rPr>
                <w:b/>
                <w:bCs/>
              </w:rPr>
              <w:t>Administrador del sistema</w:t>
            </w:r>
          </w:p>
        </w:tc>
        <w:tc>
          <w:tcPr>
            <w:tcW w:w="1953" w:type="dxa"/>
            <w:tcBorders/>
            <w:vAlign w:val="center"/>
          </w:tcPr>
          <w:p>
            <w:pPr>
              <w:pStyle w:val="Contenidodelatabla"/>
              <w:spacing w:before="113" w:after="113"/>
              <w:rPr/>
            </w:pPr>
            <w:r>
              <w:rPr/>
              <w:t>Usuario técnico privilegiado</w:t>
            </w:r>
          </w:p>
        </w:tc>
        <w:tc>
          <w:tcPr>
            <w:tcW w:w="5481" w:type="dxa"/>
            <w:tcBorders/>
            <w:vAlign w:val="center"/>
          </w:tcPr>
          <w:p>
            <w:pPr>
              <w:pStyle w:val="Contenidodelatabla"/>
              <w:spacing w:before="113" w:after="113"/>
              <w:rPr/>
            </w:pPr>
            <w:r>
              <w:rPr/>
              <w:t>Gestiona cuentas de usuario, asigna roles y permisos, configura alertas, mantiene los parámetros generales del sistema.</w:t>
            </w:r>
          </w:p>
        </w:tc>
      </w:tr>
      <w:tr>
        <w:trPr/>
        <w:tc>
          <w:tcPr>
            <w:tcW w:w="2224" w:type="dxa"/>
            <w:tcBorders>
              <w:end w:val="single" w:sz="4" w:space="0" w:color="000000"/>
            </w:tcBorders>
            <w:vAlign w:val="center"/>
          </w:tcPr>
          <w:p>
            <w:pPr>
              <w:pStyle w:val="Contenidodelatabla"/>
              <w:spacing w:before="113" w:after="113"/>
              <w:rPr>
                <w:b/>
                <w:bCs/>
              </w:rPr>
            </w:pPr>
            <w:r>
              <w:rPr>
                <w:b/>
                <w:bCs/>
              </w:rPr>
              <w:t>Paciente</w:t>
            </w:r>
          </w:p>
        </w:tc>
        <w:tc>
          <w:tcPr>
            <w:tcW w:w="1953" w:type="dxa"/>
            <w:tcBorders/>
            <w:vAlign w:val="center"/>
          </w:tcPr>
          <w:p>
            <w:pPr>
              <w:pStyle w:val="Contenidodelatabla"/>
              <w:spacing w:before="113" w:after="113"/>
              <w:rPr/>
            </w:pPr>
            <w:r>
              <w:rPr/>
              <w:t>Actor externo indirecto</w:t>
            </w:r>
          </w:p>
        </w:tc>
        <w:tc>
          <w:tcPr>
            <w:tcW w:w="5481" w:type="dxa"/>
            <w:tcBorders/>
            <w:vAlign w:val="center"/>
          </w:tcPr>
          <w:p>
            <w:pPr>
              <w:pStyle w:val="Contenidodelatabla"/>
              <w:spacing w:before="113" w:after="113"/>
              <w:rPr/>
            </w:pPr>
            <w:r>
              <w:rPr/>
              <w:t>Sus datos son gestionados dentro del sistema; en el MVP no accede directamente, pero su información es el eje de la documentación clínica.</w:t>
            </w:r>
          </w:p>
        </w:tc>
      </w:tr>
      <w:tr>
        <w:trPr/>
        <w:tc>
          <w:tcPr>
            <w:tcW w:w="2224" w:type="dxa"/>
            <w:tcBorders>
              <w:end w:val="single" w:sz="4" w:space="0" w:color="000000"/>
            </w:tcBorders>
            <w:vAlign w:val="center"/>
          </w:tcPr>
          <w:p>
            <w:pPr>
              <w:pStyle w:val="Contenidodelatabla"/>
              <w:spacing w:before="113" w:after="113"/>
              <w:rPr>
                <w:b/>
                <w:bCs/>
              </w:rPr>
            </w:pPr>
            <w:r>
              <w:rPr>
                <w:b/>
                <w:bCs/>
              </w:rPr>
              <w:t>Sistema de escaneo</w:t>
            </w:r>
          </w:p>
        </w:tc>
        <w:tc>
          <w:tcPr>
            <w:tcW w:w="1953" w:type="dxa"/>
            <w:tcBorders/>
            <w:vAlign w:val="center"/>
          </w:tcPr>
          <w:p>
            <w:pPr>
              <w:pStyle w:val="Contenidodelatabla"/>
              <w:spacing w:before="113" w:after="113"/>
              <w:rPr/>
            </w:pPr>
            <w:r>
              <w:rPr/>
              <w:t>Actor externo automatizado</w:t>
            </w:r>
          </w:p>
        </w:tc>
        <w:tc>
          <w:tcPr>
            <w:tcW w:w="5481" w:type="dxa"/>
            <w:tcBorders/>
            <w:vAlign w:val="center"/>
          </w:tcPr>
          <w:p>
            <w:pPr>
              <w:pStyle w:val="Contenidodelatabla"/>
              <w:spacing w:before="113" w:after="113"/>
              <w:rPr/>
            </w:pPr>
            <w:r>
              <w:rPr/>
              <w:t>Provee imágenes digitalizadas al módulo de digitalización, actuando como fuente de ingreso de documentos físicos.</w:t>
            </w:r>
          </w:p>
        </w:tc>
      </w:tr>
    </w:tbl>
    <w:p>
      <w:pPr>
        <w:pStyle w:val="Heading2"/>
        <w:numPr>
          <w:ilvl w:val="1"/>
          <w:numId w:val="3"/>
        </w:numPr>
        <w:spacing w:before="283" w:after="142"/>
        <w:ind w:hanging="0" w:start="0"/>
        <w:rPr/>
      </w:pPr>
      <w:bookmarkStart w:id="42" w:name="__RefHeading___Toc7587_371365040"/>
      <w:bookmarkEnd w:id="42"/>
      <w:r>
        <w:rPr/>
        <w:t>Documentación</w:t>
      </w:r>
    </w:p>
    <w:p>
      <w:pPr>
        <w:pStyle w:val="BodyText"/>
        <w:rPr/>
      </w:pPr>
      <w:r>
        <w:rPr/>
        <w:t>La documentación comprende los registros técnicos y funcionales que acompañan al sistema durante su operación y mantenimiento. Para el SGD se prevé entregar los siguientes artefactos:</w:t>
      </w:r>
    </w:p>
    <w:p>
      <w:pPr>
        <w:pStyle w:val="Tabla"/>
        <w:rPr/>
      </w:pPr>
      <w:r>
        <w:rPr/>
        <w:t xml:space="preserve">Tabla </w:t>
      </w:r>
      <w:r>
        <w:rPr/>
        <w:fldChar w:fldCharType="begin"/>
      </w:r>
      <w:r>
        <w:rPr/>
        <w:instrText xml:space="preserve"> SEQ Tabla \* ARABIC </w:instrText>
      </w:r>
      <w:r>
        <w:rPr/>
        <w:fldChar w:fldCharType="separate"/>
      </w:r>
      <w:r>
        <w:rPr/>
        <w:t>8</w:t>
      </w:r>
      <w:r>
        <w:rPr/>
        <w:fldChar w:fldCharType="end"/>
      </w:r>
      <w:r>
        <w:rPr/>
        <w:t xml:space="preserve"> </w:t>
        <w:br/>
      </w:r>
      <w:r>
        <w:rPr>
          <w:b w:val="false"/>
          <w:bCs w:val="false"/>
          <w:i/>
          <w:iCs/>
        </w:rPr>
        <w:t>Descripción de la documentación del sistema</w:t>
      </w:r>
    </w:p>
    <w:tbl>
      <w:tblPr>
        <w:tblW w:w="9658" w:type="dxa"/>
        <w:jc w:val="start"/>
        <w:tblInd w:w="0" w:type="dxa"/>
        <w:tblLayout w:type="fixed"/>
        <w:tblCellMar>
          <w:top w:w="55" w:type="dxa"/>
          <w:start w:w="55" w:type="dxa"/>
          <w:bottom w:w="150" w:type="dxa"/>
          <w:end w:w="55" w:type="dxa"/>
        </w:tblCellMar>
      </w:tblPr>
      <w:tblGrid>
        <w:gridCol w:w="2028"/>
        <w:gridCol w:w="4673"/>
        <w:gridCol w:w="2957"/>
      </w:tblGrid>
      <w:tr>
        <w:trPr>
          <w:tblHeader w:val="true"/>
        </w:trPr>
        <w:tc>
          <w:tcPr>
            <w:tcW w:w="2028" w:type="dxa"/>
            <w:tcBorders>
              <w:bottom w:val="single" w:sz="4" w:space="0" w:color="000000"/>
              <w:end w:val="single" w:sz="4" w:space="0" w:color="000000"/>
            </w:tcBorders>
            <w:vAlign w:val="center"/>
          </w:tcPr>
          <w:p>
            <w:pPr>
              <w:pStyle w:val="Ttulodelatabla"/>
              <w:spacing w:before="113" w:after="113"/>
              <w:rPr>
                <w:b/>
                <w:bCs/>
              </w:rPr>
            </w:pPr>
            <w:r>
              <w:rPr>
                <w:b/>
                <w:bCs/>
              </w:rPr>
              <w:t>Documento</w:t>
            </w:r>
          </w:p>
        </w:tc>
        <w:tc>
          <w:tcPr>
            <w:tcW w:w="4673" w:type="dxa"/>
            <w:tcBorders>
              <w:bottom w:val="single" w:sz="4" w:space="0" w:color="000000"/>
            </w:tcBorders>
            <w:vAlign w:val="center"/>
          </w:tcPr>
          <w:p>
            <w:pPr>
              <w:pStyle w:val="Ttulodelatabla"/>
              <w:spacing w:before="113" w:after="113"/>
              <w:rPr/>
            </w:pPr>
            <w:r>
              <w:rPr/>
              <w:t>Contenido</w:t>
            </w:r>
          </w:p>
        </w:tc>
        <w:tc>
          <w:tcPr>
            <w:tcW w:w="2957" w:type="dxa"/>
            <w:tcBorders>
              <w:bottom w:val="single" w:sz="4" w:space="0" w:color="000000"/>
            </w:tcBorders>
            <w:vAlign w:val="center"/>
          </w:tcPr>
          <w:p>
            <w:pPr>
              <w:pStyle w:val="Ttulodelatabla"/>
              <w:spacing w:before="113" w:after="113"/>
              <w:rPr/>
            </w:pPr>
            <w:r>
              <w:rPr/>
              <w:t>Audiencia</w:t>
            </w:r>
          </w:p>
        </w:tc>
      </w:tr>
      <w:tr>
        <w:trPr/>
        <w:tc>
          <w:tcPr>
            <w:tcW w:w="2028" w:type="dxa"/>
            <w:tcBorders>
              <w:end w:val="single" w:sz="4" w:space="0" w:color="000000"/>
            </w:tcBorders>
            <w:vAlign w:val="center"/>
          </w:tcPr>
          <w:p>
            <w:pPr>
              <w:pStyle w:val="Contenidodelatabla"/>
              <w:spacing w:before="113" w:after="113"/>
              <w:rPr>
                <w:b/>
                <w:bCs/>
              </w:rPr>
            </w:pPr>
            <w:r>
              <w:rPr>
                <w:b/>
                <w:bCs/>
              </w:rPr>
              <w:t>Especificación de requisitos</w:t>
            </w:r>
          </w:p>
        </w:tc>
        <w:tc>
          <w:tcPr>
            <w:tcW w:w="4673" w:type="dxa"/>
            <w:tcBorders/>
            <w:vAlign w:val="center"/>
          </w:tcPr>
          <w:p>
            <w:pPr>
              <w:pStyle w:val="Contenidodelatabla"/>
              <w:spacing w:before="113" w:after="113"/>
              <w:rPr/>
            </w:pPr>
            <w:r>
              <w:rPr/>
              <w:t>Casos de uso, historias de usuario, reglas de negocio que rigen el comportamiento del sistema.</w:t>
            </w:r>
          </w:p>
        </w:tc>
        <w:tc>
          <w:tcPr>
            <w:tcW w:w="2957" w:type="dxa"/>
            <w:tcBorders/>
            <w:vAlign w:val="center"/>
          </w:tcPr>
          <w:p>
            <w:pPr>
              <w:pStyle w:val="Contenidodelatabla"/>
              <w:spacing w:before="113" w:after="113"/>
              <w:rPr/>
            </w:pPr>
            <w:r>
              <w:rPr/>
              <w:t>Equipo de desarrollo, docentes, área de sistemas de la institución.</w:t>
            </w:r>
          </w:p>
        </w:tc>
      </w:tr>
      <w:tr>
        <w:trPr/>
        <w:tc>
          <w:tcPr>
            <w:tcW w:w="2028" w:type="dxa"/>
            <w:tcBorders>
              <w:end w:val="single" w:sz="4" w:space="0" w:color="000000"/>
            </w:tcBorders>
            <w:vAlign w:val="center"/>
          </w:tcPr>
          <w:p>
            <w:pPr>
              <w:pStyle w:val="Contenidodelatabla"/>
              <w:spacing w:before="113" w:after="113"/>
              <w:rPr>
                <w:b/>
                <w:bCs/>
              </w:rPr>
            </w:pPr>
            <w:r>
              <w:rPr>
                <w:b/>
                <w:bCs/>
              </w:rPr>
              <w:t>Arquitectura del sistema</w:t>
            </w:r>
          </w:p>
        </w:tc>
        <w:tc>
          <w:tcPr>
            <w:tcW w:w="4673" w:type="dxa"/>
            <w:tcBorders/>
            <w:vAlign w:val="center"/>
          </w:tcPr>
          <w:p>
            <w:pPr>
              <w:pStyle w:val="Contenidodelatabla"/>
              <w:spacing w:before="113" w:after="113"/>
              <w:rPr/>
            </w:pPr>
            <w:r>
              <w:rPr/>
              <w:t>Diagramas UML que describen la estructura de componentes, flujos de información y relaciones entre módulos.</w:t>
            </w:r>
          </w:p>
        </w:tc>
        <w:tc>
          <w:tcPr>
            <w:tcW w:w="2957" w:type="dxa"/>
            <w:tcBorders/>
            <w:vAlign w:val="center"/>
          </w:tcPr>
          <w:p>
            <w:pPr>
              <w:pStyle w:val="Contenidodelatabla"/>
              <w:spacing w:before="113" w:after="113"/>
              <w:rPr/>
            </w:pPr>
            <w:r>
              <w:rPr/>
              <w:t>Equipo de desarrollo, área de sistemas.</w:t>
            </w:r>
          </w:p>
        </w:tc>
      </w:tr>
      <w:tr>
        <w:trPr/>
        <w:tc>
          <w:tcPr>
            <w:tcW w:w="2028" w:type="dxa"/>
            <w:tcBorders>
              <w:end w:val="single" w:sz="4" w:space="0" w:color="000000"/>
            </w:tcBorders>
            <w:vAlign w:val="center"/>
          </w:tcPr>
          <w:p>
            <w:pPr>
              <w:pStyle w:val="Contenidodelatabla"/>
              <w:spacing w:before="113" w:after="113"/>
              <w:rPr>
                <w:b/>
                <w:bCs/>
              </w:rPr>
            </w:pPr>
            <w:r>
              <w:rPr>
                <w:b/>
                <w:bCs/>
              </w:rPr>
              <w:t>Manual de usuario</w:t>
            </w:r>
          </w:p>
        </w:tc>
        <w:tc>
          <w:tcPr>
            <w:tcW w:w="4673" w:type="dxa"/>
            <w:tcBorders/>
            <w:vAlign w:val="center"/>
          </w:tcPr>
          <w:p>
            <w:pPr>
              <w:pStyle w:val="Contenidodelatabla"/>
              <w:spacing w:before="113" w:after="113"/>
              <w:rPr/>
            </w:pPr>
            <w:r>
              <w:rPr/>
              <w:t>Guía de operación por rol: administrativo, médico, administrador. Describe paso a paso las tareas habituales.</w:t>
            </w:r>
          </w:p>
        </w:tc>
        <w:tc>
          <w:tcPr>
            <w:tcW w:w="2957" w:type="dxa"/>
            <w:tcBorders/>
            <w:vAlign w:val="center"/>
          </w:tcPr>
          <w:p>
            <w:pPr>
              <w:pStyle w:val="Contenidodelatabla"/>
              <w:spacing w:before="113" w:after="113"/>
              <w:rPr/>
            </w:pPr>
            <w:r>
              <w:rPr/>
              <w:t>Personal de la institución que utilizará el sistema.</w:t>
            </w:r>
          </w:p>
        </w:tc>
      </w:tr>
      <w:tr>
        <w:trPr/>
        <w:tc>
          <w:tcPr>
            <w:tcW w:w="2028" w:type="dxa"/>
            <w:tcBorders>
              <w:end w:val="single" w:sz="4" w:space="0" w:color="000000"/>
            </w:tcBorders>
            <w:vAlign w:val="center"/>
          </w:tcPr>
          <w:p>
            <w:pPr>
              <w:pStyle w:val="Contenidodelatabla"/>
              <w:spacing w:before="113" w:after="113"/>
              <w:rPr>
                <w:b/>
                <w:bCs/>
              </w:rPr>
            </w:pPr>
            <w:r>
              <w:rPr>
                <w:b/>
                <w:bCs/>
              </w:rPr>
              <w:t>Manual técnico</w:t>
            </w:r>
          </w:p>
        </w:tc>
        <w:tc>
          <w:tcPr>
            <w:tcW w:w="4673" w:type="dxa"/>
            <w:tcBorders/>
            <w:vAlign w:val="center"/>
          </w:tcPr>
          <w:p>
            <w:pPr>
              <w:pStyle w:val="Contenidodelatabla"/>
              <w:spacing w:before="113" w:after="113"/>
              <w:rPr/>
            </w:pPr>
            <w:r>
              <w:rPr/>
              <w:t>Instrucciones para la instalación, configuración inicial, respaldo de datos y resolución de problemas comunes.</w:t>
            </w:r>
          </w:p>
        </w:tc>
        <w:tc>
          <w:tcPr>
            <w:tcW w:w="2957" w:type="dxa"/>
            <w:tcBorders/>
            <w:vAlign w:val="center"/>
          </w:tcPr>
          <w:p>
            <w:pPr>
              <w:pStyle w:val="Contenidodelatabla"/>
              <w:spacing w:before="113" w:after="113"/>
              <w:rPr/>
            </w:pPr>
            <w:r>
              <w:rPr/>
              <w:t>Equipo técnico de la institución encargado del soporte.</w:t>
            </w:r>
          </w:p>
        </w:tc>
      </w:tr>
    </w:tbl>
    <w:p>
      <w:pPr>
        <w:pStyle w:val="Heading1"/>
        <w:numPr>
          <w:ilvl w:val="0"/>
          <w:numId w:val="3"/>
        </w:numPr>
        <w:spacing w:before="283" w:after="142"/>
        <w:ind w:hanging="0" w:start="0"/>
        <w:rPr>
          <w:color w:val="auto"/>
        </w:rPr>
      </w:pPr>
      <w:bookmarkStart w:id="43" w:name="__RefHeading___Toc7589_371365040"/>
      <w:bookmarkEnd w:id="43"/>
      <w:r>
        <w:rPr/>
        <w:t>Stack tecnológico</w:t>
      </w:r>
    </w:p>
    <w:p>
      <w:pPr>
        <w:pStyle w:val="BodyText"/>
        <w:rPr/>
      </w:pPr>
      <w:r>
        <w:rPr/>
        <w:t>El stack tecnológico presentado a continuación corresponde a los candidatos seleccionados para el desarrollo del MVP del SGD. Las herramientas pueden ajustarse durante el transcurso del proyecto en función de las decisiones técnicas del equipo, sin que ello implique una modificación del alcance funcional definido.</w:t>
      </w:r>
    </w:p>
    <w:p>
      <w:pPr>
        <w:pStyle w:val="Tabla"/>
        <w:rPr/>
      </w:pPr>
      <w:r>
        <w:rPr/>
        <w:t xml:space="preserve">Tabla </w:t>
      </w:r>
      <w:r>
        <w:rPr/>
        <w:fldChar w:fldCharType="begin"/>
      </w:r>
      <w:r>
        <w:rPr/>
        <w:instrText xml:space="preserve"> SEQ Tabla \* ARABIC </w:instrText>
      </w:r>
      <w:r>
        <w:rPr/>
        <w:fldChar w:fldCharType="separate"/>
      </w:r>
      <w:r>
        <w:rPr/>
        <w:t>9</w:t>
      </w:r>
      <w:r>
        <w:rPr/>
        <w:fldChar w:fldCharType="end"/>
      </w:r>
      <w:r>
        <w:rPr/>
        <w:t xml:space="preserve"> </w:t>
        <w:br/>
      </w:r>
      <w:r>
        <w:rPr>
          <w:b w:val="false"/>
          <w:bCs w:val="false"/>
          <w:i/>
          <w:iCs/>
        </w:rPr>
        <w:t>Descripción de las herramientas a usarse en el proyecto</w:t>
      </w:r>
      <w:r>
        <w:rPr/>
        <w:t xml:space="preserve"> </w:t>
      </w:r>
    </w:p>
    <w:tbl>
      <w:tblPr>
        <w:tblW w:w="9658" w:type="dxa"/>
        <w:jc w:val="start"/>
        <w:tblInd w:w="0" w:type="dxa"/>
        <w:tblLayout w:type="fixed"/>
        <w:tblCellMar>
          <w:top w:w="55" w:type="dxa"/>
          <w:start w:w="55" w:type="dxa"/>
          <w:bottom w:w="150" w:type="dxa"/>
          <w:end w:w="55" w:type="dxa"/>
        </w:tblCellMar>
      </w:tblPr>
      <w:tblGrid>
        <w:gridCol w:w="1836"/>
        <w:gridCol w:w="1937"/>
        <w:gridCol w:w="5885"/>
      </w:tblGrid>
      <w:tr>
        <w:trPr>
          <w:tblHeader w:val="true"/>
        </w:trPr>
        <w:tc>
          <w:tcPr>
            <w:tcW w:w="1836" w:type="dxa"/>
            <w:tcBorders>
              <w:bottom w:val="single" w:sz="4" w:space="0" w:color="000000"/>
              <w:end w:val="single" w:sz="4" w:space="0" w:color="000000"/>
            </w:tcBorders>
            <w:vAlign w:val="center"/>
          </w:tcPr>
          <w:p>
            <w:pPr>
              <w:pStyle w:val="Ttulodelatabla"/>
              <w:spacing w:before="113" w:after="113"/>
              <w:rPr>
                <w:b/>
                <w:bCs/>
              </w:rPr>
            </w:pPr>
            <w:r>
              <w:rPr>
                <w:b/>
                <w:bCs/>
              </w:rPr>
              <w:t>Área del proyecto</w:t>
            </w:r>
          </w:p>
        </w:tc>
        <w:tc>
          <w:tcPr>
            <w:tcW w:w="1937" w:type="dxa"/>
            <w:tcBorders>
              <w:bottom w:val="single" w:sz="4" w:space="0" w:color="000000"/>
            </w:tcBorders>
            <w:vAlign w:val="center"/>
          </w:tcPr>
          <w:p>
            <w:pPr>
              <w:pStyle w:val="Ttulodelatabla"/>
              <w:spacing w:before="113" w:after="113"/>
              <w:rPr/>
            </w:pPr>
            <w:r>
              <w:rPr/>
              <w:t>Herramienta seleccionada</w:t>
            </w:r>
          </w:p>
        </w:tc>
        <w:tc>
          <w:tcPr>
            <w:tcW w:w="5885" w:type="dxa"/>
            <w:tcBorders>
              <w:bottom w:val="single" w:sz="4" w:space="0" w:color="000000"/>
            </w:tcBorders>
            <w:vAlign w:val="center"/>
          </w:tcPr>
          <w:p>
            <w:pPr>
              <w:pStyle w:val="Ttulodelatabla"/>
              <w:spacing w:before="113" w:after="113"/>
              <w:rPr/>
            </w:pPr>
            <w:r>
              <w:rPr/>
              <w:t>Justificación</w:t>
            </w:r>
          </w:p>
        </w:tc>
      </w:tr>
      <w:tr>
        <w:trPr/>
        <w:tc>
          <w:tcPr>
            <w:tcW w:w="1836" w:type="dxa"/>
            <w:tcBorders>
              <w:end w:val="single" w:sz="4" w:space="0" w:color="000000"/>
            </w:tcBorders>
            <w:vAlign w:val="center"/>
          </w:tcPr>
          <w:p>
            <w:pPr>
              <w:pStyle w:val="Contenidodelatabla"/>
              <w:spacing w:before="113" w:after="113"/>
              <w:rPr/>
            </w:pPr>
            <w:r>
              <w:rPr>
                <w:rStyle w:val="Strong"/>
                <w:b/>
                <w:bCs/>
              </w:rPr>
              <w:t>Backend</w:t>
            </w:r>
          </w:p>
        </w:tc>
        <w:tc>
          <w:tcPr>
            <w:tcW w:w="1937" w:type="dxa"/>
            <w:tcBorders/>
            <w:vAlign w:val="center"/>
          </w:tcPr>
          <w:p>
            <w:pPr>
              <w:pStyle w:val="Contenidodelatabla"/>
              <w:spacing w:before="113" w:after="113"/>
              <w:rPr/>
            </w:pPr>
            <w:r>
              <w:rPr/>
              <w:t>Spring Boot / Django</w:t>
            </w:r>
          </w:p>
        </w:tc>
        <w:tc>
          <w:tcPr>
            <w:tcW w:w="5885" w:type="dxa"/>
            <w:tcBorders/>
            <w:vAlign w:val="center"/>
          </w:tcPr>
          <w:p>
            <w:pPr>
              <w:pStyle w:val="Contenidodelatabla"/>
              <w:spacing w:before="113" w:after="113"/>
              <w:rPr/>
            </w:pPr>
            <w:r>
              <w:rPr/>
              <w:t>Frameworks maduros con soporte nativo para arquitectura REST y microservicios. Cuentan con amplia comunidad, documentación extensa y ecosistemas consolidados que facilitan la integración con bases de datos y servicios externos.</w:t>
            </w:r>
          </w:p>
        </w:tc>
      </w:tr>
      <w:tr>
        <w:trPr/>
        <w:tc>
          <w:tcPr>
            <w:tcW w:w="1836" w:type="dxa"/>
            <w:tcBorders>
              <w:end w:val="single" w:sz="4" w:space="0" w:color="000000"/>
            </w:tcBorders>
            <w:vAlign w:val="center"/>
          </w:tcPr>
          <w:p>
            <w:pPr>
              <w:pStyle w:val="Contenidodelatabla"/>
              <w:spacing w:before="113" w:after="113"/>
              <w:rPr/>
            </w:pPr>
            <w:r>
              <w:rPr>
                <w:rStyle w:val="Strong"/>
                <w:b/>
                <w:bCs/>
              </w:rPr>
              <w:t>Frontend web</w:t>
            </w:r>
          </w:p>
        </w:tc>
        <w:tc>
          <w:tcPr>
            <w:tcW w:w="1937" w:type="dxa"/>
            <w:tcBorders/>
            <w:vAlign w:val="center"/>
          </w:tcPr>
          <w:p>
            <w:pPr>
              <w:pStyle w:val="Contenidodelatabla"/>
              <w:spacing w:before="113" w:after="113"/>
              <w:rPr/>
            </w:pPr>
            <w:r>
              <w:rPr/>
              <w:t xml:space="preserve">React, </w:t>
            </w:r>
            <w:r>
              <w:rPr/>
              <w:t>Angular</w:t>
            </w:r>
          </w:p>
        </w:tc>
        <w:tc>
          <w:tcPr>
            <w:tcW w:w="5885" w:type="dxa"/>
            <w:tcBorders/>
            <w:vAlign w:val="center"/>
          </w:tcPr>
          <w:p>
            <w:pPr>
              <w:pStyle w:val="Contenidodelatabla"/>
              <w:spacing w:before="113" w:after="113"/>
              <w:rPr/>
            </w:pPr>
            <w:r>
              <w:rPr/>
              <w:t>Biblioteca basada en componentes reutilizables, estándar de la industria para aplicaciones web de gestión. Permite construir interfaces dinámicas y eficientes con una curva de aprendizaje adecuada para el equipo.</w:t>
            </w:r>
          </w:p>
        </w:tc>
      </w:tr>
      <w:tr>
        <w:trPr/>
        <w:tc>
          <w:tcPr>
            <w:tcW w:w="1836" w:type="dxa"/>
            <w:tcBorders>
              <w:end w:val="single" w:sz="4" w:space="0" w:color="000000"/>
            </w:tcBorders>
            <w:vAlign w:val="center"/>
          </w:tcPr>
          <w:p>
            <w:pPr>
              <w:pStyle w:val="Contenidodelatabla"/>
              <w:spacing w:before="113" w:after="113"/>
              <w:rPr/>
            </w:pPr>
            <w:r>
              <w:rPr>
                <w:rStyle w:val="Strong"/>
                <w:b/>
                <w:bCs/>
              </w:rPr>
              <w:t>Desarrollo móvil</w:t>
            </w:r>
          </w:p>
        </w:tc>
        <w:tc>
          <w:tcPr>
            <w:tcW w:w="1937" w:type="dxa"/>
            <w:tcBorders/>
            <w:vAlign w:val="center"/>
          </w:tcPr>
          <w:p>
            <w:pPr>
              <w:pStyle w:val="Contenidodelatabla"/>
              <w:spacing w:before="113" w:after="113"/>
              <w:rPr/>
            </w:pPr>
            <w:r>
              <w:rPr/>
              <w:t>Flutter</w:t>
            </w:r>
          </w:p>
        </w:tc>
        <w:tc>
          <w:tcPr>
            <w:tcW w:w="5885" w:type="dxa"/>
            <w:tcBorders/>
            <w:vAlign w:val="center"/>
          </w:tcPr>
          <w:p>
            <w:pPr>
              <w:pStyle w:val="Contenidodelatabla"/>
              <w:spacing w:before="113" w:after="113"/>
              <w:rPr/>
            </w:pPr>
            <w:r>
              <w:rPr/>
              <w:t>Framework multiplataforma que permite generar aplicaciones nativas para Android e iOS a partir de un único código base. Su productividad y facilidad de adopción lo hacen adecuado para el alcance del MVP.</w:t>
            </w:r>
          </w:p>
        </w:tc>
      </w:tr>
      <w:tr>
        <w:trPr/>
        <w:tc>
          <w:tcPr>
            <w:tcW w:w="1836" w:type="dxa"/>
            <w:tcBorders>
              <w:end w:val="single" w:sz="4" w:space="0" w:color="000000"/>
            </w:tcBorders>
            <w:vAlign w:val="center"/>
          </w:tcPr>
          <w:p>
            <w:pPr>
              <w:pStyle w:val="Contenidodelatabla"/>
              <w:spacing w:before="113" w:after="113"/>
              <w:rPr/>
            </w:pPr>
            <w:r>
              <w:rPr>
                <w:rStyle w:val="Strong"/>
                <w:b/>
                <w:bCs/>
              </w:rPr>
              <w:t>Base de datos</w:t>
            </w:r>
          </w:p>
        </w:tc>
        <w:tc>
          <w:tcPr>
            <w:tcW w:w="1937" w:type="dxa"/>
            <w:tcBorders/>
            <w:vAlign w:val="center"/>
          </w:tcPr>
          <w:p>
            <w:pPr>
              <w:pStyle w:val="Contenidodelatabla"/>
              <w:spacing w:before="113" w:after="113"/>
              <w:rPr/>
            </w:pPr>
            <w:r>
              <w:rPr/>
              <w:t>PostgreSQL</w:t>
            </w:r>
          </w:p>
        </w:tc>
        <w:tc>
          <w:tcPr>
            <w:tcW w:w="5885" w:type="dxa"/>
            <w:tcBorders/>
            <w:vAlign w:val="center"/>
          </w:tcPr>
          <w:p>
            <w:pPr>
              <w:pStyle w:val="Contenidodelatabla"/>
              <w:spacing w:before="113" w:after="113"/>
              <w:rPr/>
            </w:pPr>
            <w:r>
              <w:rPr/>
              <w:t>Motor relacional open source con soporte robusto para búsqueda de texto completo, almacenamiento de metadatos en formato JSON y alta confiabilidad. Ideal para manejar datos estructurados de gestión documental.</w:t>
            </w:r>
          </w:p>
        </w:tc>
      </w:tr>
      <w:tr>
        <w:trPr/>
        <w:tc>
          <w:tcPr>
            <w:tcW w:w="1836" w:type="dxa"/>
            <w:tcBorders>
              <w:end w:val="single" w:sz="4" w:space="0" w:color="000000"/>
            </w:tcBorders>
            <w:vAlign w:val="center"/>
          </w:tcPr>
          <w:p>
            <w:pPr>
              <w:pStyle w:val="Contenidodelatabla"/>
              <w:spacing w:before="113" w:after="113"/>
              <w:rPr/>
            </w:pPr>
            <w:r>
              <w:rPr>
                <w:rStyle w:val="Strong"/>
                <w:b/>
                <w:bCs/>
              </w:rPr>
              <w:t>Gestión del proyecto</w:t>
            </w:r>
          </w:p>
        </w:tc>
        <w:tc>
          <w:tcPr>
            <w:tcW w:w="1937" w:type="dxa"/>
            <w:tcBorders/>
            <w:vAlign w:val="center"/>
          </w:tcPr>
          <w:p>
            <w:pPr>
              <w:pStyle w:val="Contenidodelatabla"/>
              <w:spacing w:before="113" w:after="113"/>
              <w:rPr/>
            </w:pPr>
            <w:r>
              <w:rPr/>
              <w:t>Jira / YouTrack</w:t>
            </w:r>
          </w:p>
        </w:tc>
        <w:tc>
          <w:tcPr>
            <w:tcW w:w="5885" w:type="dxa"/>
            <w:tcBorders/>
            <w:vAlign w:val="center"/>
          </w:tcPr>
          <w:p>
            <w:pPr>
              <w:pStyle w:val="Contenidodelatabla"/>
              <w:spacing w:before="113" w:after="113"/>
              <w:rPr/>
            </w:pPr>
            <w:r>
              <w:rPr/>
              <w:t>Herramientas de seguimiento ágil que soportan metodologías Scrum, permitiendo gestionar sprints, backlog y métricas de avance de forma colaborativa.</w:t>
            </w:r>
          </w:p>
        </w:tc>
      </w:tr>
      <w:tr>
        <w:trPr/>
        <w:tc>
          <w:tcPr>
            <w:tcW w:w="1836" w:type="dxa"/>
            <w:tcBorders>
              <w:end w:val="single" w:sz="4" w:space="0" w:color="000000"/>
            </w:tcBorders>
            <w:vAlign w:val="center"/>
          </w:tcPr>
          <w:p>
            <w:pPr>
              <w:pStyle w:val="Contenidodelatabla"/>
              <w:spacing w:before="113" w:after="113"/>
              <w:rPr/>
            </w:pPr>
            <w:r>
              <w:rPr>
                <w:rStyle w:val="Strong"/>
                <w:b/>
                <w:bCs/>
              </w:rPr>
              <w:t>Control de versiones</w:t>
            </w:r>
          </w:p>
        </w:tc>
        <w:tc>
          <w:tcPr>
            <w:tcW w:w="1937" w:type="dxa"/>
            <w:tcBorders/>
            <w:vAlign w:val="center"/>
          </w:tcPr>
          <w:p>
            <w:pPr>
              <w:pStyle w:val="Contenidodelatabla"/>
              <w:spacing w:before="113" w:after="113"/>
              <w:rPr/>
            </w:pPr>
            <w:r>
              <w:rPr/>
              <w:t>GitHub</w:t>
            </w:r>
          </w:p>
        </w:tc>
        <w:tc>
          <w:tcPr>
            <w:tcW w:w="5885" w:type="dxa"/>
            <w:tcBorders/>
            <w:vAlign w:val="center"/>
          </w:tcPr>
          <w:p>
            <w:pPr>
              <w:pStyle w:val="Contenidodelatabla"/>
              <w:spacing w:before="113" w:after="113"/>
              <w:rPr/>
            </w:pPr>
            <w:r>
              <w:rPr/>
              <w:t>Plataforma de versionado distribuido que facilita la colaboración entre el equipo mediante ramas, pull requests y revisión de código integrada.</w:t>
            </w:r>
          </w:p>
        </w:tc>
      </w:tr>
      <w:tr>
        <w:trPr/>
        <w:tc>
          <w:tcPr>
            <w:tcW w:w="1836" w:type="dxa"/>
            <w:tcBorders>
              <w:end w:val="single" w:sz="4" w:space="0" w:color="000000"/>
            </w:tcBorders>
            <w:vAlign w:val="center"/>
          </w:tcPr>
          <w:p>
            <w:pPr>
              <w:pStyle w:val="Contenidodelatabla"/>
              <w:spacing w:before="113" w:after="113"/>
              <w:rPr/>
            </w:pPr>
            <w:r>
              <w:rPr>
                <w:rStyle w:val="Strong"/>
                <w:b/>
                <w:bCs/>
              </w:rPr>
              <w:t>Herramienta CASE (UML 2.5)</w:t>
            </w:r>
          </w:p>
        </w:tc>
        <w:tc>
          <w:tcPr>
            <w:tcW w:w="1937" w:type="dxa"/>
            <w:tcBorders/>
            <w:vAlign w:val="center"/>
          </w:tcPr>
          <w:p>
            <w:pPr>
              <w:pStyle w:val="Contenidodelatabla"/>
              <w:spacing w:before="113" w:after="113"/>
              <w:rPr/>
            </w:pPr>
            <w:r>
              <w:rPr/>
              <w:t>Visual Paradigm Community Edition</w:t>
            </w:r>
          </w:p>
        </w:tc>
        <w:tc>
          <w:tcPr>
            <w:tcW w:w="5885" w:type="dxa"/>
            <w:tcBorders/>
            <w:vAlign w:val="center"/>
          </w:tcPr>
          <w:p>
            <w:pPr>
              <w:pStyle w:val="Contenidodelatabla"/>
              <w:spacing w:before="113" w:after="113"/>
              <w:rPr/>
            </w:pPr>
            <w:r>
              <w:rPr/>
              <w:t>Modelado completo de diagramas UML 2.5 (casos de uso, clases, secuencia, componentes y despliegue). La edición comunitaria cubre las necesidades del proyecto sin costos de licencia.</w:t>
            </w:r>
          </w:p>
        </w:tc>
      </w:tr>
    </w:tbl>
    <w:p>
      <w:pPr>
        <w:pStyle w:val="Heading1"/>
        <w:numPr>
          <w:ilvl w:val="0"/>
          <w:numId w:val="3"/>
        </w:numPr>
        <w:spacing w:before="283" w:after="142"/>
        <w:ind w:hanging="0" w:start="0"/>
        <w:rPr/>
      </w:pPr>
      <w:bookmarkStart w:id="44" w:name="__RefHeading___Toc7591_371365040"/>
      <w:bookmarkEnd w:id="44"/>
      <w:r>
        <w:rPr/>
        <w:t>Costos</w:t>
      </w:r>
    </w:p>
    <w:p>
      <w:pPr>
        <w:pStyle w:val="BodyText"/>
        <w:rPr/>
      </w:pPr>
      <w:r>
        <w:rPr/>
        <w:t>Esta sección presenta una estimación de los gastos e inversiones asociados al desarrollo e implementación del SGD para una clínica mediana de 1 a 3 sedes con aproximadamente 150 usuarios. Se presentan dos modelos de presupuesto: </w:t>
      </w:r>
      <w:r>
        <w:rPr>
          <w:rStyle w:val="Strong"/>
        </w:rPr>
        <w:t>SaaS</w:t>
      </w:r>
      <w:r>
        <w:rPr/>
        <w:t> (software como servicio, alojado en la nube con suscripción mensual) y </w:t>
      </w:r>
      <w:r>
        <w:rPr>
          <w:rStyle w:val="Strong"/>
        </w:rPr>
        <w:t>on-premise</w:t>
      </w:r>
      <w:r>
        <w:rPr/>
        <w:t> (instalación local en infraestructura propia de la institución). Los costos se expresan en dólares estadounidenses (USD) con valores referenciales vigentes en marzo de 2026.</w:t>
      </w:r>
    </w:p>
    <w:p>
      <w:pPr>
        <w:pStyle w:val="Heading2"/>
        <w:numPr>
          <w:ilvl w:val="1"/>
          <w:numId w:val="3"/>
        </w:numPr>
        <w:ind w:hanging="0" w:start="0"/>
        <w:rPr/>
      </w:pPr>
      <w:bookmarkStart w:id="45" w:name="__RefHeading___Toc7593_371365040"/>
      <w:bookmarkEnd w:id="45"/>
      <w:r>
        <w:rPr/>
        <w:t>Costos de desarrollo (comunes a ambos modelos)</w:t>
      </w:r>
    </w:p>
    <w:p>
      <w:pPr>
        <w:pStyle w:val="Normal"/>
        <w:rPr/>
      </w:pPr>
      <w:r>
        <w:rPr/>
        <w:t>Los costos de desarrollo son únicos y constituyen la base del proyecto, independientemente del modelo de despliegue elegido. Se calculan sobre la base de 6 desarrolladores trabajando durante un semestre académico (6 meses), con una valoración a tarifa de mercado para perfiles junior en Bolivia.</w:t>
      </w:r>
    </w:p>
    <w:p>
      <w:pPr>
        <w:pStyle w:val="Tabla"/>
        <w:rPr/>
      </w:pPr>
      <w:r>
        <w:rPr/>
        <w:t xml:space="preserve">Tabla </w:t>
      </w:r>
      <w:r>
        <w:rPr/>
        <w:fldChar w:fldCharType="begin"/>
      </w:r>
      <w:r>
        <w:rPr/>
        <w:instrText xml:space="preserve"> SEQ Tabla \* ARABIC </w:instrText>
      </w:r>
      <w:r>
        <w:rPr/>
        <w:fldChar w:fldCharType="separate"/>
      </w:r>
      <w:r>
        <w:rPr/>
        <w:t>10</w:t>
      </w:r>
      <w:r>
        <w:rPr/>
        <w:fldChar w:fldCharType="end"/>
      </w:r>
      <w:r>
        <w:rPr/>
        <w:t xml:space="preserve"> </w:t>
        <w:br/>
      </w:r>
      <w:r>
        <w:rPr>
          <w:b w:val="false"/>
          <w:bCs w:val="false"/>
          <w:i/>
          <w:iCs/>
        </w:rPr>
        <w:t xml:space="preserve">Presupuesto de </w:t>
      </w:r>
      <w:r>
        <w:rPr>
          <w:b w:val="false"/>
          <w:bCs w:val="false"/>
          <w:i/>
          <w:iCs/>
        </w:rPr>
        <w:t xml:space="preserve">gastos de </w:t>
      </w:r>
      <w:r>
        <w:rPr>
          <w:b w:val="false"/>
          <w:bCs w:val="false"/>
          <w:i/>
          <w:iCs/>
        </w:rPr>
        <w:t xml:space="preserve">desarrollo del sistema </w:t>
      </w:r>
      <w:r>
        <w:rPr>
          <w:b w:val="false"/>
          <w:bCs w:val="false"/>
          <w:i/>
          <w:iCs/>
        </w:rPr>
        <w:t>(ambos modelos)</w:t>
      </w:r>
    </w:p>
    <w:tbl>
      <w:tblPr>
        <w:tblW w:w="9658" w:type="dxa"/>
        <w:jc w:val="start"/>
        <w:tblInd w:w="0" w:type="dxa"/>
        <w:tblLayout w:type="fixed"/>
        <w:tblCellMar>
          <w:top w:w="55" w:type="dxa"/>
          <w:start w:w="55" w:type="dxa"/>
          <w:bottom w:w="150" w:type="dxa"/>
          <w:end w:w="55" w:type="dxa"/>
        </w:tblCellMar>
      </w:tblPr>
      <w:tblGrid>
        <w:gridCol w:w="2342"/>
        <w:gridCol w:w="4903"/>
        <w:gridCol w:w="2413"/>
      </w:tblGrid>
      <w:tr>
        <w:trPr>
          <w:tblHeader w:val="true"/>
        </w:trPr>
        <w:tc>
          <w:tcPr>
            <w:tcW w:w="2342" w:type="dxa"/>
            <w:tcBorders>
              <w:bottom w:val="single" w:sz="4" w:space="0" w:color="000000"/>
              <w:end w:val="single" w:sz="4" w:space="0" w:color="000000"/>
            </w:tcBorders>
            <w:vAlign w:val="center"/>
          </w:tcPr>
          <w:p>
            <w:pPr>
              <w:pStyle w:val="Ttulodelatabla"/>
              <w:spacing w:before="113" w:after="113"/>
              <w:rPr>
                <w:b/>
                <w:bCs/>
              </w:rPr>
            </w:pPr>
            <w:r>
              <w:rPr>
                <w:b/>
                <w:bCs/>
              </w:rPr>
              <w:t>Concepto</w:t>
            </w:r>
          </w:p>
        </w:tc>
        <w:tc>
          <w:tcPr>
            <w:tcW w:w="4903" w:type="dxa"/>
            <w:tcBorders>
              <w:bottom w:val="single" w:sz="4" w:space="0" w:color="000000"/>
            </w:tcBorders>
            <w:vAlign w:val="center"/>
          </w:tcPr>
          <w:p>
            <w:pPr>
              <w:pStyle w:val="Ttulodelatabla"/>
              <w:spacing w:before="113" w:after="113"/>
              <w:rPr/>
            </w:pPr>
            <w:r>
              <w:rPr/>
              <w:t>Detalle</w:t>
            </w:r>
          </w:p>
        </w:tc>
        <w:tc>
          <w:tcPr>
            <w:tcW w:w="2413" w:type="dxa"/>
            <w:tcBorders>
              <w:bottom w:val="single" w:sz="4" w:space="0" w:color="000000"/>
            </w:tcBorders>
            <w:vAlign w:val="center"/>
          </w:tcPr>
          <w:p>
            <w:pPr>
              <w:pStyle w:val="Ttulodelatabla"/>
              <w:spacing w:before="113" w:after="113"/>
              <w:rPr/>
            </w:pPr>
            <w:r>
              <w:rPr/>
              <w:t>Costo estimado (USD)</w:t>
            </w:r>
          </w:p>
        </w:tc>
      </w:tr>
      <w:tr>
        <w:trPr/>
        <w:tc>
          <w:tcPr>
            <w:tcW w:w="2342" w:type="dxa"/>
            <w:tcBorders>
              <w:end w:val="single" w:sz="4" w:space="0" w:color="000000"/>
            </w:tcBorders>
            <w:vAlign w:val="center"/>
          </w:tcPr>
          <w:p>
            <w:pPr>
              <w:pStyle w:val="Contenidodelatabla"/>
              <w:spacing w:before="113" w:after="113"/>
              <w:rPr>
                <w:b/>
                <w:bCs/>
              </w:rPr>
            </w:pPr>
            <w:r>
              <w:rPr>
                <w:b/>
                <w:bCs/>
              </w:rPr>
              <w:t>Equipo de desarrollo</w:t>
            </w:r>
          </w:p>
        </w:tc>
        <w:tc>
          <w:tcPr>
            <w:tcW w:w="4903" w:type="dxa"/>
            <w:tcBorders/>
            <w:vAlign w:val="center"/>
          </w:tcPr>
          <w:p>
            <w:pPr>
              <w:pStyle w:val="Contenidodelatabla"/>
              <w:spacing w:before="113" w:after="113"/>
              <w:rPr/>
            </w:pPr>
            <w:r>
              <w:rPr/>
              <w:t>6 desarrolladores × $600/mes × 6 meses</w:t>
            </w:r>
          </w:p>
        </w:tc>
        <w:tc>
          <w:tcPr>
            <w:tcW w:w="2413" w:type="dxa"/>
            <w:tcBorders/>
            <w:vAlign w:val="center"/>
          </w:tcPr>
          <w:p>
            <w:pPr>
              <w:pStyle w:val="Contenidodelatabla"/>
              <w:spacing w:before="113" w:after="113"/>
              <w:rPr/>
            </w:pPr>
            <w:r>
              <w:rPr/>
              <w:t>$21,600</w:t>
            </w:r>
          </w:p>
        </w:tc>
      </w:tr>
      <w:tr>
        <w:trPr/>
        <w:tc>
          <w:tcPr>
            <w:tcW w:w="2342" w:type="dxa"/>
            <w:tcBorders>
              <w:end w:val="single" w:sz="4" w:space="0" w:color="000000"/>
            </w:tcBorders>
            <w:vAlign w:val="center"/>
          </w:tcPr>
          <w:p>
            <w:pPr>
              <w:pStyle w:val="Contenidodelatabla"/>
              <w:spacing w:before="113" w:after="113"/>
              <w:rPr>
                <w:b/>
                <w:bCs/>
              </w:rPr>
            </w:pPr>
            <w:r>
              <w:rPr>
                <w:b/>
                <w:bCs/>
              </w:rPr>
              <w:t>Herramienta CASE</w:t>
            </w:r>
          </w:p>
        </w:tc>
        <w:tc>
          <w:tcPr>
            <w:tcW w:w="4903" w:type="dxa"/>
            <w:tcBorders/>
            <w:vAlign w:val="center"/>
          </w:tcPr>
          <w:p>
            <w:pPr>
              <w:pStyle w:val="Contenidodelatabla"/>
              <w:spacing w:before="113" w:after="113"/>
              <w:rPr/>
            </w:pPr>
            <w:r>
              <w:rPr/>
              <w:t>Visual Paradigm Community Edition</w:t>
            </w:r>
          </w:p>
        </w:tc>
        <w:tc>
          <w:tcPr>
            <w:tcW w:w="2413" w:type="dxa"/>
            <w:tcBorders/>
            <w:vAlign w:val="center"/>
          </w:tcPr>
          <w:p>
            <w:pPr>
              <w:pStyle w:val="Contenidodelatabla"/>
              <w:spacing w:before="113" w:after="113"/>
              <w:rPr/>
            </w:pPr>
            <w:r>
              <w:rPr/>
              <w:t>$0</w:t>
            </w:r>
          </w:p>
        </w:tc>
      </w:tr>
      <w:tr>
        <w:trPr/>
        <w:tc>
          <w:tcPr>
            <w:tcW w:w="2342" w:type="dxa"/>
            <w:tcBorders>
              <w:end w:val="single" w:sz="4" w:space="0" w:color="000000"/>
            </w:tcBorders>
            <w:vAlign w:val="center"/>
          </w:tcPr>
          <w:p>
            <w:pPr>
              <w:pStyle w:val="Contenidodelatabla"/>
              <w:spacing w:before="113" w:after="113"/>
              <w:rPr>
                <w:b/>
                <w:bCs/>
              </w:rPr>
            </w:pPr>
            <w:r>
              <w:rPr>
                <w:b/>
                <w:bCs/>
              </w:rPr>
              <w:t>Control de versiones</w:t>
            </w:r>
          </w:p>
        </w:tc>
        <w:tc>
          <w:tcPr>
            <w:tcW w:w="4903" w:type="dxa"/>
            <w:tcBorders/>
            <w:vAlign w:val="center"/>
          </w:tcPr>
          <w:p>
            <w:pPr>
              <w:pStyle w:val="Contenidodelatabla"/>
              <w:spacing w:before="113" w:after="113"/>
              <w:rPr/>
            </w:pPr>
            <w:r>
              <w:rPr/>
              <w:t>GitHub (plan gratuito para equipos académicos)</w:t>
            </w:r>
          </w:p>
        </w:tc>
        <w:tc>
          <w:tcPr>
            <w:tcW w:w="2413" w:type="dxa"/>
            <w:tcBorders/>
            <w:vAlign w:val="center"/>
          </w:tcPr>
          <w:p>
            <w:pPr>
              <w:pStyle w:val="Contenidodelatabla"/>
              <w:spacing w:before="113" w:after="113"/>
              <w:rPr/>
            </w:pPr>
            <w:r>
              <w:rPr/>
              <w:t>$0</w:t>
            </w:r>
          </w:p>
        </w:tc>
      </w:tr>
      <w:tr>
        <w:trPr/>
        <w:tc>
          <w:tcPr>
            <w:tcW w:w="2342" w:type="dxa"/>
            <w:tcBorders>
              <w:end w:val="single" w:sz="4" w:space="0" w:color="000000"/>
            </w:tcBorders>
            <w:vAlign w:val="center"/>
          </w:tcPr>
          <w:p>
            <w:pPr>
              <w:pStyle w:val="Contenidodelatabla"/>
              <w:spacing w:before="113" w:after="113"/>
              <w:rPr>
                <w:b/>
                <w:bCs/>
              </w:rPr>
            </w:pPr>
            <w:r>
              <w:rPr>
                <w:b/>
                <w:bCs/>
              </w:rPr>
              <w:t>Gestión del proyecto</w:t>
            </w:r>
          </w:p>
        </w:tc>
        <w:tc>
          <w:tcPr>
            <w:tcW w:w="4903" w:type="dxa"/>
            <w:tcBorders/>
            <w:vAlign w:val="center"/>
          </w:tcPr>
          <w:p>
            <w:pPr>
              <w:pStyle w:val="Contenidodelatabla"/>
              <w:spacing w:before="113" w:after="113"/>
              <w:rPr/>
            </w:pPr>
            <w:r>
              <w:rPr/>
              <w:t>Jira (gratuito hasta 10 usuarios)</w:t>
            </w:r>
          </w:p>
        </w:tc>
        <w:tc>
          <w:tcPr>
            <w:tcW w:w="2413" w:type="dxa"/>
            <w:tcBorders/>
            <w:vAlign w:val="center"/>
          </w:tcPr>
          <w:p>
            <w:pPr>
              <w:pStyle w:val="Contenidodelatabla"/>
              <w:spacing w:before="113" w:after="113"/>
              <w:rPr/>
            </w:pPr>
            <w:r>
              <w:rPr/>
              <w:t>$0</w:t>
            </w:r>
          </w:p>
        </w:tc>
      </w:tr>
      <w:tr>
        <w:trPr/>
        <w:tc>
          <w:tcPr>
            <w:tcW w:w="2342" w:type="dxa"/>
            <w:tcBorders>
              <w:end w:val="single" w:sz="4" w:space="0" w:color="000000"/>
            </w:tcBorders>
            <w:vAlign w:val="center"/>
          </w:tcPr>
          <w:p>
            <w:pPr>
              <w:pStyle w:val="Contenidodelatabla"/>
              <w:spacing w:before="113" w:after="113"/>
              <w:rPr>
                <w:b/>
                <w:bCs/>
              </w:rPr>
            </w:pPr>
            <w:r>
              <w:rPr>
                <w:b/>
                <w:bCs/>
              </w:rPr>
              <w:t>Motor OCR</w:t>
            </w:r>
          </w:p>
        </w:tc>
        <w:tc>
          <w:tcPr>
            <w:tcW w:w="4903" w:type="dxa"/>
            <w:tcBorders/>
            <w:vAlign w:val="center"/>
          </w:tcPr>
          <w:p>
            <w:pPr>
              <w:pStyle w:val="Contenidodelatabla"/>
              <w:spacing w:before="113" w:after="113"/>
              <w:rPr/>
            </w:pPr>
            <w:r>
              <w:rPr/>
              <w:t>Tesseract OCR (open source)</w:t>
            </w:r>
          </w:p>
        </w:tc>
        <w:tc>
          <w:tcPr>
            <w:tcW w:w="2413" w:type="dxa"/>
            <w:tcBorders/>
            <w:vAlign w:val="center"/>
          </w:tcPr>
          <w:p>
            <w:pPr>
              <w:pStyle w:val="Contenidodelatabla"/>
              <w:spacing w:before="113" w:after="113"/>
              <w:rPr/>
            </w:pPr>
            <w:r>
              <w:rPr/>
              <w:t>$0</w:t>
            </w:r>
          </w:p>
        </w:tc>
      </w:tr>
      <w:tr>
        <w:trPr/>
        <w:tc>
          <w:tcPr>
            <w:tcW w:w="2342" w:type="dxa"/>
            <w:tcBorders>
              <w:end w:val="single" w:sz="4" w:space="0" w:color="000000"/>
            </w:tcBorders>
            <w:vAlign w:val="center"/>
          </w:tcPr>
          <w:p>
            <w:pPr>
              <w:pStyle w:val="Contenidodelatabla"/>
              <w:spacing w:before="113" w:after="113"/>
              <w:rPr>
                <w:b/>
                <w:bCs/>
              </w:rPr>
            </w:pPr>
            <w:r>
              <w:rPr>
                <w:b/>
                <w:bCs/>
              </w:rPr>
              <w:t>Documentación</w:t>
            </w:r>
          </w:p>
        </w:tc>
        <w:tc>
          <w:tcPr>
            <w:tcW w:w="4903" w:type="dxa"/>
            <w:tcBorders/>
            <w:vAlign w:val="center"/>
          </w:tcPr>
          <w:p>
            <w:pPr>
              <w:pStyle w:val="Contenidodelatabla"/>
              <w:spacing w:before="113" w:after="113"/>
              <w:rPr/>
            </w:pPr>
            <w:r>
              <w:rPr/>
              <w:t>Google Workspace (plan gratuito)</w:t>
            </w:r>
          </w:p>
        </w:tc>
        <w:tc>
          <w:tcPr>
            <w:tcW w:w="2413" w:type="dxa"/>
            <w:tcBorders/>
            <w:vAlign w:val="center"/>
          </w:tcPr>
          <w:p>
            <w:pPr>
              <w:pStyle w:val="Contenidodelatabla"/>
              <w:spacing w:before="113" w:after="113"/>
              <w:rPr/>
            </w:pPr>
            <w:r>
              <w:rPr/>
              <w:t>$0</w:t>
            </w:r>
          </w:p>
        </w:tc>
      </w:tr>
      <w:tr>
        <w:trPr/>
        <w:tc>
          <w:tcPr>
            <w:tcW w:w="2342" w:type="dxa"/>
            <w:tcBorders>
              <w:top w:val="single" w:sz="4" w:space="0" w:color="000000"/>
              <w:end w:val="single" w:sz="4" w:space="0" w:color="000000"/>
            </w:tcBorders>
            <w:vAlign w:val="center"/>
          </w:tcPr>
          <w:p>
            <w:pPr>
              <w:pStyle w:val="Contenidodelatabla"/>
              <w:spacing w:before="113" w:after="113"/>
              <w:rPr/>
            </w:pPr>
            <w:r>
              <w:rPr>
                <w:rStyle w:val="Strong"/>
                <w:b/>
                <w:bCs/>
              </w:rPr>
              <w:t>Total desarrollo</w:t>
            </w:r>
          </w:p>
        </w:tc>
        <w:tc>
          <w:tcPr>
            <w:tcW w:w="4903" w:type="dxa"/>
            <w:tcBorders>
              <w:top w:val="single" w:sz="4" w:space="0" w:color="000000"/>
            </w:tcBorders>
            <w:vAlign w:val="center"/>
          </w:tcPr>
          <w:p>
            <w:pPr>
              <w:pStyle w:val="Contenidodelatabla"/>
              <w:spacing w:before="113" w:after="113"/>
              <w:rPr/>
            </w:pPr>
            <w:r>
              <w:rPr/>
            </w:r>
          </w:p>
        </w:tc>
        <w:tc>
          <w:tcPr>
            <w:tcW w:w="2413" w:type="dxa"/>
            <w:tcBorders>
              <w:top w:val="single" w:sz="4" w:space="0" w:color="000000"/>
            </w:tcBorders>
            <w:vAlign w:val="center"/>
          </w:tcPr>
          <w:p>
            <w:pPr>
              <w:pStyle w:val="Contenidodelatabla"/>
              <w:spacing w:before="113" w:after="113"/>
              <w:rPr/>
            </w:pPr>
            <w:r>
              <w:rPr>
                <w:rStyle w:val="Strong"/>
              </w:rPr>
              <w:t>$21,600</w:t>
            </w:r>
          </w:p>
        </w:tc>
      </w:tr>
    </w:tbl>
    <w:p>
      <w:pPr>
        <w:pStyle w:val="Heading2"/>
        <w:numPr>
          <w:ilvl w:val="1"/>
          <w:numId w:val="3"/>
        </w:numPr>
        <w:spacing w:before="283" w:after="142"/>
        <w:ind w:hanging="0" w:start="0"/>
        <w:rPr/>
      </w:pPr>
      <w:bookmarkStart w:id="46" w:name="__RefHeading___Toc7595_371365040"/>
      <w:bookmarkEnd w:id="46"/>
      <w:r>
        <w:rPr/>
        <w:t>Modelo SaaS (Software como Servicio)</w:t>
      </w:r>
    </w:p>
    <w:p>
      <w:pPr>
        <w:pStyle w:val="BodyText"/>
        <w:rPr/>
      </w:pPr>
      <w:r>
        <w:rPr/>
        <w:t>En el modelo SaaS, el sistema se despliega en infraestructura en la nube administrada por el equipo proveedor. La institución no realiza inversión en hardware; en su lugar, paga una suscripción mensual que incluye el alojamiento, la administración de la plataforma, las actualizaciones, el soporte técnico y las copias de seguridad. El costo de desarrollo se amortiza en el valor de la suscripción.</w:t>
      </w:r>
    </w:p>
    <w:p>
      <w:pPr>
        <w:pStyle w:val="Heading3"/>
        <w:numPr>
          <w:ilvl w:val="2"/>
          <w:numId w:val="3"/>
        </w:numPr>
        <w:ind w:hanging="0" w:start="0"/>
        <w:rPr/>
      </w:pPr>
      <w:bookmarkStart w:id="47" w:name="__RefHeading___Toc7597_371365040"/>
      <w:bookmarkEnd w:id="47"/>
      <w:r>
        <w:rPr/>
        <w:t>Inversión inicial (única)</w:t>
      </w:r>
    </w:p>
    <w:p>
      <w:pPr>
        <w:pStyle w:val="Tabla"/>
        <w:rPr/>
      </w:pPr>
      <w:r>
        <w:rPr/>
        <w:t xml:space="preserve">Tabla </w:t>
      </w:r>
      <w:r>
        <w:rPr/>
        <w:fldChar w:fldCharType="begin"/>
      </w:r>
      <w:r>
        <w:rPr/>
        <w:instrText xml:space="preserve"> SEQ Tabla \* ARABIC </w:instrText>
      </w:r>
      <w:r>
        <w:rPr/>
        <w:fldChar w:fldCharType="separate"/>
      </w:r>
      <w:r>
        <w:rPr/>
        <w:t>11</w:t>
      </w:r>
      <w:r>
        <w:rPr/>
        <w:fldChar w:fldCharType="end"/>
      </w:r>
      <w:r>
        <w:rPr/>
        <w:t xml:space="preserve"> </w:t>
        <w:br/>
      </w:r>
      <w:r>
        <w:rPr>
          <w:b w:val="false"/>
          <w:bCs w:val="false"/>
          <w:i/>
          <w:iCs/>
        </w:rPr>
        <w:t>Presupuesto de gastos únicos (SaaS)</w:t>
      </w:r>
    </w:p>
    <w:tbl>
      <w:tblPr>
        <w:tblW w:w="9658" w:type="dxa"/>
        <w:jc w:val="start"/>
        <w:tblInd w:w="0" w:type="dxa"/>
        <w:tblLayout w:type="fixed"/>
        <w:tblCellMar>
          <w:top w:w="55" w:type="dxa"/>
          <w:start w:w="55" w:type="dxa"/>
          <w:bottom w:w="150" w:type="dxa"/>
          <w:end w:w="55" w:type="dxa"/>
        </w:tblCellMar>
      </w:tblPr>
      <w:tblGrid>
        <w:gridCol w:w="2860"/>
        <w:gridCol w:w="4808"/>
        <w:gridCol w:w="1990"/>
      </w:tblGrid>
      <w:tr>
        <w:trPr>
          <w:tblHeader w:val="true"/>
        </w:trPr>
        <w:tc>
          <w:tcPr>
            <w:tcW w:w="2860" w:type="dxa"/>
            <w:tcBorders>
              <w:bottom w:val="single" w:sz="4" w:space="0" w:color="000000"/>
              <w:end w:val="single" w:sz="4" w:space="0" w:color="000000"/>
            </w:tcBorders>
            <w:vAlign w:val="center"/>
          </w:tcPr>
          <w:p>
            <w:pPr>
              <w:pStyle w:val="Ttulodelatabla"/>
              <w:spacing w:before="113" w:after="113"/>
              <w:rPr>
                <w:b/>
                <w:bCs/>
              </w:rPr>
            </w:pPr>
            <w:r>
              <w:rPr>
                <w:b/>
                <w:bCs/>
              </w:rPr>
              <w:t>Concepto</w:t>
            </w:r>
          </w:p>
        </w:tc>
        <w:tc>
          <w:tcPr>
            <w:tcW w:w="4808" w:type="dxa"/>
            <w:tcBorders>
              <w:bottom w:val="single" w:sz="4" w:space="0" w:color="000000"/>
            </w:tcBorders>
            <w:vAlign w:val="center"/>
          </w:tcPr>
          <w:p>
            <w:pPr>
              <w:pStyle w:val="Ttulodelatabla"/>
              <w:spacing w:before="113" w:after="113"/>
              <w:rPr/>
            </w:pPr>
            <w:r>
              <w:rPr/>
              <w:t>Detalle</w:t>
            </w:r>
          </w:p>
        </w:tc>
        <w:tc>
          <w:tcPr>
            <w:tcW w:w="1990" w:type="dxa"/>
            <w:tcBorders>
              <w:bottom w:val="single" w:sz="4" w:space="0" w:color="000000"/>
            </w:tcBorders>
            <w:vAlign w:val="center"/>
          </w:tcPr>
          <w:p>
            <w:pPr>
              <w:pStyle w:val="Ttulodelatabla"/>
              <w:spacing w:before="113" w:after="113"/>
              <w:rPr/>
            </w:pPr>
            <w:r>
              <w:rPr/>
              <w:t>Costo estimado (USD)</w:t>
            </w:r>
          </w:p>
        </w:tc>
      </w:tr>
      <w:tr>
        <w:trPr/>
        <w:tc>
          <w:tcPr>
            <w:tcW w:w="2860" w:type="dxa"/>
            <w:tcBorders>
              <w:end w:val="single" w:sz="4" w:space="0" w:color="000000"/>
            </w:tcBorders>
            <w:vAlign w:val="center"/>
          </w:tcPr>
          <w:p>
            <w:pPr>
              <w:pStyle w:val="Contenidodelatabla"/>
              <w:spacing w:before="113" w:after="113"/>
              <w:rPr>
                <w:b/>
                <w:bCs/>
              </w:rPr>
            </w:pPr>
            <w:r>
              <w:rPr>
                <w:b/>
                <w:bCs/>
              </w:rPr>
              <w:t>Configuración inicial en la nube</w:t>
            </w:r>
          </w:p>
        </w:tc>
        <w:tc>
          <w:tcPr>
            <w:tcW w:w="4808" w:type="dxa"/>
            <w:tcBorders/>
            <w:vAlign w:val="center"/>
          </w:tcPr>
          <w:p>
            <w:pPr>
              <w:pStyle w:val="Contenidodelatabla"/>
              <w:spacing w:before="113" w:after="113"/>
              <w:rPr/>
            </w:pPr>
            <w:r>
              <w:rPr/>
              <w:t>Despliegue de entornos, parametrización y carga inicial de datos</w:t>
            </w:r>
          </w:p>
        </w:tc>
        <w:tc>
          <w:tcPr>
            <w:tcW w:w="1990" w:type="dxa"/>
            <w:tcBorders/>
            <w:vAlign w:val="center"/>
          </w:tcPr>
          <w:p>
            <w:pPr>
              <w:pStyle w:val="Contenidodelatabla"/>
              <w:spacing w:before="113" w:after="113"/>
              <w:rPr/>
            </w:pPr>
            <w:r>
              <w:rPr/>
              <w:t>$800</w:t>
            </w:r>
          </w:p>
        </w:tc>
      </w:tr>
      <w:tr>
        <w:trPr/>
        <w:tc>
          <w:tcPr>
            <w:tcW w:w="2860" w:type="dxa"/>
            <w:tcBorders>
              <w:end w:val="single" w:sz="4" w:space="0" w:color="000000"/>
            </w:tcBorders>
            <w:vAlign w:val="center"/>
          </w:tcPr>
          <w:p>
            <w:pPr>
              <w:pStyle w:val="Contenidodelatabla"/>
              <w:spacing w:before="113" w:after="113"/>
              <w:rPr>
                <w:b/>
                <w:bCs/>
              </w:rPr>
            </w:pPr>
            <w:r>
              <w:rPr>
                <w:b/>
                <w:bCs/>
              </w:rPr>
              <w:t>Capacitación al personal</w:t>
            </w:r>
          </w:p>
        </w:tc>
        <w:tc>
          <w:tcPr>
            <w:tcW w:w="4808" w:type="dxa"/>
            <w:tcBorders/>
            <w:vAlign w:val="center"/>
          </w:tcPr>
          <w:p>
            <w:pPr>
              <w:pStyle w:val="Contenidodelatabla"/>
              <w:spacing w:before="113" w:after="113"/>
              <w:rPr/>
            </w:pPr>
            <w:r>
              <w:rPr/>
              <w:t>2 sesiones presenciales por sede (3 sedes)</w:t>
            </w:r>
          </w:p>
        </w:tc>
        <w:tc>
          <w:tcPr>
            <w:tcW w:w="1990" w:type="dxa"/>
            <w:tcBorders/>
            <w:vAlign w:val="center"/>
          </w:tcPr>
          <w:p>
            <w:pPr>
              <w:pStyle w:val="Contenidodelatabla"/>
              <w:spacing w:before="113" w:after="113"/>
              <w:rPr/>
            </w:pPr>
            <w:r>
              <w:rPr/>
              <w:t>$600</w:t>
            </w:r>
          </w:p>
        </w:tc>
      </w:tr>
      <w:tr>
        <w:trPr/>
        <w:tc>
          <w:tcPr>
            <w:tcW w:w="2860" w:type="dxa"/>
            <w:tcBorders>
              <w:top w:val="single" w:sz="4" w:space="0" w:color="000000"/>
              <w:end w:val="single" w:sz="4" w:space="0" w:color="000000"/>
            </w:tcBorders>
            <w:vAlign w:val="center"/>
          </w:tcPr>
          <w:p>
            <w:pPr>
              <w:pStyle w:val="Contenidodelatabla"/>
              <w:spacing w:before="113" w:after="113"/>
              <w:rPr/>
            </w:pPr>
            <w:r>
              <w:rPr>
                <w:rStyle w:val="Strong"/>
                <w:b/>
                <w:bCs/>
              </w:rPr>
              <w:t>Total inversión inicial</w:t>
            </w:r>
          </w:p>
        </w:tc>
        <w:tc>
          <w:tcPr>
            <w:tcW w:w="4808" w:type="dxa"/>
            <w:tcBorders>
              <w:top w:val="single" w:sz="4" w:space="0" w:color="000000"/>
            </w:tcBorders>
            <w:vAlign w:val="center"/>
          </w:tcPr>
          <w:p>
            <w:pPr>
              <w:pStyle w:val="Contenidodelatabla"/>
              <w:spacing w:before="113" w:after="113"/>
              <w:rPr/>
            </w:pPr>
            <w:r>
              <w:rPr/>
            </w:r>
          </w:p>
        </w:tc>
        <w:tc>
          <w:tcPr>
            <w:tcW w:w="1990" w:type="dxa"/>
            <w:tcBorders>
              <w:top w:val="single" w:sz="4" w:space="0" w:color="000000"/>
            </w:tcBorders>
            <w:vAlign w:val="center"/>
          </w:tcPr>
          <w:p>
            <w:pPr>
              <w:pStyle w:val="Contenidodelatabla"/>
              <w:spacing w:before="113" w:after="113"/>
              <w:rPr/>
            </w:pPr>
            <w:r>
              <w:rPr>
                <w:rStyle w:val="Strong"/>
              </w:rPr>
              <w:t>$1,400</w:t>
            </w:r>
          </w:p>
        </w:tc>
      </w:tr>
    </w:tbl>
    <w:p>
      <w:pPr>
        <w:pStyle w:val="Heading3"/>
        <w:numPr>
          <w:ilvl w:val="2"/>
          <w:numId w:val="3"/>
        </w:numPr>
        <w:spacing w:before="283" w:after="142"/>
        <w:ind w:hanging="0" w:start="0"/>
        <w:rPr/>
      </w:pPr>
      <w:bookmarkStart w:id="48" w:name="__RefHeading___Toc7599_371365040"/>
      <w:bookmarkEnd w:id="48"/>
      <w:r>
        <w:rPr/>
        <w:t>Costo operativo recurrente (suscripción mensual)</w:t>
      </w:r>
    </w:p>
    <w:p>
      <w:pPr>
        <w:pStyle w:val="BodyText"/>
        <w:rPr/>
      </w:pPr>
      <w:r>
        <w:rPr/>
        <w:t>La suscripción mensual incluye todos los servicios de infraestructura en la nube, el soporte técnico, las actualizaciones del sistema y las copias de seguridad. Para una clínica de 150 usuarios, se estima un costo mensual de:</w:t>
      </w:r>
    </w:p>
    <w:p>
      <w:pPr>
        <w:pStyle w:val="Tabla"/>
        <w:rPr/>
      </w:pPr>
      <w:r>
        <w:rPr/>
        <w:t xml:space="preserve">Tabla </w:t>
      </w:r>
      <w:r>
        <w:rPr/>
        <w:fldChar w:fldCharType="begin"/>
      </w:r>
      <w:r>
        <w:rPr/>
        <w:instrText xml:space="preserve"> SEQ Tabla \* ARABIC </w:instrText>
      </w:r>
      <w:r>
        <w:rPr/>
        <w:fldChar w:fldCharType="separate"/>
      </w:r>
      <w:r>
        <w:rPr/>
        <w:t>12</w:t>
      </w:r>
      <w:r>
        <w:rPr/>
        <w:fldChar w:fldCharType="end"/>
      </w:r>
      <w:r>
        <w:rPr/>
        <w:t xml:space="preserve"> </w:t>
        <w:br/>
      </w:r>
      <w:r>
        <w:rPr>
          <w:b w:val="false"/>
          <w:bCs w:val="false"/>
          <w:i/>
          <w:iCs/>
        </w:rPr>
        <w:t>Presupuesto de gastos mensuales (SaaS)</w:t>
      </w:r>
    </w:p>
    <w:tbl>
      <w:tblPr>
        <w:tblW w:w="9658" w:type="dxa"/>
        <w:jc w:val="start"/>
        <w:tblInd w:w="0" w:type="dxa"/>
        <w:tblLayout w:type="fixed"/>
        <w:tblCellMar>
          <w:top w:w="55" w:type="dxa"/>
          <w:start w:w="55" w:type="dxa"/>
          <w:bottom w:w="150" w:type="dxa"/>
          <w:end w:w="55" w:type="dxa"/>
        </w:tblCellMar>
      </w:tblPr>
      <w:tblGrid>
        <w:gridCol w:w="7572"/>
        <w:gridCol w:w="2086"/>
      </w:tblGrid>
      <w:tr>
        <w:trPr>
          <w:tblHeader w:val="true"/>
        </w:trPr>
        <w:tc>
          <w:tcPr>
            <w:tcW w:w="7572" w:type="dxa"/>
            <w:tcBorders>
              <w:bottom w:val="single" w:sz="4" w:space="0" w:color="000000"/>
              <w:end w:val="single" w:sz="4" w:space="0" w:color="000000"/>
            </w:tcBorders>
            <w:vAlign w:val="center"/>
          </w:tcPr>
          <w:p>
            <w:pPr>
              <w:pStyle w:val="Contenidodelatabla"/>
              <w:spacing w:before="113" w:after="113"/>
              <w:rPr>
                <w:b/>
                <w:bCs/>
              </w:rPr>
            </w:pPr>
            <w:r>
              <w:rPr>
                <w:b/>
                <w:bCs/>
              </w:rPr>
              <w:t>Concepto</w:t>
            </w:r>
          </w:p>
        </w:tc>
        <w:tc>
          <w:tcPr>
            <w:tcW w:w="2086" w:type="dxa"/>
            <w:tcBorders>
              <w:bottom w:val="single" w:sz="4" w:space="0" w:color="000000"/>
            </w:tcBorders>
            <w:vAlign w:val="center"/>
          </w:tcPr>
          <w:p>
            <w:pPr>
              <w:pStyle w:val="Contenidodelatabla"/>
              <w:spacing w:before="113" w:after="113"/>
              <w:rPr>
                <w:b/>
                <w:bCs/>
              </w:rPr>
            </w:pPr>
            <w:r>
              <w:rPr>
                <w:b/>
                <w:bCs/>
              </w:rPr>
              <w:t>Costo mensual (USD)</w:t>
            </w:r>
          </w:p>
        </w:tc>
      </w:tr>
      <w:tr>
        <w:trPr/>
        <w:tc>
          <w:tcPr>
            <w:tcW w:w="7572" w:type="dxa"/>
            <w:tcBorders>
              <w:end w:val="single" w:sz="4" w:space="0" w:color="000000"/>
            </w:tcBorders>
            <w:vAlign w:val="center"/>
          </w:tcPr>
          <w:p>
            <w:pPr>
              <w:pStyle w:val="Contenidodelatabla"/>
              <w:spacing w:before="113" w:after="113"/>
              <w:rPr>
                <w:b/>
                <w:bCs/>
              </w:rPr>
            </w:pPr>
            <w:r>
              <w:rPr>
                <w:b/>
                <w:bCs/>
              </w:rPr>
              <w:t>Suscripción mensual por 150 usuarios (alojamiento, soporte, mantenimiento, backups)</w:t>
            </w:r>
          </w:p>
        </w:tc>
        <w:tc>
          <w:tcPr>
            <w:tcW w:w="2086" w:type="dxa"/>
            <w:tcBorders/>
            <w:vAlign w:val="center"/>
          </w:tcPr>
          <w:p>
            <w:pPr>
              <w:pStyle w:val="Contenidodelatabla"/>
              <w:spacing w:before="113" w:after="113"/>
              <w:rPr>
                <w:b w:val="false"/>
                <w:bCs w:val="false"/>
              </w:rPr>
            </w:pPr>
            <w:r>
              <w:rPr>
                <w:b w:val="false"/>
                <w:bCs w:val="false"/>
              </w:rPr>
              <w:t>$400</w:t>
            </w:r>
          </w:p>
        </w:tc>
      </w:tr>
      <w:tr>
        <w:trPr/>
        <w:tc>
          <w:tcPr>
            <w:tcW w:w="7572" w:type="dxa"/>
            <w:tcBorders>
              <w:top w:val="single" w:sz="4" w:space="0" w:color="000000"/>
              <w:end w:val="single" w:sz="4" w:space="0" w:color="000000"/>
            </w:tcBorders>
            <w:vAlign w:val="center"/>
          </w:tcPr>
          <w:p>
            <w:pPr>
              <w:pStyle w:val="Contenidodelatabla"/>
              <w:spacing w:before="113" w:after="113"/>
              <w:rPr/>
            </w:pPr>
            <w:r>
              <w:rPr>
                <w:rStyle w:val="Strong"/>
                <w:b/>
                <w:bCs/>
              </w:rPr>
              <w:t>Total mensual</w:t>
            </w:r>
          </w:p>
        </w:tc>
        <w:tc>
          <w:tcPr>
            <w:tcW w:w="2086" w:type="dxa"/>
            <w:tcBorders>
              <w:top w:val="single" w:sz="4" w:space="0" w:color="000000"/>
            </w:tcBorders>
            <w:vAlign w:val="center"/>
          </w:tcPr>
          <w:p>
            <w:pPr>
              <w:pStyle w:val="Contenidodelatabla"/>
              <w:spacing w:before="113" w:after="113"/>
              <w:rPr/>
            </w:pPr>
            <w:r>
              <w:rPr>
                <w:rStyle w:val="Strong"/>
                <w:b w:val="false"/>
                <w:bCs w:val="false"/>
              </w:rPr>
              <w:t>$400</w:t>
            </w:r>
          </w:p>
        </w:tc>
      </w:tr>
      <w:tr>
        <w:trPr/>
        <w:tc>
          <w:tcPr>
            <w:tcW w:w="7572" w:type="dxa"/>
            <w:tcBorders>
              <w:top w:val="single" w:sz="4" w:space="0" w:color="000000"/>
              <w:end w:val="single" w:sz="4" w:space="0" w:color="000000"/>
            </w:tcBorders>
            <w:vAlign w:val="center"/>
          </w:tcPr>
          <w:p>
            <w:pPr>
              <w:pStyle w:val="Contenidodelatabla"/>
              <w:spacing w:before="113" w:after="113"/>
              <w:rPr/>
            </w:pPr>
            <w:r>
              <w:rPr>
                <w:rStyle w:val="Strong"/>
                <w:b/>
                <w:bCs/>
              </w:rPr>
              <w:t>Total anual (operativo)</w:t>
            </w:r>
          </w:p>
        </w:tc>
        <w:tc>
          <w:tcPr>
            <w:tcW w:w="2086" w:type="dxa"/>
            <w:tcBorders>
              <w:top w:val="single" w:sz="4" w:space="0" w:color="000000"/>
            </w:tcBorders>
            <w:vAlign w:val="center"/>
          </w:tcPr>
          <w:p>
            <w:pPr>
              <w:pStyle w:val="Contenidodelatabla"/>
              <w:spacing w:before="113" w:after="113"/>
              <w:rPr/>
            </w:pPr>
            <w:r>
              <w:rPr>
                <w:rStyle w:val="Strong"/>
                <w:b w:val="false"/>
                <w:bCs w:val="false"/>
              </w:rPr>
              <w:t>$4,800</w:t>
            </w:r>
          </w:p>
        </w:tc>
      </w:tr>
    </w:tbl>
    <w:p>
      <w:pPr>
        <w:pStyle w:val="BodyText"/>
        <w:rPr/>
      </w:pPr>
      <w:r>
        <w:rPr>
          <w:rStyle w:val="Emphasis"/>
        </w:rPr>
        <w:t>Nota: el costo mensual se ha calculado en un rango de $2,50 a $3,00 por usuario, valor estándar en soluciones SaaS de gestión documental para el sector salud en la región.</w:t>
      </w:r>
    </w:p>
    <w:p>
      <w:pPr>
        <w:pStyle w:val="Heading2"/>
        <w:numPr>
          <w:ilvl w:val="1"/>
          <w:numId w:val="3"/>
        </w:numPr>
        <w:ind w:hanging="0" w:start="0"/>
        <w:rPr/>
      </w:pPr>
      <w:bookmarkStart w:id="49" w:name="__RefHeading___Toc7601_371365040"/>
      <w:bookmarkEnd w:id="49"/>
      <w:r>
        <w:rPr/>
        <w:t>Modelo On-Premise (Instalación Local)</w:t>
      </w:r>
    </w:p>
    <w:p>
      <w:pPr>
        <w:pStyle w:val="BodyText"/>
        <w:rPr/>
      </w:pPr>
      <w:r>
        <w:rPr/>
        <w:t>En el modelo on-premise, la institución adquiere y administra su propia infraestructura de servidores. La inversión inicial es mayor, pero los costos operativos recurrentes son significativamente menores a largo plazo, ya que no se paga una suscripción mensual por usuario.</w:t>
      </w:r>
    </w:p>
    <w:p>
      <w:pPr>
        <w:pStyle w:val="Heading3"/>
        <w:numPr>
          <w:ilvl w:val="2"/>
          <w:numId w:val="3"/>
        </w:numPr>
        <w:ind w:hanging="0" w:start="0"/>
        <w:rPr/>
      </w:pPr>
      <w:bookmarkStart w:id="50" w:name="__RefHeading___Toc7603_371365040"/>
      <w:bookmarkEnd w:id="50"/>
      <w:r>
        <w:rPr/>
        <w:t>Inversión inicial (única)</w:t>
      </w:r>
    </w:p>
    <w:p>
      <w:pPr>
        <w:pStyle w:val="Tabla"/>
        <w:rPr/>
      </w:pPr>
      <w:r>
        <w:rPr/>
        <w:t xml:space="preserve">Tabla </w:t>
      </w:r>
      <w:r>
        <w:rPr/>
        <w:fldChar w:fldCharType="begin"/>
      </w:r>
      <w:r>
        <w:rPr/>
        <w:instrText xml:space="preserve"> SEQ Tabla \* ARABIC </w:instrText>
      </w:r>
      <w:r>
        <w:rPr/>
        <w:fldChar w:fldCharType="separate"/>
      </w:r>
      <w:r>
        <w:rPr/>
        <w:t>13</w:t>
      </w:r>
      <w:r>
        <w:rPr/>
        <w:fldChar w:fldCharType="end"/>
      </w:r>
      <w:r>
        <w:rPr/>
        <w:t xml:space="preserve"> </w:t>
        <w:br/>
      </w:r>
      <w:r>
        <w:rPr>
          <w:b w:val="false"/>
          <w:bCs w:val="false"/>
          <w:i/>
          <w:iCs/>
        </w:rPr>
        <w:t>Presupuesto de gastos únicos (On-premise)</w:t>
      </w:r>
    </w:p>
    <w:tbl>
      <w:tblPr>
        <w:tblW w:w="9658" w:type="dxa"/>
        <w:jc w:val="start"/>
        <w:tblInd w:w="0" w:type="dxa"/>
        <w:tblLayout w:type="fixed"/>
        <w:tblCellMar>
          <w:top w:w="55" w:type="dxa"/>
          <w:start w:w="55" w:type="dxa"/>
          <w:bottom w:w="150" w:type="dxa"/>
          <w:end w:w="55" w:type="dxa"/>
        </w:tblCellMar>
      </w:tblPr>
      <w:tblGrid>
        <w:gridCol w:w="3495"/>
        <w:gridCol w:w="3955"/>
        <w:gridCol w:w="2208"/>
      </w:tblGrid>
      <w:tr>
        <w:trPr>
          <w:tblHeader w:val="true"/>
        </w:trPr>
        <w:tc>
          <w:tcPr>
            <w:tcW w:w="3495" w:type="dxa"/>
            <w:tcBorders>
              <w:bottom w:val="single" w:sz="4" w:space="0" w:color="000000"/>
              <w:end w:val="single" w:sz="4" w:space="0" w:color="000000"/>
            </w:tcBorders>
            <w:vAlign w:val="center"/>
          </w:tcPr>
          <w:p>
            <w:pPr>
              <w:pStyle w:val="Ttulodelatabla"/>
              <w:spacing w:before="113" w:after="113"/>
              <w:rPr>
                <w:b/>
                <w:bCs/>
              </w:rPr>
            </w:pPr>
            <w:r>
              <w:rPr>
                <w:b/>
                <w:bCs/>
              </w:rPr>
              <w:t>Concepto</w:t>
            </w:r>
          </w:p>
        </w:tc>
        <w:tc>
          <w:tcPr>
            <w:tcW w:w="3955" w:type="dxa"/>
            <w:tcBorders>
              <w:bottom w:val="single" w:sz="4" w:space="0" w:color="000000"/>
            </w:tcBorders>
            <w:vAlign w:val="center"/>
          </w:tcPr>
          <w:p>
            <w:pPr>
              <w:pStyle w:val="Ttulodelatabla"/>
              <w:spacing w:before="113" w:after="113"/>
              <w:rPr/>
            </w:pPr>
            <w:r>
              <w:rPr/>
              <w:t>Detalle</w:t>
            </w:r>
          </w:p>
        </w:tc>
        <w:tc>
          <w:tcPr>
            <w:tcW w:w="2208" w:type="dxa"/>
            <w:tcBorders>
              <w:bottom w:val="single" w:sz="4" w:space="0" w:color="000000"/>
            </w:tcBorders>
            <w:vAlign w:val="center"/>
          </w:tcPr>
          <w:p>
            <w:pPr>
              <w:pStyle w:val="Ttulodelatabla"/>
              <w:spacing w:before="113" w:after="113"/>
              <w:rPr/>
            </w:pPr>
            <w:r>
              <w:rPr/>
              <w:t>Costo estimado (USD)</w:t>
            </w:r>
          </w:p>
        </w:tc>
      </w:tr>
      <w:tr>
        <w:trPr/>
        <w:tc>
          <w:tcPr>
            <w:tcW w:w="3495" w:type="dxa"/>
            <w:tcBorders>
              <w:end w:val="single" w:sz="4" w:space="0" w:color="000000"/>
            </w:tcBorders>
            <w:vAlign w:val="center"/>
          </w:tcPr>
          <w:p>
            <w:pPr>
              <w:pStyle w:val="Contenidodelatabla"/>
              <w:spacing w:before="113" w:after="113"/>
              <w:rPr>
                <w:b/>
                <w:bCs/>
              </w:rPr>
            </w:pPr>
            <w:r>
              <w:rPr>
                <w:b/>
                <w:bCs/>
              </w:rPr>
              <w:t>Desarrollo del sistema</w:t>
            </w:r>
          </w:p>
        </w:tc>
        <w:tc>
          <w:tcPr>
            <w:tcW w:w="3955" w:type="dxa"/>
            <w:tcBorders/>
            <w:vAlign w:val="center"/>
          </w:tcPr>
          <w:p>
            <w:pPr>
              <w:pStyle w:val="Contenidodelatabla"/>
              <w:spacing w:before="113" w:after="113"/>
              <w:rPr>
                <w:b w:val="false"/>
                <w:bCs w:val="false"/>
              </w:rPr>
            </w:pPr>
            <w:r>
              <w:rPr>
                <w:b w:val="false"/>
                <w:bCs w:val="false"/>
              </w:rPr>
              <w:t>(según tabla 8.1)</w:t>
            </w:r>
          </w:p>
        </w:tc>
        <w:tc>
          <w:tcPr>
            <w:tcW w:w="2208" w:type="dxa"/>
            <w:tcBorders/>
            <w:vAlign w:val="center"/>
          </w:tcPr>
          <w:p>
            <w:pPr>
              <w:pStyle w:val="Contenidodelatabla"/>
              <w:spacing w:before="113" w:after="113"/>
              <w:rPr>
                <w:b w:val="false"/>
                <w:bCs w:val="false"/>
              </w:rPr>
            </w:pPr>
            <w:r>
              <w:rPr>
                <w:b w:val="false"/>
                <w:bCs w:val="false"/>
              </w:rPr>
              <w:t>$21,600</w:t>
            </w:r>
          </w:p>
        </w:tc>
      </w:tr>
      <w:tr>
        <w:trPr/>
        <w:tc>
          <w:tcPr>
            <w:tcW w:w="3495" w:type="dxa"/>
            <w:tcBorders>
              <w:end w:val="single" w:sz="4" w:space="0" w:color="000000"/>
            </w:tcBorders>
            <w:vAlign w:val="center"/>
          </w:tcPr>
          <w:p>
            <w:pPr>
              <w:pStyle w:val="Contenidodelatabla"/>
              <w:spacing w:before="113" w:after="113"/>
              <w:rPr>
                <w:b/>
                <w:bCs/>
              </w:rPr>
            </w:pPr>
            <w:r>
              <w:rPr>
                <w:b/>
                <w:bCs/>
              </w:rPr>
              <w:t>Servidor de aplicaciones</w:t>
            </w:r>
          </w:p>
        </w:tc>
        <w:tc>
          <w:tcPr>
            <w:tcW w:w="3955" w:type="dxa"/>
            <w:tcBorders/>
            <w:vAlign w:val="center"/>
          </w:tcPr>
          <w:p>
            <w:pPr>
              <w:pStyle w:val="Contenidodelatabla"/>
              <w:spacing w:before="113" w:after="113"/>
              <w:rPr>
                <w:b w:val="false"/>
                <w:bCs w:val="false"/>
              </w:rPr>
            </w:pPr>
            <w:r>
              <w:rPr>
                <w:b w:val="false"/>
                <w:bCs w:val="false"/>
              </w:rPr>
              <w:t>CPU 8 núcleos, 32 GB RAM, 1 TB SSD</w:t>
            </w:r>
          </w:p>
        </w:tc>
        <w:tc>
          <w:tcPr>
            <w:tcW w:w="2208" w:type="dxa"/>
            <w:tcBorders/>
            <w:vAlign w:val="center"/>
          </w:tcPr>
          <w:p>
            <w:pPr>
              <w:pStyle w:val="Contenidodelatabla"/>
              <w:spacing w:before="113" w:after="113"/>
              <w:rPr>
                <w:b w:val="false"/>
                <w:bCs w:val="false"/>
              </w:rPr>
            </w:pPr>
            <w:r>
              <w:rPr>
                <w:b w:val="false"/>
                <w:bCs w:val="false"/>
              </w:rPr>
              <w:t>$2,500</w:t>
            </w:r>
          </w:p>
        </w:tc>
      </w:tr>
      <w:tr>
        <w:trPr/>
        <w:tc>
          <w:tcPr>
            <w:tcW w:w="3495" w:type="dxa"/>
            <w:tcBorders>
              <w:end w:val="single" w:sz="4" w:space="0" w:color="000000"/>
            </w:tcBorders>
            <w:vAlign w:val="center"/>
          </w:tcPr>
          <w:p>
            <w:pPr>
              <w:pStyle w:val="Contenidodelatabla"/>
              <w:spacing w:before="113" w:after="113"/>
              <w:rPr>
                <w:b/>
                <w:bCs/>
              </w:rPr>
            </w:pPr>
            <w:r>
              <w:rPr>
                <w:b/>
                <w:bCs/>
              </w:rPr>
              <w:t>Servidor de base de datos</w:t>
            </w:r>
          </w:p>
        </w:tc>
        <w:tc>
          <w:tcPr>
            <w:tcW w:w="3955" w:type="dxa"/>
            <w:tcBorders/>
            <w:vAlign w:val="center"/>
          </w:tcPr>
          <w:p>
            <w:pPr>
              <w:pStyle w:val="Contenidodelatabla"/>
              <w:spacing w:before="113" w:after="113"/>
              <w:rPr>
                <w:b w:val="false"/>
                <w:bCs w:val="false"/>
              </w:rPr>
            </w:pPr>
            <w:r>
              <w:rPr>
                <w:b w:val="false"/>
                <w:bCs w:val="false"/>
              </w:rPr>
              <w:t>CPU 4 núcleos, 16 GB RAM, 2 TB HDD RAID</w:t>
            </w:r>
          </w:p>
        </w:tc>
        <w:tc>
          <w:tcPr>
            <w:tcW w:w="2208" w:type="dxa"/>
            <w:tcBorders/>
            <w:vAlign w:val="center"/>
          </w:tcPr>
          <w:p>
            <w:pPr>
              <w:pStyle w:val="Contenidodelatabla"/>
              <w:spacing w:before="113" w:after="113"/>
              <w:rPr>
                <w:b w:val="false"/>
                <w:bCs w:val="false"/>
              </w:rPr>
            </w:pPr>
            <w:r>
              <w:rPr>
                <w:b w:val="false"/>
                <w:bCs w:val="false"/>
              </w:rPr>
              <w:t>$1,800</w:t>
            </w:r>
          </w:p>
        </w:tc>
      </w:tr>
      <w:tr>
        <w:trPr/>
        <w:tc>
          <w:tcPr>
            <w:tcW w:w="3495" w:type="dxa"/>
            <w:tcBorders>
              <w:end w:val="single" w:sz="4" w:space="0" w:color="000000"/>
            </w:tcBorders>
            <w:vAlign w:val="center"/>
          </w:tcPr>
          <w:p>
            <w:pPr>
              <w:pStyle w:val="Contenidodelatabla"/>
              <w:spacing w:before="113" w:after="113"/>
              <w:rPr>
                <w:b/>
                <w:bCs/>
              </w:rPr>
            </w:pPr>
            <w:r>
              <w:rPr>
                <w:b/>
                <w:bCs/>
              </w:rPr>
              <w:t>Dispositivo NAS (almacenamiento)</w:t>
            </w:r>
          </w:p>
        </w:tc>
        <w:tc>
          <w:tcPr>
            <w:tcW w:w="3955" w:type="dxa"/>
            <w:tcBorders/>
            <w:vAlign w:val="center"/>
          </w:tcPr>
          <w:p>
            <w:pPr>
              <w:pStyle w:val="Contenidodelatabla"/>
              <w:spacing w:before="113" w:after="113"/>
              <w:rPr>
                <w:b w:val="false"/>
                <w:bCs w:val="false"/>
              </w:rPr>
            </w:pPr>
            <w:r>
              <w:rPr>
                <w:b w:val="false"/>
                <w:bCs w:val="false"/>
              </w:rPr>
              <w:t>Synology DS923+ con 4 TB</w:t>
            </w:r>
          </w:p>
        </w:tc>
        <w:tc>
          <w:tcPr>
            <w:tcW w:w="2208" w:type="dxa"/>
            <w:tcBorders/>
            <w:vAlign w:val="center"/>
          </w:tcPr>
          <w:p>
            <w:pPr>
              <w:pStyle w:val="Contenidodelatabla"/>
              <w:spacing w:before="113" w:after="113"/>
              <w:rPr>
                <w:b w:val="false"/>
                <w:bCs w:val="false"/>
              </w:rPr>
            </w:pPr>
            <w:r>
              <w:rPr>
                <w:b w:val="false"/>
                <w:bCs w:val="false"/>
              </w:rPr>
              <w:t>$900</w:t>
            </w:r>
          </w:p>
        </w:tc>
      </w:tr>
      <w:tr>
        <w:trPr/>
        <w:tc>
          <w:tcPr>
            <w:tcW w:w="3495" w:type="dxa"/>
            <w:tcBorders>
              <w:end w:val="single" w:sz="4" w:space="0" w:color="000000"/>
            </w:tcBorders>
            <w:vAlign w:val="center"/>
          </w:tcPr>
          <w:p>
            <w:pPr>
              <w:pStyle w:val="Contenidodelatabla"/>
              <w:spacing w:before="113" w:after="113"/>
              <w:rPr>
                <w:b/>
                <w:bCs/>
              </w:rPr>
            </w:pPr>
            <w:r>
              <w:rPr>
                <w:b/>
                <w:bCs/>
              </w:rPr>
              <w:t>Equipamiento de red</w:t>
            </w:r>
          </w:p>
        </w:tc>
        <w:tc>
          <w:tcPr>
            <w:tcW w:w="3955" w:type="dxa"/>
            <w:tcBorders/>
            <w:vAlign w:val="center"/>
          </w:tcPr>
          <w:p>
            <w:pPr>
              <w:pStyle w:val="Contenidodelatabla"/>
              <w:spacing w:before="113" w:after="113"/>
              <w:rPr>
                <w:b w:val="false"/>
                <w:bCs w:val="false"/>
              </w:rPr>
            </w:pPr>
            <w:r>
              <w:rPr>
                <w:b w:val="false"/>
                <w:bCs w:val="false"/>
              </w:rPr>
              <w:t>Switch administrable + firewall</w:t>
            </w:r>
          </w:p>
        </w:tc>
        <w:tc>
          <w:tcPr>
            <w:tcW w:w="2208" w:type="dxa"/>
            <w:tcBorders/>
            <w:vAlign w:val="center"/>
          </w:tcPr>
          <w:p>
            <w:pPr>
              <w:pStyle w:val="Contenidodelatabla"/>
              <w:spacing w:before="113" w:after="113"/>
              <w:rPr>
                <w:b w:val="false"/>
                <w:bCs w:val="false"/>
              </w:rPr>
            </w:pPr>
            <w:r>
              <w:rPr>
                <w:b w:val="false"/>
                <w:bCs w:val="false"/>
              </w:rPr>
              <w:t>$700</w:t>
            </w:r>
          </w:p>
        </w:tc>
      </w:tr>
      <w:tr>
        <w:trPr/>
        <w:tc>
          <w:tcPr>
            <w:tcW w:w="3495" w:type="dxa"/>
            <w:tcBorders>
              <w:end w:val="single" w:sz="4" w:space="0" w:color="000000"/>
            </w:tcBorders>
            <w:vAlign w:val="center"/>
          </w:tcPr>
          <w:p>
            <w:pPr>
              <w:pStyle w:val="Contenidodelatabla"/>
              <w:spacing w:before="113" w:after="113"/>
              <w:rPr>
                <w:b/>
                <w:bCs/>
              </w:rPr>
            </w:pPr>
            <w:r>
              <w:rPr>
                <w:b/>
                <w:bCs/>
              </w:rPr>
              <w:t>UPS (energía de respaldo)</w:t>
            </w:r>
          </w:p>
        </w:tc>
        <w:tc>
          <w:tcPr>
            <w:tcW w:w="3955" w:type="dxa"/>
            <w:tcBorders/>
            <w:vAlign w:val="center"/>
          </w:tcPr>
          <w:p>
            <w:pPr>
              <w:pStyle w:val="Contenidodelatabla"/>
              <w:spacing w:before="113" w:after="113"/>
              <w:rPr>
                <w:b w:val="false"/>
                <w:bCs w:val="false"/>
              </w:rPr>
            </w:pPr>
            <w:r>
              <w:rPr>
                <w:b w:val="false"/>
                <w:bCs w:val="false"/>
              </w:rPr>
              <w:t>APC 1500VA</w:t>
            </w:r>
          </w:p>
        </w:tc>
        <w:tc>
          <w:tcPr>
            <w:tcW w:w="2208" w:type="dxa"/>
            <w:tcBorders/>
            <w:vAlign w:val="center"/>
          </w:tcPr>
          <w:p>
            <w:pPr>
              <w:pStyle w:val="Contenidodelatabla"/>
              <w:spacing w:before="113" w:after="113"/>
              <w:rPr>
                <w:b w:val="false"/>
                <w:bCs w:val="false"/>
              </w:rPr>
            </w:pPr>
            <w:r>
              <w:rPr>
                <w:b w:val="false"/>
                <w:bCs w:val="false"/>
              </w:rPr>
              <w:t>$350</w:t>
            </w:r>
          </w:p>
        </w:tc>
      </w:tr>
      <w:tr>
        <w:trPr/>
        <w:tc>
          <w:tcPr>
            <w:tcW w:w="3495" w:type="dxa"/>
            <w:tcBorders>
              <w:end w:val="single" w:sz="4" w:space="0" w:color="000000"/>
            </w:tcBorders>
            <w:vAlign w:val="center"/>
          </w:tcPr>
          <w:p>
            <w:pPr>
              <w:pStyle w:val="Contenidodelatabla"/>
              <w:spacing w:before="113" w:after="113"/>
              <w:rPr>
                <w:b/>
                <w:bCs/>
              </w:rPr>
            </w:pPr>
            <w:r>
              <w:rPr>
                <w:b/>
                <w:bCs/>
              </w:rPr>
              <w:t>Instalación y configuración</w:t>
            </w:r>
          </w:p>
        </w:tc>
        <w:tc>
          <w:tcPr>
            <w:tcW w:w="3955" w:type="dxa"/>
            <w:tcBorders/>
            <w:vAlign w:val="center"/>
          </w:tcPr>
          <w:p>
            <w:pPr>
              <w:pStyle w:val="Contenidodelatabla"/>
              <w:spacing w:before="113" w:after="113"/>
              <w:rPr>
                <w:b w:val="false"/>
                <w:bCs w:val="false"/>
              </w:rPr>
            </w:pPr>
            <w:r>
              <w:rPr>
                <w:b w:val="false"/>
                <w:bCs w:val="false"/>
              </w:rPr>
              <w:t>Despliegue físico, red y sistema operativo</w:t>
            </w:r>
          </w:p>
        </w:tc>
        <w:tc>
          <w:tcPr>
            <w:tcW w:w="2208" w:type="dxa"/>
            <w:tcBorders/>
            <w:vAlign w:val="center"/>
          </w:tcPr>
          <w:p>
            <w:pPr>
              <w:pStyle w:val="Contenidodelatabla"/>
              <w:spacing w:before="113" w:after="113"/>
              <w:rPr>
                <w:b w:val="false"/>
                <w:bCs w:val="false"/>
              </w:rPr>
            </w:pPr>
            <w:r>
              <w:rPr>
                <w:b w:val="false"/>
                <w:bCs w:val="false"/>
              </w:rPr>
              <w:t>$1,000</w:t>
            </w:r>
          </w:p>
        </w:tc>
      </w:tr>
      <w:tr>
        <w:trPr/>
        <w:tc>
          <w:tcPr>
            <w:tcW w:w="3495" w:type="dxa"/>
            <w:tcBorders>
              <w:end w:val="single" w:sz="4" w:space="0" w:color="000000"/>
            </w:tcBorders>
            <w:vAlign w:val="center"/>
          </w:tcPr>
          <w:p>
            <w:pPr>
              <w:pStyle w:val="Contenidodelatabla"/>
              <w:spacing w:before="113" w:after="113"/>
              <w:rPr>
                <w:b/>
                <w:bCs/>
              </w:rPr>
            </w:pPr>
            <w:r>
              <w:rPr>
                <w:b/>
                <w:bCs/>
              </w:rPr>
              <w:t>Capacitación al personal</w:t>
            </w:r>
          </w:p>
        </w:tc>
        <w:tc>
          <w:tcPr>
            <w:tcW w:w="3955" w:type="dxa"/>
            <w:tcBorders/>
            <w:vAlign w:val="center"/>
          </w:tcPr>
          <w:p>
            <w:pPr>
              <w:pStyle w:val="Contenidodelatabla"/>
              <w:spacing w:before="113" w:after="113"/>
              <w:rPr>
                <w:b w:val="false"/>
                <w:bCs w:val="false"/>
              </w:rPr>
            </w:pPr>
            <w:r>
              <w:rPr>
                <w:b w:val="false"/>
                <w:bCs w:val="false"/>
              </w:rPr>
              <w:t>2 sesiones presenciales por sede (3 sedes)</w:t>
            </w:r>
          </w:p>
        </w:tc>
        <w:tc>
          <w:tcPr>
            <w:tcW w:w="2208" w:type="dxa"/>
            <w:tcBorders/>
            <w:vAlign w:val="center"/>
          </w:tcPr>
          <w:p>
            <w:pPr>
              <w:pStyle w:val="Contenidodelatabla"/>
              <w:spacing w:before="113" w:after="113"/>
              <w:rPr>
                <w:b w:val="false"/>
                <w:bCs w:val="false"/>
              </w:rPr>
            </w:pPr>
            <w:r>
              <w:rPr>
                <w:b w:val="false"/>
                <w:bCs w:val="false"/>
              </w:rPr>
              <w:t>$600</w:t>
            </w:r>
          </w:p>
        </w:tc>
      </w:tr>
      <w:tr>
        <w:trPr/>
        <w:tc>
          <w:tcPr>
            <w:tcW w:w="3495" w:type="dxa"/>
            <w:tcBorders>
              <w:top w:val="single" w:sz="4" w:space="0" w:color="000000"/>
              <w:end w:val="single" w:sz="4" w:space="0" w:color="000000"/>
            </w:tcBorders>
            <w:vAlign w:val="center"/>
          </w:tcPr>
          <w:p>
            <w:pPr>
              <w:pStyle w:val="Contenidodelatabla"/>
              <w:spacing w:before="113" w:after="113"/>
              <w:rPr/>
            </w:pPr>
            <w:r>
              <w:rPr>
                <w:rStyle w:val="Strong"/>
                <w:b/>
                <w:bCs/>
              </w:rPr>
              <w:t>Total inversión inicial</w:t>
            </w:r>
          </w:p>
        </w:tc>
        <w:tc>
          <w:tcPr>
            <w:tcW w:w="3955" w:type="dxa"/>
            <w:tcBorders>
              <w:top w:val="single" w:sz="4" w:space="0" w:color="000000"/>
            </w:tcBorders>
            <w:vAlign w:val="center"/>
          </w:tcPr>
          <w:p>
            <w:pPr>
              <w:pStyle w:val="Contenidodelatabla"/>
              <w:spacing w:before="113" w:after="113"/>
              <w:rPr>
                <w:b w:val="false"/>
                <w:bCs w:val="false"/>
              </w:rPr>
            </w:pPr>
            <w:r>
              <w:rPr>
                <w:b w:val="false"/>
                <w:bCs w:val="false"/>
              </w:rPr>
            </w:r>
          </w:p>
        </w:tc>
        <w:tc>
          <w:tcPr>
            <w:tcW w:w="2208" w:type="dxa"/>
            <w:tcBorders>
              <w:top w:val="single" w:sz="4" w:space="0" w:color="000000"/>
            </w:tcBorders>
            <w:vAlign w:val="center"/>
          </w:tcPr>
          <w:p>
            <w:pPr>
              <w:pStyle w:val="Contenidodelatabla"/>
              <w:spacing w:before="113" w:after="113"/>
              <w:rPr/>
            </w:pPr>
            <w:r>
              <w:rPr>
                <w:rStyle w:val="Strong"/>
                <w:b w:val="false"/>
                <w:bCs w:val="false"/>
              </w:rPr>
              <w:t>$29,450</w:t>
            </w:r>
          </w:p>
        </w:tc>
      </w:tr>
    </w:tbl>
    <w:p>
      <w:pPr>
        <w:pStyle w:val="Heading3"/>
        <w:numPr>
          <w:ilvl w:val="2"/>
          <w:numId w:val="3"/>
        </w:numPr>
        <w:spacing w:before="283" w:after="142"/>
        <w:ind w:hanging="0" w:start="0"/>
        <w:rPr/>
      </w:pPr>
      <w:bookmarkStart w:id="51" w:name="__RefHeading___Toc7605_371365040"/>
      <w:bookmarkEnd w:id="51"/>
      <w:r>
        <w:rPr/>
        <w:t>Costos operativos anuales</w:t>
      </w:r>
    </w:p>
    <w:p>
      <w:pPr>
        <w:pStyle w:val="Tabla"/>
        <w:spacing w:before="283" w:after="142"/>
        <w:rPr/>
      </w:pPr>
      <w:r>
        <w:rPr/>
        <w:t xml:space="preserve">Tabla </w:t>
      </w:r>
      <w:r>
        <w:rPr/>
        <w:fldChar w:fldCharType="begin"/>
      </w:r>
      <w:r>
        <w:rPr/>
        <w:instrText xml:space="preserve"> SEQ Tabla \* ARABIC </w:instrText>
      </w:r>
      <w:r>
        <w:rPr/>
        <w:fldChar w:fldCharType="separate"/>
      </w:r>
      <w:r>
        <w:rPr/>
        <w:t>14</w:t>
      </w:r>
      <w:r>
        <w:rPr/>
        <w:fldChar w:fldCharType="end"/>
      </w:r>
      <w:r>
        <w:rPr/>
        <w:t xml:space="preserve"> </w:t>
        <w:br/>
      </w:r>
      <w:r>
        <w:rPr>
          <w:b w:val="false"/>
          <w:bCs w:val="false"/>
          <w:i/>
          <w:iCs/>
        </w:rPr>
        <w:t>Presupuesto de gastos mensuales (On-Premise)</w:t>
      </w:r>
    </w:p>
    <w:tbl>
      <w:tblPr>
        <w:tblW w:w="9658" w:type="dxa"/>
        <w:jc w:val="start"/>
        <w:tblInd w:w="0" w:type="dxa"/>
        <w:tblLayout w:type="fixed"/>
        <w:tblCellMar>
          <w:top w:w="55" w:type="dxa"/>
          <w:start w:w="55" w:type="dxa"/>
          <w:bottom w:w="150" w:type="dxa"/>
          <w:end w:w="55" w:type="dxa"/>
        </w:tblCellMar>
      </w:tblPr>
      <w:tblGrid>
        <w:gridCol w:w="3863"/>
        <w:gridCol w:w="3964"/>
        <w:gridCol w:w="1831"/>
      </w:tblGrid>
      <w:tr>
        <w:trPr>
          <w:tblHeader w:val="true"/>
        </w:trPr>
        <w:tc>
          <w:tcPr>
            <w:tcW w:w="3863" w:type="dxa"/>
            <w:tcBorders>
              <w:bottom w:val="single" w:sz="4" w:space="0" w:color="000000"/>
              <w:end w:val="single" w:sz="4" w:space="0" w:color="000000"/>
            </w:tcBorders>
            <w:vAlign w:val="center"/>
          </w:tcPr>
          <w:p>
            <w:pPr>
              <w:pStyle w:val="Ttulodelatabla"/>
              <w:spacing w:before="113" w:after="113"/>
              <w:rPr>
                <w:b/>
                <w:bCs/>
              </w:rPr>
            </w:pPr>
            <w:r>
              <w:rPr>
                <w:b/>
                <w:bCs/>
              </w:rPr>
              <w:t>Concepto</w:t>
            </w:r>
          </w:p>
        </w:tc>
        <w:tc>
          <w:tcPr>
            <w:tcW w:w="3964" w:type="dxa"/>
            <w:tcBorders>
              <w:bottom w:val="single" w:sz="4" w:space="0" w:color="000000"/>
            </w:tcBorders>
            <w:vAlign w:val="center"/>
          </w:tcPr>
          <w:p>
            <w:pPr>
              <w:pStyle w:val="Ttulodelatabla"/>
              <w:spacing w:before="113" w:after="113"/>
              <w:rPr/>
            </w:pPr>
            <w:r>
              <w:rPr/>
              <w:t>Detalle</w:t>
            </w:r>
          </w:p>
        </w:tc>
        <w:tc>
          <w:tcPr>
            <w:tcW w:w="1831" w:type="dxa"/>
            <w:tcBorders>
              <w:bottom w:val="single" w:sz="4" w:space="0" w:color="000000"/>
            </w:tcBorders>
            <w:vAlign w:val="center"/>
          </w:tcPr>
          <w:p>
            <w:pPr>
              <w:pStyle w:val="Ttulodelatabla"/>
              <w:spacing w:before="113" w:after="113"/>
              <w:rPr/>
            </w:pPr>
            <w:r>
              <w:rPr/>
              <w:t>Costo anual (USD)</w:t>
            </w:r>
          </w:p>
        </w:tc>
      </w:tr>
      <w:tr>
        <w:trPr/>
        <w:tc>
          <w:tcPr>
            <w:tcW w:w="3863" w:type="dxa"/>
            <w:tcBorders>
              <w:end w:val="single" w:sz="4" w:space="0" w:color="000000"/>
            </w:tcBorders>
            <w:vAlign w:val="center"/>
          </w:tcPr>
          <w:p>
            <w:pPr>
              <w:pStyle w:val="Contenidodelatabla"/>
              <w:spacing w:before="113" w:after="113"/>
              <w:rPr>
                <w:b/>
                <w:bCs/>
              </w:rPr>
            </w:pPr>
            <w:r>
              <w:rPr>
                <w:b/>
                <w:bCs/>
              </w:rPr>
              <w:t>Licencias de sistema operativo servidor</w:t>
            </w:r>
          </w:p>
        </w:tc>
        <w:tc>
          <w:tcPr>
            <w:tcW w:w="3964" w:type="dxa"/>
            <w:tcBorders/>
            <w:vAlign w:val="center"/>
          </w:tcPr>
          <w:p>
            <w:pPr>
              <w:pStyle w:val="Contenidodelatabla"/>
              <w:spacing w:before="113" w:after="113"/>
              <w:rPr/>
            </w:pPr>
            <w:r>
              <w:rPr/>
              <w:t>Windows Server o mantenimiento Linux</w:t>
            </w:r>
          </w:p>
        </w:tc>
        <w:tc>
          <w:tcPr>
            <w:tcW w:w="1831" w:type="dxa"/>
            <w:tcBorders/>
            <w:vAlign w:val="center"/>
          </w:tcPr>
          <w:p>
            <w:pPr>
              <w:pStyle w:val="Contenidodelatabla"/>
              <w:spacing w:before="113" w:after="113"/>
              <w:rPr/>
            </w:pPr>
            <w:r>
              <w:rPr/>
              <w:t>$200</w:t>
            </w:r>
          </w:p>
        </w:tc>
      </w:tr>
      <w:tr>
        <w:trPr/>
        <w:tc>
          <w:tcPr>
            <w:tcW w:w="3863" w:type="dxa"/>
            <w:tcBorders>
              <w:end w:val="single" w:sz="4" w:space="0" w:color="000000"/>
            </w:tcBorders>
            <w:vAlign w:val="center"/>
          </w:tcPr>
          <w:p>
            <w:pPr>
              <w:pStyle w:val="Contenidodelatabla"/>
              <w:spacing w:before="113" w:after="113"/>
              <w:rPr>
                <w:b/>
                <w:bCs/>
              </w:rPr>
            </w:pPr>
            <w:r>
              <w:rPr>
                <w:b/>
                <w:bCs/>
              </w:rPr>
              <w:t>Mantenimiento de hardware</w:t>
            </w:r>
          </w:p>
        </w:tc>
        <w:tc>
          <w:tcPr>
            <w:tcW w:w="3964" w:type="dxa"/>
            <w:tcBorders/>
            <w:vAlign w:val="center"/>
          </w:tcPr>
          <w:p>
            <w:pPr>
              <w:pStyle w:val="Contenidodelatabla"/>
              <w:spacing w:before="113" w:after="113"/>
              <w:rPr/>
            </w:pPr>
            <w:r>
              <w:rPr/>
              <w:t>Revisión técnica anual</w:t>
            </w:r>
          </w:p>
        </w:tc>
        <w:tc>
          <w:tcPr>
            <w:tcW w:w="1831" w:type="dxa"/>
            <w:tcBorders/>
            <w:vAlign w:val="center"/>
          </w:tcPr>
          <w:p>
            <w:pPr>
              <w:pStyle w:val="Contenidodelatabla"/>
              <w:spacing w:before="113" w:after="113"/>
              <w:rPr/>
            </w:pPr>
            <w:r>
              <w:rPr/>
              <w:t>$300</w:t>
            </w:r>
          </w:p>
        </w:tc>
      </w:tr>
      <w:tr>
        <w:trPr/>
        <w:tc>
          <w:tcPr>
            <w:tcW w:w="3863" w:type="dxa"/>
            <w:tcBorders>
              <w:end w:val="single" w:sz="4" w:space="0" w:color="000000"/>
            </w:tcBorders>
            <w:vAlign w:val="center"/>
          </w:tcPr>
          <w:p>
            <w:pPr>
              <w:pStyle w:val="Contenidodelatabla"/>
              <w:spacing w:before="113" w:after="113"/>
              <w:rPr>
                <w:b/>
                <w:bCs/>
              </w:rPr>
            </w:pPr>
            <w:r>
              <w:rPr>
                <w:b/>
                <w:bCs/>
              </w:rPr>
              <w:t>Copias de seguridad externas</w:t>
            </w:r>
          </w:p>
        </w:tc>
        <w:tc>
          <w:tcPr>
            <w:tcW w:w="3964" w:type="dxa"/>
            <w:tcBorders/>
            <w:vAlign w:val="center"/>
          </w:tcPr>
          <w:p>
            <w:pPr>
              <w:pStyle w:val="Contenidodelatabla"/>
              <w:spacing w:before="113" w:after="113"/>
              <w:rPr/>
            </w:pPr>
            <w:r>
              <w:rPr/>
              <w:t>Disco externo o servicio de backup mínimo</w:t>
            </w:r>
          </w:p>
        </w:tc>
        <w:tc>
          <w:tcPr>
            <w:tcW w:w="1831" w:type="dxa"/>
            <w:tcBorders/>
            <w:vAlign w:val="center"/>
          </w:tcPr>
          <w:p>
            <w:pPr>
              <w:pStyle w:val="Contenidodelatabla"/>
              <w:spacing w:before="113" w:after="113"/>
              <w:rPr/>
            </w:pPr>
            <w:r>
              <w:rPr/>
              <w:t>$150</w:t>
            </w:r>
          </w:p>
        </w:tc>
      </w:tr>
      <w:tr>
        <w:trPr/>
        <w:tc>
          <w:tcPr>
            <w:tcW w:w="3863" w:type="dxa"/>
            <w:tcBorders>
              <w:end w:val="single" w:sz="4" w:space="0" w:color="000000"/>
            </w:tcBorders>
            <w:vAlign w:val="center"/>
          </w:tcPr>
          <w:p>
            <w:pPr>
              <w:pStyle w:val="Contenidodelatabla"/>
              <w:spacing w:before="113" w:after="113"/>
              <w:rPr>
                <w:b/>
                <w:bCs/>
              </w:rPr>
            </w:pPr>
            <w:r>
              <w:rPr>
                <w:b/>
                <w:bCs/>
              </w:rPr>
              <w:t>Soporte y actualizaciones del sistema</w:t>
            </w:r>
          </w:p>
        </w:tc>
        <w:tc>
          <w:tcPr>
            <w:tcW w:w="3964" w:type="dxa"/>
            <w:tcBorders/>
            <w:vAlign w:val="center"/>
          </w:tcPr>
          <w:p>
            <w:pPr>
              <w:pStyle w:val="Contenidodelatabla"/>
              <w:spacing w:before="113" w:after="113"/>
              <w:rPr/>
            </w:pPr>
            <w:r>
              <w:rPr/>
              <w:t>Contrato con el equipo de desarrollo</w:t>
            </w:r>
          </w:p>
        </w:tc>
        <w:tc>
          <w:tcPr>
            <w:tcW w:w="1831" w:type="dxa"/>
            <w:tcBorders/>
            <w:vAlign w:val="center"/>
          </w:tcPr>
          <w:p>
            <w:pPr>
              <w:pStyle w:val="Contenidodelatabla"/>
              <w:spacing w:before="113" w:after="113"/>
              <w:rPr/>
            </w:pPr>
            <w:r>
              <w:rPr/>
              <w:t>$1,800</w:t>
            </w:r>
          </w:p>
        </w:tc>
      </w:tr>
      <w:tr>
        <w:trPr/>
        <w:tc>
          <w:tcPr>
            <w:tcW w:w="3863" w:type="dxa"/>
            <w:tcBorders>
              <w:end w:val="single" w:sz="4" w:space="0" w:color="000000"/>
            </w:tcBorders>
            <w:vAlign w:val="center"/>
          </w:tcPr>
          <w:p>
            <w:pPr>
              <w:pStyle w:val="Contenidodelatabla"/>
              <w:spacing w:before="113" w:after="113"/>
              <w:rPr>
                <w:b/>
                <w:bCs/>
              </w:rPr>
            </w:pPr>
            <w:r>
              <w:rPr>
                <w:b/>
                <w:bCs/>
              </w:rPr>
              <w:t>Electricidad (consumo de servidores)</w:t>
            </w:r>
          </w:p>
        </w:tc>
        <w:tc>
          <w:tcPr>
            <w:tcW w:w="3964" w:type="dxa"/>
            <w:tcBorders/>
            <w:vAlign w:val="center"/>
          </w:tcPr>
          <w:p>
            <w:pPr>
              <w:pStyle w:val="Contenidodelatabla"/>
              <w:spacing w:before="113" w:after="113"/>
              <w:rPr/>
            </w:pPr>
            <w:r>
              <w:rPr/>
              <w:t>Estimación ~$30/mes</w:t>
            </w:r>
          </w:p>
        </w:tc>
        <w:tc>
          <w:tcPr>
            <w:tcW w:w="1831" w:type="dxa"/>
            <w:tcBorders/>
            <w:vAlign w:val="center"/>
          </w:tcPr>
          <w:p>
            <w:pPr>
              <w:pStyle w:val="Contenidodelatabla"/>
              <w:spacing w:before="113" w:after="113"/>
              <w:rPr/>
            </w:pPr>
            <w:r>
              <w:rPr/>
              <w:t>$360</w:t>
            </w:r>
          </w:p>
        </w:tc>
      </w:tr>
      <w:tr>
        <w:trPr/>
        <w:tc>
          <w:tcPr>
            <w:tcW w:w="3863" w:type="dxa"/>
            <w:tcBorders>
              <w:top w:val="single" w:sz="4" w:space="0" w:color="000000"/>
              <w:end w:val="single" w:sz="4" w:space="0" w:color="000000"/>
            </w:tcBorders>
            <w:vAlign w:val="center"/>
          </w:tcPr>
          <w:p>
            <w:pPr>
              <w:pStyle w:val="Contenidodelatabla"/>
              <w:spacing w:before="113" w:after="113"/>
              <w:rPr/>
            </w:pPr>
            <w:r>
              <w:rPr>
                <w:rStyle w:val="Strong"/>
                <w:b/>
                <w:bCs/>
              </w:rPr>
              <w:t>Total anual (operativo)</w:t>
            </w:r>
          </w:p>
        </w:tc>
        <w:tc>
          <w:tcPr>
            <w:tcW w:w="3964" w:type="dxa"/>
            <w:tcBorders>
              <w:top w:val="single" w:sz="4" w:space="0" w:color="000000"/>
            </w:tcBorders>
            <w:vAlign w:val="center"/>
          </w:tcPr>
          <w:p>
            <w:pPr>
              <w:pStyle w:val="Contenidodelatabla"/>
              <w:spacing w:before="113" w:after="113"/>
              <w:rPr/>
            </w:pPr>
            <w:r>
              <w:rPr/>
            </w:r>
          </w:p>
        </w:tc>
        <w:tc>
          <w:tcPr>
            <w:tcW w:w="1831" w:type="dxa"/>
            <w:tcBorders>
              <w:top w:val="single" w:sz="4" w:space="0" w:color="000000"/>
            </w:tcBorders>
            <w:vAlign w:val="center"/>
          </w:tcPr>
          <w:p>
            <w:pPr>
              <w:pStyle w:val="Contenidodelatabla"/>
              <w:spacing w:before="113" w:after="113"/>
              <w:rPr/>
            </w:pPr>
            <w:r>
              <w:rPr>
                <w:rStyle w:val="Strong"/>
                <w:b w:val="false"/>
                <w:bCs w:val="false"/>
              </w:rPr>
              <w:t>$2,810</w:t>
            </w:r>
          </w:p>
        </w:tc>
      </w:tr>
    </w:tbl>
    <w:p>
      <w:pPr>
        <w:pStyle w:val="Heading2"/>
        <w:numPr>
          <w:ilvl w:val="1"/>
          <w:numId w:val="3"/>
        </w:numPr>
        <w:spacing w:before="283" w:after="142"/>
        <w:ind w:hanging="0" w:start="0"/>
        <w:rPr/>
      </w:pPr>
      <w:bookmarkStart w:id="52" w:name="__RefHeading___Toc7607_371365040"/>
      <w:bookmarkEnd w:id="52"/>
      <w:r>
        <w:rPr/>
        <w:t>Comparativa entre modelos</w:t>
      </w:r>
    </w:p>
    <w:p>
      <w:pPr>
        <w:pStyle w:val="BodyText"/>
        <w:rPr/>
      </w:pPr>
      <w:r>
        <w:rPr/>
        <w:t>La siguiente tabla resume las diferencias clave entre ambos enfoques y proyecta el costo total acumulado a 1, 3 y 5 años.</w:t>
      </w:r>
    </w:p>
    <w:p>
      <w:pPr>
        <w:pStyle w:val="Tabla"/>
        <w:rPr/>
      </w:pPr>
      <w:r>
        <w:rPr/>
        <w:t xml:space="preserve">Tabla </w:t>
      </w:r>
      <w:r>
        <w:rPr/>
        <w:fldChar w:fldCharType="begin"/>
      </w:r>
      <w:r>
        <w:rPr/>
        <w:instrText xml:space="preserve"> SEQ Tabla \* ARABIC </w:instrText>
      </w:r>
      <w:r>
        <w:rPr/>
        <w:fldChar w:fldCharType="separate"/>
      </w:r>
      <w:r>
        <w:rPr/>
        <w:t>15</w:t>
      </w:r>
      <w:r>
        <w:rPr/>
        <w:fldChar w:fldCharType="end"/>
      </w:r>
      <w:r>
        <w:rPr/>
        <w:t xml:space="preserve"> </w:t>
        <w:br/>
      </w:r>
      <w:r>
        <w:rPr>
          <w:b w:val="false"/>
          <w:bCs w:val="false"/>
          <w:i/>
          <w:iCs/>
        </w:rPr>
        <w:t xml:space="preserve">Comparación </w:t>
      </w:r>
      <w:r>
        <w:rPr>
          <w:b w:val="false"/>
          <w:bCs w:val="false"/>
          <w:i/>
          <w:iCs/>
        </w:rPr>
        <w:t xml:space="preserve">de características </w:t>
      </w:r>
      <w:r>
        <w:rPr>
          <w:b w:val="false"/>
          <w:bCs w:val="false"/>
          <w:i/>
          <w:iCs/>
        </w:rPr>
        <w:t>entre los modelo SaaS y On-Premise</w:t>
      </w:r>
    </w:p>
    <w:tbl>
      <w:tblPr>
        <w:tblW w:w="9658" w:type="dxa"/>
        <w:jc w:val="start"/>
        <w:tblInd w:w="0" w:type="dxa"/>
        <w:tblLayout w:type="fixed"/>
        <w:tblCellMar>
          <w:top w:w="55" w:type="dxa"/>
          <w:start w:w="55" w:type="dxa"/>
          <w:bottom w:w="55" w:type="dxa"/>
          <w:end w:w="55" w:type="dxa"/>
        </w:tblCellMar>
      </w:tblPr>
      <w:tblGrid>
        <w:gridCol w:w="3058"/>
        <w:gridCol w:w="2902"/>
        <w:gridCol w:w="3698"/>
      </w:tblGrid>
      <w:tr>
        <w:trPr>
          <w:tblHeader w:val="true"/>
        </w:trPr>
        <w:tc>
          <w:tcPr>
            <w:tcW w:w="3058" w:type="dxa"/>
            <w:tcBorders>
              <w:bottom w:val="single" w:sz="4" w:space="0" w:color="000000"/>
              <w:end w:val="single" w:sz="4" w:space="0" w:color="000000"/>
            </w:tcBorders>
            <w:vAlign w:val="center"/>
          </w:tcPr>
          <w:p>
            <w:pPr>
              <w:pStyle w:val="Ttulodelatabla"/>
              <w:spacing w:before="113" w:after="113"/>
              <w:rPr>
                <w:b/>
                <w:bCs/>
              </w:rPr>
            </w:pPr>
            <w:r>
              <w:rPr>
                <w:b/>
                <w:bCs/>
              </w:rPr>
              <w:t>Concepto</w:t>
            </w:r>
          </w:p>
        </w:tc>
        <w:tc>
          <w:tcPr>
            <w:tcW w:w="2902" w:type="dxa"/>
            <w:tcBorders>
              <w:bottom w:val="single" w:sz="4" w:space="0" w:color="000000"/>
            </w:tcBorders>
            <w:vAlign w:val="center"/>
          </w:tcPr>
          <w:p>
            <w:pPr>
              <w:pStyle w:val="Ttulodelatabla"/>
              <w:spacing w:before="113" w:after="113"/>
              <w:rPr/>
            </w:pPr>
            <w:r>
              <w:rPr/>
              <w:t>Modelo SaaS</w:t>
            </w:r>
          </w:p>
        </w:tc>
        <w:tc>
          <w:tcPr>
            <w:tcW w:w="3698" w:type="dxa"/>
            <w:tcBorders>
              <w:bottom w:val="single" w:sz="4" w:space="0" w:color="000000"/>
            </w:tcBorders>
            <w:vAlign w:val="center"/>
          </w:tcPr>
          <w:p>
            <w:pPr>
              <w:pStyle w:val="Ttulodelatabla"/>
              <w:spacing w:before="113" w:after="113"/>
              <w:rPr/>
            </w:pPr>
            <w:r>
              <w:rPr/>
              <w:t>Modelo On-Premise</w:t>
            </w:r>
          </w:p>
        </w:tc>
      </w:tr>
      <w:tr>
        <w:trPr/>
        <w:tc>
          <w:tcPr>
            <w:tcW w:w="3058" w:type="dxa"/>
            <w:tcBorders>
              <w:end w:val="single" w:sz="4" w:space="0" w:color="000000"/>
            </w:tcBorders>
            <w:vAlign w:val="center"/>
          </w:tcPr>
          <w:p>
            <w:pPr>
              <w:pStyle w:val="Contenidodelatabla"/>
              <w:spacing w:before="113" w:after="113"/>
              <w:rPr/>
            </w:pPr>
            <w:r>
              <w:rPr>
                <w:rStyle w:val="Strong"/>
                <w:b/>
                <w:bCs/>
              </w:rPr>
              <w:t>Inversión inicial</w:t>
            </w:r>
          </w:p>
        </w:tc>
        <w:tc>
          <w:tcPr>
            <w:tcW w:w="2902" w:type="dxa"/>
            <w:tcBorders/>
            <w:vAlign w:val="center"/>
          </w:tcPr>
          <w:p>
            <w:pPr>
              <w:pStyle w:val="Contenidodelatabla"/>
              <w:spacing w:before="113" w:after="113"/>
              <w:rPr>
                <w:b w:val="false"/>
                <w:bCs w:val="false"/>
              </w:rPr>
            </w:pPr>
            <w:r>
              <w:rPr>
                <w:b w:val="false"/>
                <w:bCs w:val="false"/>
              </w:rPr>
              <w:t>$1,400</w:t>
            </w:r>
          </w:p>
        </w:tc>
        <w:tc>
          <w:tcPr>
            <w:tcW w:w="3698" w:type="dxa"/>
            <w:tcBorders/>
            <w:vAlign w:val="center"/>
          </w:tcPr>
          <w:p>
            <w:pPr>
              <w:pStyle w:val="Contenidodelatabla"/>
              <w:spacing w:before="113" w:after="113"/>
              <w:rPr>
                <w:b w:val="false"/>
                <w:bCs w:val="false"/>
              </w:rPr>
            </w:pPr>
            <w:r>
              <w:rPr>
                <w:b w:val="false"/>
                <w:bCs w:val="false"/>
              </w:rPr>
              <w:t>$29,450</w:t>
            </w:r>
          </w:p>
        </w:tc>
      </w:tr>
      <w:tr>
        <w:trPr/>
        <w:tc>
          <w:tcPr>
            <w:tcW w:w="3058" w:type="dxa"/>
            <w:tcBorders>
              <w:end w:val="single" w:sz="4" w:space="0" w:color="000000"/>
            </w:tcBorders>
            <w:vAlign w:val="center"/>
          </w:tcPr>
          <w:p>
            <w:pPr>
              <w:pStyle w:val="Contenidodelatabla"/>
              <w:spacing w:before="113" w:after="113"/>
              <w:rPr/>
            </w:pPr>
            <w:r>
              <w:rPr>
                <w:rStyle w:val="Strong"/>
                <w:b/>
                <w:bCs/>
              </w:rPr>
              <w:t>Costo operativo anual</w:t>
            </w:r>
          </w:p>
        </w:tc>
        <w:tc>
          <w:tcPr>
            <w:tcW w:w="2902" w:type="dxa"/>
            <w:tcBorders/>
            <w:vAlign w:val="center"/>
          </w:tcPr>
          <w:p>
            <w:pPr>
              <w:pStyle w:val="Contenidodelatabla"/>
              <w:spacing w:before="113" w:after="113"/>
              <w:rPr>
                <w:b w:val="false"/>
                <w:bCs w:val="false"/>
              </w:rPr>
            </w:pPr>
            <w:r>
              <w:rPr>
                <w:b w:val="false"/>
                <w:bCs w:val="false"/>
              </w:rPr>
              <w:t>$4,800</w:t>
            </w:r>
          </w:p>
        </w:tc>
        <w:tc>
          <w:tcPr>
            <w:tcW w:w="3698" w:type="dxa"/>
            <w:tcBorders/>
            <w:vAlign w:val="center"/>
          </w:tcPr>
          <w:p>
            <w:pPr>
              <w:pStyle w:val="Contenidodelatabla"/>
              <w:spacing w:before="113" w:after="113"/>
              <w:rPr>
                <w:b w:val="false"/>
                <w:bCs w:val="false"/>
              </w:rPr>
            </w:pPr>
            <w:r>
              <w:rPr>
                <w:b w:val="false"/>
                <w:bCs w:val="false"/>
              </w:rPr>
              <w:t>$2,810</w:t>
            </w:r>
          </w:p>
        </w:tc>
      </w:tr>
      <w:tr>
        <w:trPr/>
        <w:tc>
          <w:tcPr>
            <w:tcW w:w="3058" w:type="dxa"/>
            <w:tcBorders>
              <w:end w:val="single" w:sz="4" w:space="0" w:color="000000"/>
            </w:tcBorders>
            <w:vAlign w:val="center"/>
          </w:tcPr>
          <w:p>
            <w:pPr>
              <w:pStyle w:val="Contenidodelatabla"/>
              <w:spacing w:before="113" w:after="113"/>
              <w:rPr/>
            </w:pPr>
            <w:r>
              <w:rPr>
                <w:rStyle w:val="Strong"/>
                <w:b/>
                <w:bCs/>
              </w:rPr>
              <w:t>Costo total año 1</w:t>
            </w:r>
          </w:p>
        </w:tc>
        <w:tc>
          <w:tcPr>
            <w:tcW w:w="2902" w:type="dxa"/>
            <w:tcBorders/>
            <w:vAlign w:val="center"/>
          </w:tcPr>
          <w:p>
            <w:pPr>
              <w:pStyle w:val="Contenidodelatabla"/>
              <w:spacing w:before="113" w:after="113"/>
              <w:rPr>
                <w:b w:val="false"/>
                <w:bCs w:val="false"/>
              </w:rPr>
            </w:pPr>
            <w:r>
              <w:rPr>
                <w:b w:val="false"/>
                <w:bCs w:val="false"/>
              </w:rPr>
              <w:t>$6,200</w:t>
            </w:r>
          </w:p>
        </w:tc>
        <w:tc>
          <w:tcPr>
            <w:tcW w:w="3698" w:type="dxa"/>
            <w:tcBorders/>
            <w:vAlign w:val="center"/>
          </w:tcPr>
          <w:p>
            <w:pPr>
              <w:pStyle w:val="Contenidodelatabla"/>
              <w:spacing w:before="113" w:after="113"/>
              <w:rPr>
                <w:b w:val="false"/>
                <w:bCs w:val="false"/>
              </w:rPr>
            </w:pPr>
            <w:r>
              <w:rPr>
                <w:b w:val="false"/>
                <w:bCs w:val="false"/>
              </w:rPr>
              <w:t>$32,260</w:t>
            </w:r>
          </w:p>
        </w:tc>
      </w:tr>
      <w:tr>
        <w:trPr/>
        <w:tc>
          <w:tcPr>
            <w:tcW w:w="3058" w:type="dxa"/>
            <w:tcBorders>
              <w:end w:val="single" w:sz="4" w:space="0" w:color="000000"/>
            </w:tcBorders>
            <w:vAlign w:val="center"/>
          </w:tcPr>
          <w:p>
            <w:pPr>
              <w:pStyle w:val="Contenidodelatabla"/>
              <w:spacing w:before="113" w:after="113"/>
              <w:rPr/>
            </w:pPr>
            <w:r>
              <w:rPr>
                <w:rStyle w:val="Strong"/>
                <w:b/>
                <w:bCs/>
              </w:rPr>
              <w:t>Costo total año 3</w:t>
            </w:r>
          </w:p>
        </w:tc>
        <w:tc>
          <w:tcPr>
            <w:tcW w:w="2902" w:type="dxa"/>
            <w:tcBorders/>
            <w:vAlign w:val="center"/>
          </w:tcPr>
          <w:p>
            <w:pPr>
              <w:pStyle w:val="Contenidodelatabla"/>
              <w:spacing w:before="113" w:after="113"/>
              <w:rPr>
                <w:b w:val="false"/>
                <w:bCs w:val="false"/>
              </w:rPr>
            </w:pPr>
            <w:r>
              <w:rPr>
                <w:b w:val="false"/>
                <w:bCs w:val="false"/>
              </w:rPr>
              <w:t>$15,800</w:t>
            </w:r>
          </w:p>
        </w:tc>
        <w:tc>
          <w:tcPr>
            <w:tcW w:w="3698" w:type="dxa"/>
            <w:tcBorders/>
            <w:vAlign w:val="center"/>
          </w:tcPr>
          <w:p>
            <w:pPr>
              <w:pStyle w:val="Contenidodelatabla"/>
              <w:spacing w:before="113" w:after="113"/>
              <w:rPr>
                <w:b w:val="false"/>
                <w:bCs w:val="false"/>
              </w:rPr>
            </w:pPr>
            <w:r>
              <w:rPr>
                <w:b w:val="false"/>
                <w:bCs w:val="false"/>
              </w:rPr>
              <w:t>$37,880</w:t>
            </w:r>
          </w:p>
        </w:tc>
      </w:tr>
      <w:tr>
        <w:trPr/>
        <w:tc>
          <w:tcPr>
            <w:tcW w:w="3058" w:type="dxa"/>
            <w:tcBorders>
              <w:end w:val="single" w:sz="4" w:space="0" w:color="000000"/>
            </w:tcBorders>
            <w:vAlign w:val="center"/>
          </w:tcPr>
          <w:p>
            <w:pPr>
              <w:pStyle w:val="Contenidodelatabla"/>
              <w:spacing w:before="113" w:after="113"/>
              <w:rPr/>
            </w:pPr>
            <w:r>
              <w:rPr>
                <w:rStyle w:val="Strong"/>
                <w:b/>
                <w:bCs/>
              </w:rPr>
              <w:t>Costo total año 5</w:t>
            </w:r>
          </w:p>
        </w:tc>
        <w:tc>
          <w:tcPr>
            <w:tcW w:w="2902" w:type="dxa"/>
            <w:tcBorders/>
            <w:vAlign w:val="center"/>
          </w:tcPr>
          <w:p>
            <w:pPr>
              <w:pStyle w:val="Contenidodelatabla"/>
              <w:spacing w:before="113" w:after="113"/>
              <w:rPr>
                <w:b w:val="false"/>
                <w:bCs w:val="false"/>
              </w:rPr>
            </w:pPr>
            <w:r>
              <w:rPr>
                <w:b w:val="false"/>
                <w:bCs w:val="false"/>
              </w:rPr>
              <w:t>$25,400</w:t>
            </w:r>
          </w:p>
        </w:tc>
        <w:tc>
          <w:tcPr>
            <w:tcW w:w="3698" w:type="dxa"/>
            <w:tcBorders/>
            <w:vAlign w:val="center"/>
          </w:tcPr>
          <w:p>
            <w:pPr>
              <w:pStyle w:val="Contenidodelatabla"/>
              <w:spacing w:before="113" w:after="113"/>
              <w:rPr>
                <w:b w:val="false"/>
                <w:bCs w:val="false"/>
              </w:rPr>
            </w:pPr>
            <w:r>
              <w:rPr>
                <w:b w:val="false"/>
                <w:bCs w:val="false"/>
              </w:rPr>
              <w:t>$43,500</w:t>
            </w:r>
          </w:p>
        </w:tc>
      </w:tr>
      <w:tr>
        <w:trPr/>
        <w:tc>
          <w:tcPr>
            <w:tcW w:w="3058" w:type="dxa"/>
            <w:tcBorders>
              <w:end w:val="single" w:sz="4" w:space="0" w:color="000000"/>
            </w:tcBorders>
            <w:vAlign w:val="center"/>
          </w:tcPr>
          <w:p>
            <w:pPr>
              <w:pStyle w:val="Contenidodelatabla"/>
              <w:spacing w:before="113" w:after="113"/>
              <w:rPr/>
            </w:pPr>
            <w:r>
              <w:rPr>
                <w:rStyle w:val="Strong"/>
                <w:b/>
                <w:bCs/>
              </w:rPr>
              <w:t>Requiere infraestructura propia</w:t>
            </w:r>
          </w:p>
        </w:tc>
        <w:tc>
          <w:tcPr>
            <w:tcW w:w="2902" w:type="dxa"/>
            <w:tcBorders/>
            <w:vAlign w:val="center"/>
          </w:tcPr>
          <w:p>
            <w:pPr>
              <w:pStyle w:val="Contenidodelatabla"/>
              <w:spacing w:before="113" w:after="113"/>
              <w:rPr>
                <w:b w:val="false"/>
                <w:bCs w:val="false"/>
              </w:rPr>
            </w:pPr>
            <w:r>
              <w:rPr>
                <w:b w:val="false"/>
                <w:bCs w:val="false"/>
              </w:rPr>
              <w:t>No</w:t>
            </w:r>
          </w:p>
        </w:tc>
        <w:tc>
          <w:tcPr>
            <w:tcW w:w="3698" w:type="dxa"/>
            <w:tcBorders/>
            <w:vAlign w:val="center"/>
          </w:tcPr>
          <w:p>
            <w:pPr>
              <w:pStyle w:val="Contenidodelatabla"/>
              <w:spacing w:before="113" w:after="113"/>
              <w:rPr>
                <w:b w:val="false"/>
                <w:bCs w:val="false"/>
              </w:rPr>
            </w:pPr>
            <w:r>
              <w:rPr>
                <w:b w:val="false"/>
                <w:bCs w:val="false"/>
              </w:rPr>
              <w:t>Sí</w:t>
            </w:r>
          </w:p>
        </w:tc>
      </w:tr>
      <w:tr>
        <w:trPr/>
        <w:tc>
          <w:tcPr>
            <w:tcW w:w="3058" w:type="dxa"/>
            <w:tcBorders>
              <w:end w:val="single" w:sz="4" w:space="0" w:color="000000"/>
            </w:tcBorders>
            <w:vAlign w:val="center"/>
          </w:tcPr>
          <w:p>
            <w:pPr>
              <w:pStyle w:val="Contenidodelatabla"/>
              <w:spacing w:before="113" w:after="113"/>
              <w:rPr/>
            </w:pPr>
            <w:r>
              <w:rPr>
                <w:rStyle w:val="Strong"/>
                <w:b/>
                <w:bCs/>
              </w:rPr>
              <w:t>Responsabilidad del mantenimiento</w:t>
            </w:r>
          </w:p>
        </w:tc>
        <w:tc>
          <w:tcPr>
            <w:tcW w:w="2902" w:type="dxa"/>
            <w:tcBorders/>
            <w:vAlign w:val="center"/>
          </w:tcPr>
          <w:p>
            <w:pPr>
              <w:pStyle w:val="Contenidodelatabla"/>
              <w:spacing w:before="113" w:after="113"/>
              <w:rPr>
                <w:b w:val="false"/>
                <w:bCs w:val="false"/>
              </w:rPr>
            </w:pPr>
            <w:r>
              <w:rPr>
                <w:b w:val="false"/>
                <w:bCs w:val="false"/>
              </w:rPr>
              <w:t>Proveedor</w:t>
            </w:r>
          </w:p>
        </w:tc>
        <w:tc>
          <w:tcPr>
            <w:tcW w:w="3698" w:type="dxa"/>
            <w:tcBorders/>
            <w:vAlign w:val="center"/>
          </w:tcPr>
          <w:p>
            <w:pPr>
              <w:pStyle w:val="Contenidodelatabla"/>
              <w:spacing w:before="113" w:after="113"/>
              <w:rPr>
                <w:b w:val="false"/>
                <w:bCs w:val="false"/>
              </w:rPr>
            </w:pPr>
            <w:r>
              <w:rPr>
                <w:b w:val="false"/>
                <w:bCs w:val="false"/>
              </w:rPr>
              <w:t>Institución</w:t>
            </w:r>
          </w:p>
        </w:tc>
      </w:tr>
      <w:tr>
        <w:trPr/>
        <w:tc>
          <w:tcPr>
            <w:tcW w:w="3058" w:type="dxa"/>
            <w:tcBorders>
              <w:end w:val="single" w:sz="4" w:space="0" w:color="000000"/>
            </w:tcBorders>
            <w:vAlign w:val="center"/>
          </w:tcPr>
          <w:p>
            <w:pPr>
              <w:pStyle w:val="Contenidodelatabla"/>
              <w:spacing w:before="113" w:after="113"/>
              <w:rPr/>
            </w:pPr>
            <w:r>
              <w:rPr>
                <w:rStyle w:val="Strong"/>
                <w:b/>
                <w:bCs/>
              </w:rPr>
              <w:t>Escalabilidad</w:t>
            </w:r>
          </w:p>
        </w:tc>
        <w:tc>
          <w:tcPr>
            <w:tcW w:w="2902" w:type="dxa"/>
            <w:tcBorders/>
            <w:vAlign w:val="center"/>
          </w:tcPr>
          <w:p>
            <w:pPr>
              <w:pStyle w:val="Contenidodelatabla"/>
              <w:spacing w:before="113" w:after="113"/>
              <w:rPr>
                <w:b w:val="false"/>
                <w:bCs w:val="false"/>
              </w:rPr>
            </w:pPr>
            <w:r>
              <w:rPr>
                <w:b w:val="false"/>
                <w:bCs w:val="false"/>
              </w:rPr>
              <w:t>Alta (ajuste inmediato de suscripción)</w:t>
            </w:r>
          </w:p>
        </w:tc>
        <w:tc>
          <w:tcPr>
            <w:tcW w:w="3698" w:type="dxa"/>
            <w:tcBorders/>
            <w:vAlign w:val="center"/>
          </w:tcPr>
          <w:p>
            <w:pPr>
              <w:pStyle w:val="Contenidodelatabla"/>
              <w:spacing w:before="113" w:after="113"/>
              <w:rPr>
                <w:b w:val="false"/>
                <w:bCs w:val="false"/>
              </w:rPr>
            </w:pPr>
            <w:r>
              <w:rPr>
                <w:b w:val="false"/>
                <w:bCs w:val="false"/>
              </w:rPr>
              <w:t>Limitada (requiere inversión adicional en hardware)</w:t>
            </w:r>
          </w:p>
        </w:tc>
      </w:tr>
      <w:tr>
        <w:trPr/>
        <w:tc>
          <w:tcPr>
            <w:tcW w:w="3058" w:type="dxa"/>
            <w:tcBorders>
              <w:end w:val="single" w:sz="4" w:space="0" w:color="000000"/>
            </w:tcBorders>
            <w:vAlign w:val="center"/>
          </w:tcPr>
          <w:p>
            <w:pPr>
              <w:pStyle w:val="Contenidodelatabla"/>
              <w:spacing w:before="113" w:after="113"/>
              <w:rPr/>
            </w:pPr>
            <w:r>
              <w:rPr>
                <w:rStyle w:val="Strong"/>
                <w:b/>
                <w:bCs/>
              </w:rPr>
              <w:t>Dependencia de conectividad</w:t>
            </w:r>
          </w:p>
        </w:tc>
        <w:tc>
          <w:tcPr>
            <w:tcW w:w="2902" w:type="dxa"/>
            <w:tcBorders/>
            <w:vAlign w:val="center"/>
          </w:tcPr>
          <w:p>
            <w:pPr>
              <w:pStyle w:val="Contenidodelatabla"/>
              <w:spacing w:before="113" w:after="113"/>
              <w:rPr>
                <w:b w:val="false"/>
                <w:bCs w:val="false"/>
              </w:rPr>
            </w:pPr>
            <w:r>
              <w:rPr>
                <w:b w:val="false"/>
                <w:bCs w:val="false"/>
              </w:rPr>
              <w:t>Alta (requiere internet estable)</w:t>
            </w:r>
          </w:p>
        </w:tc>
        <w:tc>
          <w:tcPr>
            <w:tcW w:w="3698" w:type="dxa"/>
            <w:tcBorders/>
            <w:vAlign w:val="center"/>
          </w:tcPr>
          <w:p>
            <w:pPr>
              <w:pStyle w:val="Contenidodelatabla"/>
              <w:spacing w:before="113" w:after="113"/>
              <w:rPr>
                <w:b w:val="false"/>
                <w:bCs w:val="false"/>
              </w:rPr>
            </w:pPr>
            <w:r>
              <w:rPr>
                <w:b w:val="false"/>
                <w:bCs w:val="false"/>
              </w:rPr>
              <w:t>Baja (funciona en red local)</w:t>
            </w:r>
          </w:p>
        </w:tc>
      </w:tr>
      <w:tr>
        <w:trPr/>
        <w:tc>
          <w:tcPr>
            <w:tcW w:w="3058" w:type="dxa"/>
            <w:tcBorders>
              <w:end w:val="single" w:sz="4" w:space="0" w:color="000000"/>
            </w:tcBorders>
            <w:vAlign w:val="center"/>
          </w:tcPr>
          <w:p>
            <w:pPr>
              <w:pStyle w:val="Contenidodelatabla"/>
              <w:spacing w:before="113" w:after="113"/>
              <w:rPr/>
            </w:pPr>
            <w:r>
              <w:rPr>
                <w:rStyle w:val="Strong"/>
                <w:b/>
                <w:bCs/>
              </w:rPr>
              <w:t>Control sobre los datos</w:t>
            </w:r>
          </w:p>
        </w:tc>
        <w:tc>
          <w:tcPr>
            <w:tcW w:w="2902" w:type="dxa"/>
            <w:tcBorders/>
            <w:vAlign w:val="center"/>
          </w:tcPr>
          <w:p>
            <w:pPr>
              <w:pStyle w:val="Contenidodelatabla"/>
              <w:spacing w:before="113" w:after="113"/>
              <w:rPr>
                <w:b w:val="false"/>
                <w:bCs w:val="false"/>
              </w:rPr>
            </w:pPr>
            <w:r>
              <w:rPr>
                <w:b w:val="false"/>
                <w:bCs w:val="false"/>
              </w:rPr>
              <w:t>Almacenados en la nube del proveedor</w:t>
            </w:r>
          </w:p>
        </w:tc>
        <w:tc>
          <w:tcPr>
            <w:tcW w:w="3698" w:type="dxa"/>
            <w:tcBorders/>
            <w:vAlign w:val="center"/>
          </w:tcPr>
          <w:p>
            <w:pPr>
              <w:pStyle w:val="Contenidodelatabla"/>
              <w:spacing w:before="113" w:after="113"/>
              <w:rPr>
                <w:b w:val="false"/>
                <w:bCs w:val="false"/>
              </w:rPr>
            </w:pPr>
            <w:r>
              <w:rPr>
                <w:b w:val="false"/>
                <w:bCs w:val="false"/>
              </w:rPr>
              <w:t>Almacenados en instalaciones propias</w:t>
            </w:r>
          </w:p>
        </w:tc>
      </w:tr>
    </w:tbl>
    <w:p>
      <w:pPr>
        <w:pStyle w:val="BodyText"/>
        <w:rPr/>
      </w:pPr>
      <w:r>
        <w:rPr>
          <w:rStyle w:val="Emphasis"/>
        </w:rPr>
        <w:t>Nota: en el modelo SaaS, la inversión inicial no incluye el costo de desarrollo porque este se recupera mediante la suscripción. El costo total acumulado refleja únicamente los gastos asumidos por la institución.</w:t>
      </w:r>
    </w:p>
    <w:p>
      <w:pPr>
        <w:pStyle w:val="Heading2"/>
        <w:numPr>
          <w:ilvl w:val="1"/>
          <w:numId w:val="3"/>
        </w:numPr>
        <w:ind w:hanging="0" w:start="0"/>
        <w:rPr/>
      </w:pPr>
      <w:bookmarkStart w:id="53" w:name="__RefHeading___Toc7609_371365040"/>
      <w:bookmarkEnd w:id="53"/>
      <w:r>
        <w:rPr/>
        <w:t>Análisis y recomendación</w:t>
      </w:r>
    </w:p>
    <w:p>
      <w:pPr>
        <w:pStyle w:val="BodyText"/>
        <w:rPr/>
      </w:pPr>
      <w:r>
        <w:rPr>
          <w:rStyle w:val="Strong"/>
        </w:rPr>
        <w:t>Modelo SaaS</w:t>
      </w:r>
      <w:r>
        <w:rPr/>
        <w:t>: recomendado para instituciones que prefieren una baja inversión inicial, no cuentan con personal técnico especializado y valoran la escalabilidad. El costo total a 5 años es inferior al on-premise, pero la dependencia de conectividad a internet es crítica.</w:t>
      </w:r>
    </w:p>
    <w:p>
      <w:pPr>
        <w:pStyle w:val="BodyText"/>
        <w:rPr/>
      </w:pPr>
      <w:r>
        <w:rPr>
          <w:rStyle w:val="Strong"/>
        </w:rPr>
        <w:t>Modelo On-Premise</w:t>
      </w:r>
      <w:r>
        <w:rPr/>
        <w:t>: recomendado para instituciones con personal técnico propio, que requieren control total sobre sus datos y cuentan con infraestructura eléctrica y de red confiable. La inversión inicial es alta, pero los costos operativos anuales son menores y la independencia de internet garantiza la operación incluso ante fallos de conectividad.</w:t>
      </w:r>
    </w:p>
    <w:p>
      <w:pPr>
        <w:pStyle w:val="Heading1"/>
        <w:numPr>
          <w:ilvl w:val="0"/>
          <w:numId w:val="3"/>
        </w:numPr>
        <w:ind w:hanging="0" w:start="0"/>
        <w:rPr>
          <w:color w:val="auto"/>
        </w:rPr>
      </w:pPr>
      <w:bookmarkStart w:id="54" w:name="__RefHeading___Toc12537_3972331205"/>
      <w:bookmarkStart w:id="55" w:name="_ttecxm8w5vzi"/>
      <w:bookmarkEnd w:id="54"/>
      <w:bookmarkEnd w:id="55"/>
      <w:r>
        <w:rPr/>
        <w:t>Beneficios</w:t>
      </w:r>
    </w:p>
    <w:p>
      <w:pPr>
        <w:pStyle w:val="BodyText"/>
        <w:rPr/>
      </w:pPr>
      <w:r>
        <w:rPr/>
        <w:t>La implementación del SGD para clínicas genera beneficios concretos para la institución de salud en dos dimensiones: </w:t>
      </w:r>
      <w:r>
        <w:rPr>
          <w:rStyle w:val="Strong"/>
        </w:rPr>
        <w:t>beneficios cuantitativos</w:t>
      </w:r>
      <w:r>
        <w:rPr/>
        <w:t>, expresados en términos medibles y verificables, y </w:t>
      </w:r>
      <w:r>
        <w:rPr>
          <w:rStyle w:val="Strong"/>
        </w:rPr>
        <w:t>beneficios cualitativos</w:t>
      </w:r>
      <w:r>
        <w:rPr/>
        <w:t>, que impactan en la operación y la experiencia sin reducirse a un número específico. En conjunto, estos beneficios transforman la inversión en un activo con retorno medible a corto y mediano plazo.</w:t>
      </w:r>
    </w:p>
    <w:p>
      <w:pPr>
        <w:pStyle w:val="Heading2"/>
        <w:numPr>
          <w:ilvl w:val="1"/>
          <w:numId w:val="3"/>
        </w:numPr>
        <w:ind w:hanging="0" w:start="0"/>
        <w:rPr/>
      </w:pPr>
      <w:bookmarkStart w:id="56" w:name="__RefHeading___Toc7611_371365040"/>
      <w:bookmarkEnd w:id="56"/>
      <w:r>
        <w:rPr/>
        <w:t>Beneficios cuantitativos</w:t>
      </w:r>
    </w:p>
    <w:p>
      <w:pPr>
        <w:pStyle w:val="BodyText"/>
        <w:rPr/>
      </w:pPr>
      <w:r>
        <w:rPr/>
        <w:t>Son aquellos que pueden expresarse en unidades monetarias, tiempo o recursos liberados, permitiendo calcular directamente el retorno de la inversión.</w:t>
      </w:r>
    </w:p>
    <w:p>
      <w:pPr>
        <w:pStyle w:val="Tabla"/>
        <w:rPr/>
      </w:pPr>
      <w:r>
        <w:rPr/>
        <w:t xml:space="preserve">Tabla </w:t>
      </w:r>
      <w:r>
        <w:rPr/>
        <w:fldChar w:fldCharType="begin"/>
      </w:r>
      <w:r>
        <w:rPr/>
        <w:instrText xml:space="preserve"> SEQ Tabla \* ARABIC </w:instrText>
      </w:r>
      <w:r>
        <w:rPr/>
        <w:fldChar w:fldCharType="separate"/>
      </w:r>
      <w:r>
        <w:rPr/>
        <w:t>16</w:t>
      </w:r>
      <w:r>
        <w:rPr/>
        <w:fldChar w:fldCharType="end"/>
      </w:r>
      <w:r>
        <w:rPr/>
        <w:t xml:space="preserve"> </w:t>
        <w:br/>
      </w:r>
      <w:r>
        <w:rPr>
          <w:b w:val="false"/>
          <w:bCs w:val="false"/>
          <w:i/>
          <w:iCs/>
        </w:rPr>
        <w:t xml:space="preserve">Descripción de beneficios cuantificables </w:t>
      </w:r>
      <w:r>
        <w:rPr>
          <w:b w:val="false"/>
          <w:bCs w:val="false"/>
          <w:i/>
          <w:iCs/>
        </w:rPr>
        <w:t>al implementar el sistema</w:t>
      </w:r>
    </w:p>
    <w:tbl>
      <w:tblPr>
        <w:tblW w:w="9658" w:type="dxa"/>
        <w:jc w:val="start"/>
        <w:tblInd w:w="0" w:type="dxa"/>
        <w:tblLayout w:type="fixed"/>
        <w:tblCellMar>
          <w:top w:w="55" w:type="dxa"/>
          <w:start w:w="55" w:type="dxa"/>
          <w:bottom w:w="150" w:type="dxa"/>
          <w:end w:w="55" w:type="dxa"/>
        </w:tblCellMar>
      </w:tblPr>
      <w:tblGrid>
        <w:gridCol w:w="1987"/>
        <w:gridCol w:w="2433"/>
        <w:gridCol w:w="1983"/>
        <w:gridCol w:w="3255"/>
      </w:tblGrid>
      <w:tr>
        <w:trPr>
          <w:tblHeader w:val="true"/>
        </w:trPr>
        <w:tc>
          <w:tcPr>
            <w:tcW w:w="1987" w:type="dxa"/>
            <w:tcBorders>
              <w:bottom w:val="single" w:sz="4" w:space="0" w:color="000000"/>
              <w:end w:val="single" w:sz="4" w:space="0" w:color="000000"/>
            </w:tcBorders>
            <w:vAlign w:val="center"/>
          </w:tcPr>
          <w:p>
            <w:pPr>
              <w:pStyle w:val="Ttulodelatabla"/>
              <w:spacing w:before="113" w:after="113"/>
              <w:rPr>
                <w:b/>
                <w:bCs/>
              </w:rPr>
            </w:pPr>
            <w:r>
              <w:rPr>
                <w:b/>
                <w:bCs/>
              </w:rPr>
              <w:t>Beneficio</w:t>
            </w:r>
          </w:p>
        </w:tc>
        <w:tc>
          <w:tcPr>
            <w:tcW w:w="2433" w:type="dxa"/>
            <w:tcBorders>
              <w:bottom w:val="single" w:sz="4" w:space="0" w:color="000000"/>
            </w:tcBorders>
            <w:vAlign w:val="center"/>
          </w:tcPr>
          <w:p>
            <w:pPr>
              <w:pStyle w:val="Ttulodelatabla"/>
              <w:spacing w:before="113" w:after="113"/>
              <w:rPr/>
            </w:pPr>
            <w:r>
              <w:rPr/>
              <w:t>Situación actual</w:t>
            </w:r>
          </w:p>
        </w:tc>
        <w:tc>
          <w:tcPr>
            <w:tcW w:w="1983" w:type="dxa"/>
            <w:tcBorders>
              <w:bottom w:val="single" w:sz="4" w:space="0" w:color="000000"/>
            </w:tcBorders>
            <w:vAlign w:val="center"/>
          </w:tcPr>
          <w:p>
            <w:pPr>
              <w:pStyle w:val="Ttulodelatabla"/>
              <w:spacing w:before="113" w:after="113"/>
              <w:rPr/>
            </w:pPr>
            <w:r>
              <w:rPr/>
              <w:t>Situación con SGD</w:t>
            </w:r>
          </w:p>
        </w:tc>
        <w:tc>
          <w:tcPr>
            <w:tcW w:w="3255" w:type="dxa"/>
            <w:tcBorders>
              <w:bottom w:val="single" w:sz="4" w:space="0" w:color="000000"/>
            </w:tcBorders>
            <w:vAlign w:val="center"/>
          </w:tcPr>
          <w:p>
            <w:pPr>
              <w:pStyle w:val="Ttulodelatabla"/>
              <w:spacing w:before="113" w:after="113"/>
              <w:rPr/>
            </w:pPr>
            <w:r>
              <w:rPr/>
              <w:t>Impacto estimado</w:t>
            </w:r>
          </w:p>
        </w:tc>
      </w:tr>
      <w:tr>
        <w:trPr/>
        <w:tc>
          <w:tcPr>
            <w:tcW w:w="1987" w:type="dxa"/>
            <w:tcBorders>
              <w:end w:val="single" w:sz="4" w:space="0" w:color="000000"/>
            </w:tcBorders>
            <w:vAlign w:val="center"/>
          </w:tcPr>
          <w:p>
            <w:pPr>
              <w:pStyle w:val="Contenidodelatabla"/>
              <w:spacing w:before="113" w:after="113"/>
              <w:rPr>
                <w:b/>
                <w:bCs/>
              </w:rPr>
            </w:pPr>
            <w:r>
              <w:rPr>
                <w:b/>
                <w:bCs/>
              </w:rPr>
              <w:t>Tiempo de acceso a expedientes</w:t>
            </w:r>
          </w:p>
        </w:tc>
        <w:tc>
          <w:tcPr>
            <w:tcW w:w="2433" w:type="dxa"/>
            <w:tcBorders/>
            <w:vAlign w:val="center"/>
          </w:tcPr>
          <w:p>
            <w:pPr>
              <w:pStyle w:val="Contenidodelatabla"/>
              <w:spacing w:before="113" w:after="113"/>
              <w:rPr>
                <w:b w:val="false"/>
                <w:bCs w:val="false"/>
              </w:rPr>
            </w:pPr>
            <w:r>
              <w:rPr>
                <w:b w:val="false"/>
                <w:bCs w:val="false"/>
              </w:rPr>
              <w:t>1-1/2</w:t>
            </w:r>
            <w:r>
              <w:rPr>
                <w:b w:val="false"/>
                <w:bCs w:val="false"/>
              </w:rPr>
              <w:t xml:space="preserve"> horas en emergencias (Hospital Francés)</w:t>
            </w:r>
          </w:p>
        </w:tc>
        <w:tc>
          <w:tcPr>
            <w:tcW w:w="1983" w:type="dxa"/>
            <w:tcBorders/>
            <w:vAlign w:val="center"/>
          </w:tcPr>
          <w:p>
            <w:pPr>
              <w:pStyle w:val="Contenidodelatabla"/>
              <w:spacing w:before="113" w:after="113"/>
              <w:rPr>
                <w:b w:val="false"/>
                <w:bCs w:val="false"/>
              </w:rPr>
            </w:pPr>
            <w:r>
              <w:rPr>
                <w:b w:val="false"/>
                <w:bCs w:val="false"/>
              </w:rPr>
              <w:t>Menos de 2 minutos mediante búsqueda indexada</w:t>
            </w:r>
          </w:p>
        </w:tc>
        <w:tc>
          <w:tcPr>
            <w:tcW w:w="3255" w:type="dxa"/>
            <w:tcBorders/>
            <w:vAlign w:val="center"/>
          </w:tcPr>
          <w:p>
            <w:pPr>
              <w:pStyle w:val="Contenidodelatabla"/>
              <w:spacing w:before="113" w:after="11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val="false"/>
                <w:i w:val="false"/>
                <w:caps w:val="false"/>
                <w:smallCaps w:val="false"/>
                <w:color w:val="auto"/>
                <w:sz w:val="23"/>
              </w:rPr>
              <w:t>Reducción del </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val="false"/>
                <w:i w:val="false"/>
                <w:caps w:val="false"/>
                <w:smallCaps w:val="false"/>
                <w:color w:val="auto"/>
                <w:sz w:val="23"/>
              </w:rPr>
              <w:t>66</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val="false"/>
                <w:i w:val="false"/>
                <w:caps w:val="false"/>
                <w:smallCaps w:val="false"/>
                <w:color w:val="auto"/>
                <w:sz w:val="23"/>
              </w:rPr>
              <w: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val="false"/>
                <w:i w:val="false"/>
                <w:caps w:val="false"/>
                <w:smallCaps w:val="false"/>
                <w:color w:val="auto"/>
                <w:sz w:val="23"/>
              </w:rPr>
              <w:t> en tiempo de recuperación, agilizando la atención crítica</w:t>
            </w:r>
          </w:p>
        </w:tc>
      </w:tr>
      <w:tr>
        <w:trPr/>
        <w:tc>
          <w:tcPr>
            <w:tcW w:w="1987" w:type="dxa"/>
            <w:tcBorders>
              <w:end w:val="single" w:sz="4" w:space="0" w:color="000000"/>
            </w:tcBorders>
            <w:vAlign w:val="center"/>
          </w:tcPr>
          <w:p>
            <w:pPr>
              <w:pStyle w:val="Contenidodelatabla"/>
              <w:spacing w:before="113" w:after="113"/>
              <w:rPr>
                <w:b/>
                <w:bCs/>
              </w:rPr>
            </w:pPr>
            <w:r>
              <w:rPr>
                <w:b/>
                <w:bCs/>
              </w:rPr>
              <w:t>Costo de materiales físicos</w:t>
            </w:r>
          </w:p>
        </w:tc>
        <w:tc>
          <w:tcPr>
            <w:tcW w:w="2433" w:type="dxa"/>
            <w:tcBorders/>
            <w:vAlign w:val="center"/>
          </w:tcPr>
          <w:p>
            <w:pPr>
              <w:pStyle w:val="Contenidodelatabla"/>
              <w:spacing w:before="113" w:after="113"/>
              <w:rPr>
                <w:b w:val="false"/>
                <w:bCs w:val="false"/>
              </w:rPr>
            </w:pPr>
            <w:r>
              <w:rPr>
                <w:b w:val="false"/>
                <w:bCs w:val="false"/>
              </w:rPr>
              <w:t>Papel, tóner, mobiliario de archivo y espacio físico destinado al acervo documental</w:t>
            </w:r>
          </w:p>
        </w:tc>
        <w:tc>
          <w:tcPr>
            <w:tcW w:w="1983" w:type="dxa"/>
            <w:tcBorders/>
            <w:vAlign w:val="center"/>
          </w:tcPr>
          <w:p>
            <w:pPr>
              <w:pStyle w:val="Contenidodelatabla"/>
              <w:spacing w:before="113" w:after="113"/>
              <w:rPr>
                <w:b w:val="false"/>
                <w:bCs w:val="false"/>
              </w:rPr>
            </w:pPr>
            <w:r>
              <w:rPr>
                <w:b w:val="false"/>
                <w:bCs w:val="false"/>
              </w:rPr>
              <w:t>Eliminación progresiva del soporte físico para documentos nuevos</w:t>
            </w:r>
          </w:p>
        </w:tc>
        <w:tc>
          <w:tcPr>
            <w:tcW w:w="3255" w:type="dxa"/>
            <w:tcBorders/>
            <w:vAlign w:val="center"/>
          </w:tcPr>
          <w:p>
            <w:pPr>
              <w:pStyle w:val="Contenidodelatabla"/>
              <w:spacing w:before="113" w:after="11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val="false"/>
                <w:i w:val="false"/>
                <w:caps w:val="false"/>
                <w:smallCaps w:val="false"/>
                <w:color w:val="auto"/>
                <w:sz w:val="23"/>
              </w:rPr>
              <w:t>Ahorro estimado de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val="false"/>
                <w:i w:val="false"/>
                <w:caps w:val="false"/>
                <w:smallCaps w:val="false"/>
                <w:color w:val="auto"/>
                <w:sz w:val="23"/>
              </w:rPr>
              <w:t>$200–$500 mensuales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val="false"/>
                <w:i w:val="false"/>
                <w:caps w:val="false"/>
                <w:smallCaps w:val="false"/>
                <w:color w:val="auto"/>
                <w:sz w:val="23"/>
              </w:rPr>
              <w:t> según volumen de generación documental</w:t>
            </w:r>
          </w:p>
        </w:tc>
      </w:tr>
      <w:tr>
        <w:trPr/>
        <w:tc>
          <w:tcPr>
            <w:tcW w:w="1987" w:type="dxa"/>
            <w:tcBorders>
              <w:end w:val="single" w:sz="4" w:space="0" w:color="000000"/>
            </w:tcBorders>
            <w:vAlign w:val="center"/>
          </w:tcPr>
          <w:p>
            <w:pPr>
              <w:pStyle w:val="Contenidodelatabla"/>
              <w:spacing w:before="113" w:after="113"/>
              <w:rPr>
                <w:b/>
                <w:bCs/>
              </w:rPr>
            </w:pPr>
            <w:r>
              <w:rPr>
                <w:b/>
                <w:bCs/>
              </w:rPr>
              <w:t>Horas-hombre en clasificación manual</w:t>
            </w:r>
          </w:p>
        </w:tc>
        <w:tc>
          <w:tcPr>
            <w:tcW w:w="2433" w:type="dxa"/>
            <w:tcBorders/>
            <w:vAlign w:val="center"/>
          </w:tcPr>
          <w:p>
            <w:pPr>
              <w:pStyle w:val="Contenidodelatabla"/>
              <w:spacing w:before="113" w:after="113"/>
              <w:rPr>
                <w:b w:val="false"/>
                <w:bCs w:val="false"/>
              </w:rPr>
            </w:pPr>
            <w:r>
              <w:rPr>
                <w:b w:val="false"/>
                <w:bCs w:val="false"/>
              </w:rPr>
              <w:t>Personal administrativo dedicado a clasificar y archivar manualmente</w:t>
            </w:r>
          </w:p>
        </w:tc>
        <w:tc>
          <w:tcPr>
            <w:tcW w:w="1983" w:type="dxa"/>
            <w:tcBorders/>
            <w:vAlign w:val="center"/>
          </w:tcPr>
          <w:p>
            <w:pPr>
              <w:pStyle w:val="Contenidodelatabla"/>
              <w:spacing w:before="113" w:after="113"/>
              <w:rPr>
                <w:b w:val="false"/>
                <w:bCs w:val="false"/>
              </w:rPr>
            </w:pPr>
            <w:r>
              <w:rPr>
                <w:b w:val="false"/>
                <w:bCs w:val="false"/>
              </w:rPr>
              <w:t>Clasificación automática mediante OCR sin intervención manual</w:t>
            </w:r>
          </w:p>
        </w:tc>
        <w:tc>
          <w:tcPr>
            <w:tcW w:w="3255" w:type="dxa"/>
            <w:tcBorders/>
            <w:vAlign w:val="center"/>
          </w:tcPr>
          <w:p>
            <w:pPr>
              <w:pStyle w:val="Contenidodelatabla"/>
              <w:spacing w:before="113" w:after="11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val="false"/>
                <w:i w:val="false"/>
                <w:caps w:val="false"/>
                <w:smallCaps w:val="false"/>
                <w:color w:val="auto"/>
                <w:sz w:val="23"/>
              </w:rPr>
              <w:t>Liberación de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val="false"/>
                <w:i w:val="false"/>
                <w:caps w:val="false"/>
                <w:smallCaps w:val="false"/>
                <w:color w:val="auto"/>
                <w:sz w:val="23"/>
              </w:rPr>
              <w:t>2–4 horas diarias de personal administrativo por sede</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val="false"/>
                <w:i w:val="false"/>
                <w:caps w:val="false"/>
                <w:smallCaps w:val="false"/>
                <w:color w:val="auto"/>
                <w:sz w:val="23"/>
              </w:rPr>
              <w:t>, equivalente a un ahorro en horas-hombre anual</w:t>
            </w:r>
          </w:p>
        </w:tc>
      </w:tr>
      <w:tr>
        <w:trPr/>
        <w:tc>
          <w:tcPr>
            <w:tcW w:w="1987" w:type="dxa"/>
            <w:tcBorders>
              <w:end w:val="single" w:sz="4" w:space="0" w:color="000000"/>
            </w:tcBorders>
            <w:vAlign w:val="center"/>
          </w:tcPr>
          <w:p>
            <w:pPr>
              <w:pStyle w:val="Contenidodelatabla"/>
              <w:spacing w:before="113" w:after="113"/>
              <w:rPr>
                <w:b/>
                <w:bCs/>
              </w:rPr>
            </w:pPr>
            <w:r>
              <w:rPr>
                <w:b/>
                <w:bCs/>
              </w:rPr>
              <w:t>Reducción de errores de archivo</w:t>
            </w:r>
          </w:p>
        </w:tc>
        <w:tc>
          <w:tcPr>
            <w:tcW w:w="2433" w:type="dxa"/>
            <w:tcBorders/>
            <w:vAlign w:val="center"/>
          </w:tcPr>
          <w:p>
            <w:pPr>
              <w:pStyle w:val="Contenidodelatabla"/>
              <w:spacing w:before="113" w:after="113"/>
              <w:rPr>
                <w:b w:val="false"/>
                <w:bCs w:val="false"/>
              </w:rPr>
            </w:pPr>
            <w:r>
              <w:rPr>
                <w:b w:val="false"/>
                <w:bCs w:val="false"/>
              </w:rPr>
              <w:t>Documentos mal clasificados, duplicados o archivados en expedientes incorrectos</w:t>
            </w:r>
          </w:p>
        </w:tc>
        <w:tc>
          <w:tcPr>
            <w:tcW w:w="1983" w:type="dxa"/>
            <w:tcBorders/>
            <w:vAlign w:val="center"/>
          </w:tcPr>
          <w:p>
            <w:pPr>
              <w:pStyle w:val="Contenidodelatabla"/>
              <w:spacing w:before="113" w:after="113"/>
              <w:rPr>
                <w:b w:val="false"/>
                <w:bCs w:val="false"/>
              </w:rPr>
            </w:pPr>
            <w:r>
              <w:rPr>
                <w:b w:val="false"/>
                <w:bCs w:val="false"/>
              </w:rPr>
              <w:t>Indexación automática con validación de metadatos</w:t>
            </w:r>
          </w:p>
        </w:tc>
        <w:tc>
          <w:tcPr>
            <w:tcW w:w="3255" w:type="dxa"/>
            <w:tcBorders/>
            <w:vAlign w:val="center"/>
          </w:tcPr>
          <w:p>
            <w:pPr>
              <w:pStyle w:val="Contenidodelatabla"/>
              <w:spacing w:before="113" w:after="11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val="false"/>
                <w:i w:val="false"/>
                <w:caps w:val="false"/>
                <w:smallCaps w:val="false"/>
                <w:color w:val="auto"/>
                <w:sz w:val="23"/>
              </w:rPr>
              <w:t>Reducción superior al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val="false"/>
                <w:i w:val="false"/>
                <w:caps w:val="false"/>
                <w:smallCaps w:val="false"/>
                <w:color w:val="auto"/>
                <w:sz w:val="23"/>
              </w:rPr>
              <w:t>90%</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val="false"/>
                <w:i w:val="false"/>
                <w:caps w:val="false"/>
                <w:smallCaps w:val="false"/>
                <w:color w:val="auto"/>
                <w:sz w:val="23"/>
              </w:rPr>
              <w:t> de errores de clasificación, disminuyendo reprocesos y búsquedas adicionales</w:t>
            </w:r>
          </w:p>
        </w:tc>
      </w:tr>
      <w:tr>
        <w:trPr/>
        <w:tc>
          <w:tcPr>
            <w:tcW w:w="1987" w:type="dxa"/>
            <w:tcBorders>
              <w:end w:val="single" w:sz="4" w:space="0" w:color="000000"/>
            </w:tcBorders>
            <w:vAlign w:val="center"/>
          </w:tcPr>
          <w:p>
            <w:pPr>
              <w:pStyle w:val="Contenidodelatabla"/>
              <w:spacing w:before="113" w:after="113"/>
              <w:rPr>
                <w:b/>
                <w:bCs/>
              </w:rPr>
            </w:pPr>
            <w:r>
              <w:rPr>
                <w:b/>
                <w:bCs/>
              </w:rPr>
              <w:t>Documentos vencidos no detectados</w:t>
            </w:r>
          </w:p>
        </w:tc>
        <w:tc>
          <w:tcPr>
            <w:tcW w:w="2433" w:type="dxa"/>
            <w:tcBorders/>
            <w:vAlign w:val="center"/>
          </w:tcPr>
          <w:p>
            <w:pPr>
              <w:pStyle w:val="Contenidodelatabla"/>
              <w:spacing w:before="113" w:after="113"/>
              <w:rPr>
                <w:b w:val="false"/>
                <w:bCs w:val="false"/>
              </w:rPr>
            </w:pPr>
            <w:r>
              <w:rPr>
                <w:b w:val="false"/>
                <w:bCs w:val="false"/>
              </w:rPr>
              <w:t>Sin mecanismo de control; el vencimiento se detecta solo cuando surge un problema</w:t>
            </w:r>
          </w:p>
        </w:tc>
        <w:tc>
          <w:tcPr>
            <w:tcW w:w="1983" w:type="dxa"/>
            <w:tcBorders/>
            <w:vAlign w:val="center"/>
          </w:tcPr>
          <w:p>
            <w:pPr>
              <w:pStyle w:val="Contenidodelatabla"/>
              <w:spacing w:before="113" w:after="113"/>
              <w:rPr>
                <w:b w:val="false"/>
                <w:bCs w:val="false"/>
              </w:rPr>
            </w:pPr>
            <w:r>
              <w:rPr>
                <w:b w:val="false"/>
                <w:bCs w:val="false"/>
              </w:rPr>
              <w:t>Alertas automáticas con anticipación configurable</w:t>
            </w:r>
          </w:p>
        </w:tc>
        <w:tc>
          <w:tcPr>
            <w:tcW w:w="3255" w:type="dxa"/>
            <w:tcBorders/>
            <w:vAlign w:val="center"/>
          </w:tcPr>
          <w:p>
            <w:pPr>
              <w:pStyle w:val="Contenidodelatabla"/>
              <w:spacing w:before="113" w:after="113"/>
              <w:rPr>
                <w:b w:val="false"/>
                <w:bCs w:val="false"/>
              </w:rPr>
            </w:pPr>
            <w:r>
              <w:rPr>
                <w:b w:val="false"/>
                <w:bCs w:val="false"/>
              </w:rPr>
              <w:t>Eliminación de documentos críticos vencidos sin detección, previniendo sanciones y riesgos legales</w:t>
            </w:r>
          </w:p>
        </w:tc>
      </w:tr>
      <w:tr>
        <w:trPr/>
        <w:tc>
          <w:tcPr>
            <w:tcW w:w="1987" w:type="dxa"/>
            <w:tcBorders>
              <w:end w:val="single" w:sz="4" w:space="0" w:color="000000"/>
            </w:tcBorders>
            <w:vAlign w:val="center"/>
          </w:tcPr>
          <w:p>
            <w:pPr>
              <w:pStyle w:val="Contenidodelatabla"/>
              <w:spacing w:before="113" w:after="113"/>
              <w:rPr>
                <w:b/>
                <w:bCs/>
              </w:rPr>
            </w:pPr>
            <w:r>
              <w:rPr>
                <w:b/>
                <w:bCs/>
              </w:rPr>
              <w:t>Costo de litigios por pérdida documental</w:t>
            </w:r>
          </w:p>
        </w:tc>
        <w:tc>
          <w:tcPr>
            <w:tcW w:w="2433" w:type="dxa"/>
            <w:tcBorders/>
            <w:vAlign w:val="center"/>
          </w:tcPr>
          <w:p>
            <w:pPr>
              <w:pStyle w:val="Contenidodelatabla"/>
              <w:spacing w:before="113" w:after="113"/>
              <w:rPr>
                <w:b w:val="false"/>
                <w:bCs w:val="false"/>
              </w:rPr>
            </w:pPr>
            <w:r>
              <w:rPr>
                <w:b w:val="false"/>
                <w:bCs w:val="false"/>
              </w:rPr>
              <w:t>Sin respaldo digital, la pérdida de un documento es irreversible y puede derivar en demandas</w:t>
            </w:r>
          </w:p>
        </w:tc>
        <w:tc>
          <w:tcPr>
            <w:tcW w:w="1983" w:type="dxa"/>
            <w:tcBorders/>
            <w:vAlign w:val="center"/>
          </w:tcPr>
          <w:p>
            <w:pPr>
              <w:pStyle w:val="Contenidodelatabla"/>
              <w:spacing w:before="113" w:after="113"/>
              <w:rPr>
                <w:b w:val="false"/>
                <w:bCs w:val="false"/>
              </w:rPr>
            </w:pPr>
            <w:r>
              <w:rPr>
                <w:b w:val="false"/>
                <w:bCs w:val="false"/>
              </w:rPr>
              <w:t>Respaldo digital centralizado con trazabilidad completa</w:t>
            </w:r>
          </w:p>
        </w:tc>
        <w:tc>
          <w:tcPr>
            <w:tcW w:w="3255" w:type="dxa"/>
            <w:tcBorders/>
            <w:vAlign w:val="center"/>
          </w:tcPr>
          <w:p>
            <w:pPr>
              <w:pStyle w:val="Contenidodelatabla"/>
              <w:spacing w:before="113" w:after="11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val="false"/>
                <w:i w:val="false"/>
                <w:caps w:val="false"/>
                <w:smallCaps w:val="false"/>
                <w:color w:val="auto"/>
                <w:sz w:val="23"/>
              </w:rPr>
              <w:t>Reducción del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val="false"/>
                <w:i w:val="false"/>
                <w:caps w:val="false"/>
                <w:smallCaps w:val="false"/>
                <w:color w:val="auto"/>
                <w:sz w:val="23"/>
              </w:rPr>
              <w:t>riesgo legal</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val="false"/>
                <w:i w:val="false"/>
                <w:caps w:val="false"/>
                <w:smallCaps w:val="false"/>
                <w:color w:val="auto"/>
                <w:sz w:val="23"/>
              </w:rPr>
              <w:t> por pérdida o alteración de documentos, evitando costos de litigios que pueden superar los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val="false"/>
                <w:i w:val="false"/>
                <w:caps w:val="false"/>
                <w:smallCaps w:val="false"/>
                <w:color w:val="auto"/>
                <w:sz w:val="23"/>
              </w:rPr>
              <w:t>$10,000 por evento</w:t>
            </w:r>
          </w:p>
        </w:tc>
      </w:tr>
    </w:tbl>
    <w:p>
      <w:pPr>
        <w:pStyle w:val="BodyText"/>
        <w:rPr/>
      </w:pPr>
      <w:r>
        <w:rPr>
          <w:rStyle w:val="Emphasis"/>
        </w:rPr>
        <w:t>Nota: los ahorros estimados en horas-hombre y materiales pueden ser cuantificados con mayor precisión una vez realizada la etapa de análisis en la institución objetivo.</w:t>
      </w:r>
    </w:p>
    <w:p>
      <w:pPr>
        <w:pStyle w:val="Heading2"/>
        <w:numPr>
          <w:ilvl w:val="1"/>
          <w:numId w:val="3"/>
        </w:numPr>
        <w:ind w:hanging="0" w:start="0"/>
        <w:rPr/>
      </w:pPr>
      <w:bookmarkStart w:id="57" w:name="__RefHeading___Toc7613_371365040"/>
      <w:bookmarkEnd w:id="57"/>
      <w:r>
        <w:rPr/>
        <w:t>Beneficios cualitativos</w:t>
      </w:r>
    </w:p>
    <w:p>
      <w:pPr>
        <w:pStyle w:val="BodyText"/>
        <w:rPr/>
      </w:pPr>
      <w:r>
        <w:rPr>
          <w:rStyle w:val="Strong"/>
        </w:rPr>
        <w:t>Mayor seguridad y confidencialidad de la información clínica.</w:t>
      </w:r>
      <w:r>
        <w:rPr/>
        <w:t> El sistema de control de acceso basado en roles garantiza que cada actor acceda únicamente a la documentación que le corresponde según su función. Esto elimina la vulnerabilidad inherente al archivo físico abierto, donde cualquier persona con acceso al espacio puede consultar expedientes sin dejar registro.</w:t>
      </w:r>
    </w:p>
    <w:p>
      <w:pPr>
        <w:pStyle w:val="BodyText"/>
        <w:rPr/>
      </w:pPr>
      <w:r>
        <w:rPr>
          <w:rStyle w:val="Strong"/>
        </w:rPr>
        <w:t>Trazabilidad completa sobre el ciclo de vida documental.</w:t>
      </w:r>
      <w:r>
        <w:rPr/>
        <w:t> Cada acción realizada sobre un documento queda registrada de forma inmutable: quién accedió, cuándo, qué operación realizó y desde qué dispositivo. Esto transforma la gestión documental de un proceso opaco en uno auditable, fortaleciendo la gobernanza interna y facilitando auditorías externas.</w:t>
      </w:r>
    </w:p>
    <w:p>
      <w:pPr>
        <w:pStyle w:val="BodyText"/>
        <w:rPr/>
      </w:pPr>
      <w:r>
        <w:rPr>
          <w:rStyle w:val="Strong"/>
        </w:rPr>
        <w:t>Continuidad operativa ante eventos de pérdida o daño.</w:t>
      </w:r>
      <w:r>
        <w:rPr/>
        <w:t> La digitalización centralizada elimina el riesgo de pérdida irreversible de información por deterioro físico, incendio, inundación u otros eventos. El repositorio digital con respaldo automático garantiza la disponibilidad de la documentación incluso ante fallas de hardware o desastres locales.</w:t>
      </w:r>
    </w:p>
    <w:p>
      <w:pPr>
        <w:pStyle w:val="BodyText"/>
        <w:rPr/>
      </w:pPr>
      <w:r>
        <w:rPr>
          <w:rStyle w:val="Strong"/>
        </w:rPr>
        <w:t>Mejora en la calidad de atención al paciente.</w:t>
      </w:r>
      <w:r>
        <w:rPr/>
        <w:t> El acceso inmediato al historial clínico completo —incluyendo estudios, resultados, consentimientos y diagnósticos previos— permite al personal médico tomar decisiones clínicas basadas en información completa y actualizada, reduciendo el riesgo de intervenciones con datos parciales.</w:t>
      </w:r>
    </w:p>
    <w:p>
      <w:pPr>
        <w:pStyle w:val="BodyText"/>
        <w:rPr/>
      </w:pPr>
      <w:r>
        <w:rPr>
          <w:rStyle w:val="Strong"/>
        </w:rPr>
        <w:t>Reducción de la carga cognitiva del personal administrativo.</w:t>
      </w:r>
      <w:r>
        <w:rPr/>
        <w:t> Al automatizar la clasificación documental mediante OCR y eliminar la búsqueda manual en archivos físicos, el personal administrativo puede redirigir su atención hacia tareas de mayor valor, mejorando su experiencia laboral y reduciendo el margen de error en procesos repetitivos.</w:t>
      </w:r>
    </w:p>
    <w:p>
      <w:pPr>
        <w:pStyle w:val="BodyText"/>
        <w:rPr/>
      </w:pPr>
      <w:r>
        <w:rPr>
          <w:rStyle w:val="Strong"/>
        </w:rPr>
        <w:t>Cumplimiento normativo sostenible.</w:t>
      </w:r>
      <w:r>
        <w:rPr/>
        <w:t> El módulo de alertas de vencimiento documental y el registro de auditoría permiten a la institución demostrar, en cualquier momento, que su documentación está vigente, correctamente archivada y ha sido gestionada por personal autorizado. Esto convierte el cumplimiento normativo en un proceso continuo y automatizado, en lugar de una revisión periódica manual.</w:t>
      </w:r>
    </w:p>
    <w:p>
      <w:pPr>
        <w:pStyle w:val="BodyText"/>
        <w:rPr/>
      </w:pPr>
      <w:r>
        <w:rPr>
          <w:rStyle w:val="Strong"/>
        </w:rPr>
        <w:t>Escalabilidad para el crecimiento institucional.</w:t>
      </w:r>
      <w:r>
        <w:rPr/>
        <w:t> La arquitectura de microservicios sobre la que se construye el SGD permite incorporar nuevas sedes, usuarios y funcionalidades sin rediseñar el sistema base. Una clínica que inicia con una sede puede escalar a una red de clínicas sin migrar a una plataforma diferente, protegiendo la inversión a largo plazo.</w:t>
      </w:r>
    </w:p>
    <w:p>
      <w:pPr>
        <w:pStyle w:val="Heading2"/>
        <w:numPr>
          <w:ilvl w:val="1"/>
          <w:numId w:val="3"/>
        </w:numPr>
        <w:ind w:hanging="0" w:start="0"/>
        <w:rPr/>
      </w:pPr>
      <w:bookmarkStart w:id="58" w:name="__RefHeading___Toc7615_371365040"/>
      <w:bookmarkEnd w:id="58"/>
      <w:r>
        <w:rPr/>
        <w:t>Relación con la inversión</w:t>
      </w:r>
    </w:p>
    <w:p>
      <w:pPr>
        <w:pStyle w:val="BodyText"/>
        <w:rPr/>
      </w:pPr>
      <w:r>
        <w:rPr/>
        <w:t>Los beneficios cuantitativos presentados —ahorro en materiales, optimización de horas-hombre, reducción de errores y mitigación de riesgos legales— permiten proyectar un retorno de la inversión en un plazo de </w:t>
      </w:r>
      <w:r>
        <w:rPr>
          <w:rStyle w:val="Strong"/>
        </w:rPr>
        <w:t>3 a 4 años</w:t>
      </w:r>
      <w:r>
        <w:rPr/>
        <w:t> en el modelo on-premise y un flujo de caja positivo desde el primer año en el modelo SaaS, según los costos estimados en la sección anterior. Los beneficios cualitativos, aunque de medición indirecta, consolidan la sostenibilidad operativa y reputacional de la institución, elementos igualmente críticos en el sector salud.</w:t>
      </w:r>
      <w:r>
        <w:br w:type="page"/>
      </w:r>
    </w:p>
    <w:p>
      <w:pPr>
        <w:pStyle w:val="Heading1"/>
        <w:numPr>
          <w:ilvl w:val="0"/>
          <w:numId w:val="3"/>
        </w:numPr>
        <w:ind w:hanging="0" w:start="0"/>
        <w:rPr/>
      </w:pPr>
      <w:bookmarkStart w:id="59" w:name="__RefHeading___Toc11602_371365040"/>
      <w:bookmarkEnd w:id="59"/>
      <w:r>
        <w:rPr/>
        <w:t>Referencias</w:t>
      </w:r>
    </w:p>
    <w:p>
      <w:pPr>
        <w:pStyle w:val="BodyText"/>
        <w:numPr>
          <w:ilvl w:val="0"/>
          <w:numId w:val="0"/>
        </w:numPr>
        <w:tabs/>
        <w:ind w:hanging="567" w:start="567"/>
        <w:rPr>
          <w:b/>
          <w:bCs/>
          <w:i w:val="false"/>
          <w:iCs w:val="false"/>
        </w:rPr>
      </w:pPr>
      <w:r>
        <w:rPr>
          <w:b/>
          <w:bCs/>
          <w:i w:val="false"/>
          <w:iCs w:val="false"/>
        </w:rPr>
        <w:t>Libros</w:t>
      </w:r>
    </w:p>
    <w:p>
      <w:pPr>
        <w:pStyle w:val="BodyText"/>
        <w:numPr>
          <w:ilvl w:val="0"/>
          <w:numId w:val="0"/>
        </w:numPr>
        <w:tabs/>
        <w:ind w:hanging="567" w:start="567"/>
        <w:rPr>
          <w:i/>
          <w:iCs/>
        </w:rPr>
      </w:pPr>
      <w:r>
        <w:rPr>
          <w:i/>
          <w:iCs/>
        </w:rPr>
        <w:t>Colectivo de autores. (2000). Gestión clínica y gerencia de hospitales: Servicio de información. Elsevier España.</w:t>
      </w:r>
    </w:p>
    <w:p>
      <w:pPr>
        <w:pStyle w:val="BodyText"/>
        <w:numPr>
          <w:ilvl w:val="0"/>
          <w:numId w:val="0"/>
        </w:numPr>
        <w:tabs/>
        <w:ind w:hanging="567" w:start="567"/>
        <w:rPr>
          <w:i/>
          <w:iCs/>
        </w:rPr>
      </w:pPr>
      <w:r>
        <w:rPr>
          <w:i/>
          <w:iCs/>
        </w:rPr>
        <w:t>Kendall, K. E., &amp; Kendall, J. E. (2011). Análisis y diseño de sistemas (8.ª ed.). Pearson Educación.</w:t>
      </w:r>
    </w:p>
    <w:p>
      <w:pPr>
        <w:pStyle w:val="BodyText"/>
        <w:numPr>
          <w:ilvl w:val="0"/>
          <w:numId w:val="0"/>
        </w:numPr>
        <w:tabs/>
        <w:ind w:hanging="567" w:start="567"/>
        <w:rPr>
          <w:i/>
          <w:iCs/>
        </w:rPr>
      </w:pPr>
      <w:r>
        <w:rPr>
          <w:i/>
          <w:iCs/>
        </w:rPr>
        <w:t>Laudon, K. C., &amp; Laudon, J. P. (2016). Sistemas de información gerencial (14.ª ed.). Pearson Educación.</w:t>
      </w:r>
    </w:p>
    <w:p>
      <w:pPr>
        <w:pStyle w:val="BodyText"/>
        <w:numPr>
          <w:ilvl w:val="0"/>
          <w:numId w:val="0"/>
        </w:numPr>
        <w:tabs/>
        <w:ind w:hanging="567" w:start="567"/>
        <w:rPr>
          <w:i/>
          <w:iCs/>
        </w:rPr>
      </w:pPr>
      <w:r>
        <w:rPr>
          <w:i/>
          <w:iCs/>
        </w:rPr>
        <w:t>Luna, D. R. (2018). Sistemas de información para la salud. Editorial Dunken.</w:t>
      </w:r>
    </w:p>
    <w:p>
      <w:pPr>
        <w:pStyle w:val="BodyText"/>
        <w:numPr>
          <w:ilvl w:val="0"/>
          <w:numId w:val="0"/>
        </w:numPr>
        <w:tabs/>
        <w:ind w:hanging="567" w:start="567"/>
        <w:rPr>
          <w:i/>
          <w:iCs/>
        </w:rPr>
      </w:pPr>
      <w:r>
        <w:rPr>
          <w:i/>
          <w:iCs/>
        </w:rPr>
        <w:t>Senn, J. A. (1992). Análisis y diseño de sistemas de información (2.ª ed.). McGraw-Hill Interamericana.</w:t>
      </w:r>
    </w:p>
    <w:p>
      <w:pPr>
        <w:pStyle w:val="BodyText"/>
        <w:numPr>
          <w:ilvl w:val="0"/>
          <w:numId w:val="0"/>
        </w:numPr>
        <w:tabs/>
        <w:ind w:hanging="567" w:start="567"/>
        <w:rPr>
          <w:i/>
          <w:iCs/>
        </w:rPr>
      </w:pPr>
      <w:r>
        <w:rPr>
          <w:i/>
          <w:iCs/>
        </w:rPr>
        <w:t>Shepherd, E., &amp; Yeo, G. (2003). Managing records: A handbook of principles and practice. Facet Publishing.</w:t>
      </w:r>
    </w:p>
    <w:p>
      <w:pPr>
        <w:pStyle w:val="BodyText"/>
        <w:numPr>
          <w:ilvl w:val="0"/>
          <w:numId w:val="0"/>
        </w:numPr>
        <w:tabs/>
        <w:ind w:hanging="567" w:start="567"/>
        <w:rPr>
          <w:i/>
          <w:iCs/>
        </w:rPr>
      </w:pPr>
      <w:r>
        <w:rPr>
          <w:i/>
          <w:iCs/>
        </w:rPr>
        <w:t>Trotter, F., &amp; Uhlman, D. (2013). Hacking healthcare: A guide to standards, workflows, and meaningful use. O'Reilly Media.</w:t>
      </w:r>
    </w:p>
    <w:p>
      <w:pPr>
        <w:pStyle w:val="BodyText"/>
        <w:numPr>
          <w:ilvl w:val="0"/>
          <w:numId w:val="0"/>
        </w:numPr>
        <w:tabs/>
        <w:ind w:hanging="567" w:start="567"/>
        <w:rPr>
          <w:b/>
          <w:bCs/>
          <w:i w:val="false"/>
          <w:iCs w:val="false"/>
        </w:rPr>
      </w:pPr>
      <w:r>
        <w:rPr>
          <w:b/>
          <w:bCs/>
          <w:i w:val="false"/>
          <w:iCs w:val="false"/>
        </w:rPr>
        <w:t>Sitios webs</w:t>
      </w:r>
    </w:p>
    <w:p>
      <w:pPr>
        <w:pStyle w:val="BodyText"/>
        <w:numPr>
          <w:ilvl w:val="0"/>
          <w:numId w:val="0"/>
        </w:numPr>
        <w:tabs/>
        <w:ind w:hanging="567" w:start="567"/>
        <w:rPr/>
      </w:pPr>
      <w:r>
        <w:rPr/>
        <w:t xml:space="preserve">Mayan EDMS Project. (2024). </w:t>
      </w:r>
      <w:r>
        <w:rPr>
          <w:rStyle w:val="Emphasis"/>
        </w:rPr>
        <w:t>Mayan EDMS documentation</w:t>
      </w:r>
      <w:r>
        <w:rPr/>
        <w:t xml:space="preserve">. </w:t>
      </w:r>
      <w:hyperlink r:id="rId9">
        <w:r>
          <w:rPr>
            <w:rStyle w:val="Hyperlink"/>
          </w:rPr>
          <w:t>https://docs.mayan-edms.com</w:t>
        </w:r>
      </w:hyperlink>
    </w:p>
    <w:p>
      <w:pPr>
        <w:pStyle w:val="BodyText"/>
        <w:numPr>
          <w:ilvl w:val="0"/>
          <w:numId w:val="0"/>
        </w:numPr>
        <w:tabs/>
        <w:ind w:hanging="567" w:start="567"/>
        <w:rPr/>
      </w:pPr>
      <w:r>
        <w:rPr/>
        <w:t xml:space="preserve">OpenMRS Community. (2024). </w:t>
      </w:r>
      <w:r>
        <w:rPr>
          <w:rStyle w:val="Emphasis"/>
        </w:rPr>
        <w:t>OpenMRS: The global open-source electronic health record platform</w:t>
      </w:r>
      <w:r>
        <w:rPr/>
        <w:t xml:space="preserve">. </w:t>
      </w:r>
      <w:hyperlink r:id="rId10">
        <w:r>
          <w:rPr>
            <w:rStyle w:val="Hyperlink"/>
          </w:rPr>
          <w:t>https://openmrs.org</w:t>
        </w:r>
      </w:hyperlink>
    </w:p>
    <w:p>
      <w:pPr>
        <w:pStyle w:val="BodyText"/>
        <w:numPr>
          <w:ilvl w:val="0"/>
          <w:numId w:val="0"/>
        </w:numPr>
        <w:tabs/>
        <w:ind w:hanging="567" w:start="567"/>
        <w:rPr/>
      </w:pPr>
      <w:r>
        <w:rPr/>
        <w:t xml:space="preserve">OpenMRS Community. (2024). </w:t>
      </w:r>
      <w:r>
        <w:rPr>
          <w:rStyle w:val="Emphasis"/>
        </w:rPr>
        <w:t>OpenMRS: The global open-source electronic health record platform</w:t>
      </w:r>
      <w:r>
        <w:rPr/>
        <w:t xml:space="preserve">. </w:t>
      </w:r>
      <w:hyperlink r:id="rId11">
        <w:r>
          <w:rPr>
            <w:rStyle w:val="Hyperlink"/>
          </w:rPr>
          <w:t>https://openmrs.org</w:t>
        </w:r>
      </w:hyperlink>
    </w:p>
    <w:p>
      <w:pPr>
        <w:pStyle w:val="BodyText"/>
        <w:numPr>
          <w:ilvl w:val="0"/>
          <w:numId w:val="0"/>
        </w:numPr>
        <w:tabs/>
        <w:ind w:hanging="567" w:start="567"/>
        <w:rPr/>
      </w:pPr>
      <w:r>
        <w:rPr/>
        <w:t xml:space="preserve">Medesk. (2024). </w:t>
      </w:r>
      <w:r>
        <w:rPr>
          <w:rStyle w:val="Emphasis"/>
        </w:rPr>
        <w:t>Medesk: Practice management software for clinics</w:t>
      </w:r>
      <w:r>
        <w:rPr/>
        <w:t xml:space="preserve">. </w:t>
      </w:r>
      <w:hyperlink r:id="rId12">
        <w:r>
          <w:rPr>
            <w:rStyle w:val="Hyperlink"/>
          </w:rPr>
          <w:t>https://medesk.net</w:t>
        </w:r>
      </w:hyperlink>
    </w:p>
    <w:p>
      <w:pPr>
        <w:pStyle w:val="BodyText"/>
        <w:numPr>
          <w:ilvl w:val="0"/>
          <w:numId w:val="0"/>
        </w:numPr>
        <w:tabs/>
        <w:ind w:hanging="567" w:start="567"/>
        <w:rPr/>
      </w:pPr>
      <w:r>
        <w:rPr/>
        <w:t xml:space="preserve">International Organization for Standardization. (2016). </w:t>
      </w:r>
      <w:r>
        <w:rPr>
          <w:rStyle w:val="Emphasis"/>
        </w:rPr>
        <w:t>ISO 15489-1: Information and documentation — Records management</w:t>
      </w:r>
      <w:r>
        <w:rPr/>
        <w:t xml:space="preserve">. </w:t>
      </w:r>
      <w:hyperlink r:id="rId13">
        <w:r>
          <w:rPr>
            <w:rStyle w:val="Hyperlink"/>
          </w:rPr>
          <w:t>https://www.iso.org/standard/62542.html</w:t>
        </w:r>
      </w:hyperlink>
    </w:p>
    <w:p>
      <w:pPr>
        <w:pStyle w:val="BodyText"/>
        <w:numPr>
          <w:ilvl w:val="0"/>
          <w:numId w:val="0"/>
        </w:numPr>
        <w:tabs/>
        <w:ind w:hanging="567" w:start="567"/>
        <w:rPr>
          <w:b/>
          <w:bCs/>
        </w:rPr>
      </w:pPr>
      <w:r>
        <w:rPr>
          <w:b/>
          <w:bCs/>
        </w:rPr>
        <w:t>Entrevistas</w:t>
      </w:r>
    </w:p>
    <w:p>
      <w:pPr>
        <w:pStyle w:val="BodyText"/>
        <w:numPr>
          <w:ilvl w:val="0"/>
          <w:numId w:val="0"/>
        </w:numPr>
        <w:tabs/>
        <w:ind w:hanging="567" w:start="567"/>
        <w:rPr/>
      </w:pPr>
      <w:r>
        <w:rPr/>
        <w:t xml:space="preserve">Camacho Vidal, R. (Jefe de Sistemas). (14 de marzo de 2026). </w:t>
      </w:r>
      <w:r>
        <w:rPr>
          <w:rStyle w:val="Emphasis"/>
        </w:rPr>
        <w:t>Entrevista personal</w:t>
      </w:r>
      <w:r>
        <w:rPr/>
        <w:t xml:space="preserve"> realizada por el equipo </w:t>
      </w:r>
      <w:r>
        <w:rPr/>
        <w:t>de</w:t>
      </w:r>
      <w:r>
        <w:rPr/>
        <w:t>. Centro de Diagnóstico Future, Santa Cruz de la Sierra, Bolivia.</w:t>
      </w:r>
    </w:p>
    <w:p>
      <w:pPr>
        <w:pStyle w:val="BodyText"/>
        <w:tabs/>
        <w:rPr/>
      </w:pPr>
      <w:r>
        <w:rPr/>
        <w:t>Ferrufino Quispe, M. (</w:t>
      </w:r>
      <w:r>
        <w:rPr/>
        <w:t>Pasante de archivo</w:t>
      </w:r>
      <w:r>
        <w:rPr/>
        <w:t xml:space="preserve">). (16 de marzo de 2026). </w:t>
      </w:r>
      <w:r>
        <w:rPr>
          <w:rStyle w:val="Emphasis"/>
        </w:rPr>
        <w:t>Entrevista personal</w:t>
      </w:r>
      <w:r>
        <w:rPr/>
        <w:t xml:space="preserve"> realizada por el equipo. Hospital San Juan de Dios, Santa Cruz de la Sierra, Bolivia.</w:t>
      </w:r>
    </w:p>
    <w:p>
      <w:pPr>
        <w:pStyle w:val="BodyText"/>
        <w:rPr/>
        <w:sectPr>
          <w:footerReference w:type="default" r:id="rId14"/>
          <w:type w:val="nextPage"/>
          <w:pgSz w:w="12240" w:h="15840"/>
          <w:pgMar w:left="866" w:right="866" w:gutter="850" w:header="0" w:top="866" w:footer="866" w:bottom="1435"/>
          <w:pgBorders w:display="allPages" w:offsetFrom="text">
            <w:top w:val="single" w:sz="6" w:space="14" w:color="000000"/>
            <w:left w:val="single" w:sz="6" w:space="14" w:color="000000"/>
            <w:bottom w:val="single" w:sz="6" w:space="14" w:color="000000"/>
            <w:right w:val="single" w:sz="6" w:space="14" w:color="000000"/>
          </w:pgBorders>
          <w:pgNumType w:fmt="decimal"/>
          <w:formProt w:val="false"/>
          <w:textDirection w:val="lrTb"/>
          <w:docGrid w:type="default" w:linePitch="600" w:charSpace="36864"/>
        </w:sectPr>
      </w:pPr>
      <w:r>
        <w:rPr/>
        <w:t xml:space="preserve">Montaño Salinas, P. (Jefe de Archivo Clínico). (18 de marzo de 2026). </w:t>
      </w:r>
      <w:r>
        <w:rPr>
          <w:rStyle w:val="Emphasis"/>
        </w:rPr>
        <w:t>Entrevista personal</w:t>
      </w:r>
      <w:r>
        <w:rPr/>
        <w:t xml:space="preserve"> realizada por el equipo. Hospital Francés, Santa Cruz de la Sierra, Bolivia.</w:t>
        <w:br/>
      </w:r>
      <w:r>
        <w:br w:type="page"/>
      </w:r>
    </w:p>
    <w:p>
      <w:pPr>
        <w:pStyle w:val="Ttulodelndicedetablas"/>
        <w:bidi w:val="0"/>
        <w:spacing w:before="0" w:after="0"/>
        <w:rPr/>
      </w:pPr>
      <w:r>
        <w:rPr/>
        <w:t>Índice de tablas</w:t>
      </w:r>
    </w:p>
    <w:p>
      <w:pPr>
        <w:pStyle w:val="ndicedetablas1"/>
        <w:tabs>
          <w:tab w:val="clear" w:pos="11098"/>
          <w:tab w:val="right" w:pos="9657" w:leader="dot"/>
        </w:tabs>
        <w:rPr/>
      </w:pPr>
      <w:r>
        <w:fldChar w:fldCharType="begin"/>
      </w:r>
      <w:r>
        <w:rPr>
          <w:rStyle w:val="Enlacedelndice"/>
        </w:rPr>
        <w:instrText xml:space="preserve"> TOC \c "Tabla" \h </w:instrText>
      </w:r>
      <w:r>
        <w:rPr>
          <w:rStyle w:val="Enlacedelndice"/>
        </w:rPr>
        <w:fldChar w:fldCharType="separate"/>
      </w:r>
      <w:hyperlink w:anchor="__RefHeading___Toc7537_371365040" w:tooltip="Tabla 1 Comparación entre softwares tipo SGD para clinicas">
        <w:r>
          <w:rPr>
            <w:rStyle w:val="Enlacedelndice"/>
          </w:rPr>
          <w:t xml:space="preserve">Tabla 1 </w:t>
        </w:r>
        <w:r>
          <w:rPr>
            <w:rStyle w:val="Enlacedelndice"/>
            <w:i/>
            <w:iCs/>
          </w:rPr>
          <w:t>Compar</w:t>
        </w:r>
        <w:r>
          <w:rPr>
            <w:rStyle w:val="Enlacedelndice"/>
            <w:i/>
            <w:iCs/>
          </w:rPr>
          <w:t>ación</w:t>
        </w:r>
        <w:r>
          <w:rPr>
            <w:rStyle w:val="Enlacedelndice"/>
            <w:i/>
            <w:iCs/>
          </w:rPr>
          <w:t xml:space="preserve"> entre softwares tipo SGD para clinicas</w:t>
        </w:r>
        <w:r>
          <w:rPr>
            <w:rStyle w:val="Enlacedelndice"/>
          </w:rPr>
          <w:tab/>
          <w:t>8</w:t>
        </w:r>
      </w:hyperlink>
    </w:p>
    <w:p>
      <w:pPr>
        <w:pStyle w:val="ndicedetablas1"/>
        <w:tabs>
          <w:tab w:val="clear" w:pos="11098"/>
          <w:tab w:val="right" w:pos="9657" w:leader="dot"/>
        </w:tabs>
        <w:rPr/>
      </w:pPr>
      <w:hyperlink w:anchor="__RefHeading___Toc7565_371365040" w:tooltip="Tabla 2 Descripción de los módulos candidatos en el proyecto">
        <w:r>
          <w:rPr>
            <w:rStyle w:val="Enlacedelndice"/>
          </w:rPr>
          <w:t xml:space="preserve">Tabla 2 </w:t>
        </w:r>
        <w:r>
          <w:rPr>
            <w:rStyle w:val="Enlacedelndice"/>
            <w:i/>
            <w:iCs/>
          </w:rPr>
          <w:t>Descripción de los módulos candidatos en el proyecto</w:t>
        </w:r>
        <w:r>
          <w:rPr>
            <w:rStyle w:val="Enlacedelndice"/>
          </w:rPr>
          <w:tab/>
          <w:t>16</w:t>
        </w:r>
      </w:hyperlink>
    </w:p>
    <w:p>
      <w:pPr>
        <w:pStyle w:val="ndicedetablas1"/>
        <w:tabs>
          <w:tab w:val="clear" w:pos="11098"/>
          <w:tab w:val="right" w:pos="9657" w:leader="dot"/>
        </w:tabs>
        <w:rPr/>
      </w:pPr>
      <w:hyperlink w:anchor="__RefHeading___Toc7573_371365040" w:tooltip="Tabla 3 Descripcion de los elementos tipo software en el sistema">
        <w:r>
          <w:rPr>
            <w:rStyle w:val="Enlacedelndice"/>
          </w:rPr>
          <w:t xml:space="preserve">Tabla 3 </w:t>
        </w:r>
        <w:r>
          <w:rPr>
            <w:rStyle w:val="Enlacedelndice"/>
            <w:i/>
            <w:iCs/>
          </w:rPr>
          <w:t>Descripcion</w:t>
        </w:r>
        <w:r>
          <w:rPr>
            <w:rStyle w:val="Enlacedelndice"/>
            <w:i/>
            <w:iCs/>
          </w:rPr>
          <w:t xml:space="preserve"> de los elementos tipo software en el sistema</w:t>
        </w:r>
        <w:r>
          <w:rPr>
            <w:rStyle w:val="Enlacedelndice"/>
          </w:rPr>
          <w:tab/>
          <w:t>18</w:t>
        </w:r>
      </w:hyperlink>
    </w:p>
    <w:p>
      <w:pPr>
        <w:pStyle w:val="ndicedetablas1"/>
        <w:tabs>
          <w:tab w:val="clear" w:pos="11098"/>
          <w:tab w:val="right" w:pos="9657" w:leader="dot"/>
        </w:tabs>
        <w:rPr/>
      </w:pPr>
      <w:hyperlink w:anchor="__RefHeading___Toc7577_371365040" w:tooltip="Tabla 4 Descripción de la infraestructura para alojar el sistema">
        <w:r>
          <w:rPr>
            <w:rStyle w:val="Enlacedelndice"/>
          </w:rPr>
          <w:t xml:space="preserve">Tabla 4 </w:t>
        </w:r>
        <w:r>
          <w:rPr>
            <w:rStyle w:val="Enlacedelndice"/>
            <w:i/>
            <w:iCs/>
          </w:rPr>
          <w:t>Descripción de la infraestructura para alojar el sistema</w:t>
        </w:r>
        <w:r>
          <w:rPr>
            <w:rStyle w:val="Enlacedelndice"/>
          </w:rPr>
          <w:tab/>
          <w:t>20</w:t>
        </w:r>
      </w:hyperlink>
    </w:p>
    <w:p>
      <w:pPr>
        <w:pStyle w:val="ndicedetablas1"/>
        <w:tabs>
          <w:tab w:val="clear" w:pos="11098"/>
          <w:tab w:val="right" w:pos="9657" w:leader="dot"/>
        </w:tabs>
        <w:rPr/>
      </w:pPr>
      <w:hyperlink w:anchor="__RefHeading___Toc7579_371365040" w:tooltip="Tabla 5 Descripción de la infraestructura necesaria para acceder al sistema como cliente">
        <w:r>
          <w:rPr>
            <w:rStyle w:val="Enlacedelndice"/>
          </w:rPr>
          <w:t xml:space="preserve">Tabla 5 </w:t>
        </w:r>
        <w:r>
          <w:rPr>
            <w:rStyle w:val="Enlacedelndice"/>
            <w:i/>
            <w:iCs/>
          </w:rPr>
          <w:t>Descripción de la i</w:t>
        </w:r>
        <w:r>
          <w:rPr>
            <w:rStyle w:val="Enlacedelndice"/>
            <w:i/>
            <w:iCs/>
          </w:rPr>
          <w:t xml:space="preserve">nfraestructura necesaria para acceder al sistema </w:t>
        </w:r>
        <w:r>
          <w:rPr>
            <w:rStyle w:val="Enlacedelndice"/>
            <w:i/>
            <w:iCs/>
          </w:rPr>
          <w:t>como cliente</w:t>
        </w:r>
        <w:r>
          <w:rPr>
            <w:rStyle w:val="Enlacedelndice"/>
          </w:rPr>
          <w:tab/>
          <w:t>20</w:t>
        </w:r>
      </w:hyperlink>
    </w:p>
    <w:p>
      <w:pPr>
        <w:pStyle w:val="ndicedetablas1"/>
        <w:tabs>
          <w:tab w:val="clear" w:pos="11098"/>
          <w:tab w:val="right" w:pos="9657" w:leader="dot"/>
        </w:tabs>
        <w:rPr/>
      </w:pPr>
      <w:hyperlink w:anchor="__RefHeading___Toc7581_371365040" w:tooltip="Tabla 6 Descripción de los datos identificados en el sistema">
        <w:r>
          <w:rPr>
            <w:rStyle w:val="Enlacedelndice"/>
          </w:rPr>
          <w:t xml:space="preserve">Tabla 6 </w:t>
        </w:r>
        <w:r>
          <w:rPr>
            <w:rStyle w:val="Enlacedelndice"/>
            <w:i/>
            <w:iCs/>
          </w:rPr>
          <w:t>Descripción de los datos identificados en el sistema</w:t>
        </w:r>
        <w:r>
          <w:rPr>
            <w:rStyle w:val="Enlacedelndice"/>
          </w:rPr>
          <w:tab/>
          <w:t>21</w:t>
        </w:r>
      </w:hyperlink>
    </w:p>
    <w:p>
      <w:pPr>
        <w:pStyle w:val="ndicedetablas1"/>
        <w:tabs>
          <w:tab w:val="clear" w:pos="11098"/>
          <w:tab w:val="right" w:pos="9657" w:leader="dot"/>
        </w:tabs>
        <w:rPr/>
      </w:pPr>
      <w:hyperlink w:anchor="__RefHeading___Toc7585_371365040" w:tooltip="Tabla 7 Descripción de actores en el sistema">
        <w:r>
          <w:rPr>
            <w:rStyle w:val="Enlacedelndice"/>
          </w:rPr>
          <w:t xml:space="preserve">Tabla 7 </w:t>
        </w:r>
        <w:r>
          <w:rPr>
            <w:rStyle w:val="Enlacedelndice"/>
            <w:i/>
            <w:iCs/>
          </w:rPr>
          <w:t>Descripción de actores en el sistema</w:t>
        </w:r>
        <w:r>
          <w:rPr>
            <w:rStyle w:val="Enlacedelndice"/>
          </w:rPr>
          <w:tab/>
          <w:t>23</w:t>
        </w:r>
      </w:hyperlink>
    </w:p>
    <w:p>
      <w:pPr>
        <w:pStyle w:val="ndicedetablas1"/>
        <w:tabs>
          <w:tab w:val="clear" w:pos="11098"/>
          <w:tab w:val="right" w:pos="9657" w:leader="dot"/>
        </w:tabs>
        <w:rPr/>
      </w:pPr>
      <w:hyperlink w:anchor="__RefHeading___Toc7587_371365040" w:tooltip="Tabla 8 Descripción de la documentación del sistema">
        <w:r>
          <w:rPr>
            <w:rStyle w:val="Enlacedelndice"/>
          </w:rPr>
          <w:t xml:space="preserve">Tabla 8 </w:t>
        </w:r>
        <w:r>
          <w:rPr>
            <w:rStyle w:val="Enlacedelndice"/>
            <w:i/>
            <w:iCs/>
          </w:rPr>
          <w:t>Descripción de la documentación del sistema</w:t>
        </w:r>
        <w:r>
          <w:rPr>
            <w:rStyle w:val="Enlacedelndice"/>
          </w:rPr>
          <w:tab/>
          <w:t>24</w:t>
        </w:r>
      </w:hyperlink>
    </w:p>
    <w:p>
      <w:pPr>
        <w:pStyle w:val="ndicedetablas1"/>
        <w:tabs>
          <w:tab w:val="clear" w:pos="11098"/>
          <w:tab w:val="right" w:pos="9657" w:leader="dot"/>
        </w:tabs>
        <w:rPr/>
      </w:pPr>
      <w:hyperlink w:anchor="__RefHeading___Toc7589_371365040" w:tooltip="Tabla 9 Descripción de las herramientas a usarse en el proyecto">
        <w:r>
          <w:rPr>
            <w:rStyle w:val="Enlacedelndice"/>
          </w:rPr>
          <w:t xml:space="preserve">Tabla 9 </w:t>
        </w:r>
        <w:r>
          <w:rPr>
            <w:rStyle w:val="Enlacedelndice"/>
            <w:i/>
            <w:iCs/>
          </w:rPr>
          <w:t>Descripción de las herramientas a usarse en el proyecto</w:t>
        </w:r>
        <w:r>
          <w:rPr>
            <w:rStyle w:val="Enlacedelndice"/>
          </w:rPr>
          <w:tab/>
          <w:t>25</w:t>
        </w:r>
      </w:hyperlink>
    </w:p>
    <w:p>
      <w:pPr>
        <w:pStyle w:val="ndicedetablas1"/>
        <w:tabs>
          <w:tab w:val="clear" w:pos="11098"/>
          <w:tab w:val="right" w:pos="9657" w:leader="dot"/>
        </w:tabs>
        <w:rPr/>
      </w:pPr>
      <w:hyperlink w:anchor="__RefHeading___Toc7593_371365040" w:tooltip="Tabla 10 Presupuesto de gastos de desarrollo del sistema (ambos modelos)">
        <w:r>
          <w:rPr>
            <w:rStyle w:val="Enlacedelndice"/>
          </w:rPr>
          <w:t xml:space="preserve">Tabla 10 </w:t>
        </w:r>
        <w:r>
          <w:rPr>
            <w:rStyle w:val="Enlacedelndice"/>
            <w:i/>
            <w:iCs/>
          </w:rPr>
          <w:t xml:space="preserve">Presupuesto de </w:t>
        </w:r>
        <w:r>
          <w:rPr>
            <w:rStyle w:val="Enlacedelndice"/>
            <w:i/>
            <w:iCs/>
          </w:rPr>
          <w:t xml:space="preserve">gastos de </w:t>
        </w:r>
        <w:r>
          <w:rPr>
            <w:rStyle w:val="Enlacedelndice"/>
            <w:i/>
            <w:iCs/>
          </w:rPr>
          <w:t xml:space="preserve">desarrollo del sistema </w:t>
        </w:r>
        <w:r>
          <w:rPr>
            <w:rStyle w:val="Enlacedelndice"/>
            <w:i/>
            <w:iCs/>
          </w:rPr>
          <w:t>(ambos modelos)</w:t>
        </w:r>
        <w:r>
          <w:rPr>
            <w:rStyle w:val="Enlacedelndice"/>
          </w:rPr>
          <w:tab/>
          <w:t>26</w:t>
        </w:r>
      </w:hyperlink>
    </w:p>
    <w:p>
      <w:pPr>
        <w:pStyle w:val="ndicedetablas1"/>
        <w:tabs>
          <w:tab w:val="clear" w:pos="11098"/>
          <w:tab w:val="right" w:pos="9657" w:leader="dot"/>
        </w:tabs>
        <w:rPr/>
      </w:pPr>
      <w:hyperlink w:anchor="__RefHeading___Toc7597_371365040" w:tooltip="Tabla 11 Presupuesto de gastos únicos (SaaS)">
        <w:r>
          <w:rPr>
            <w:rStyle w:val="Enlacedelndice"/>
          </w:rPr>
          <w:t xml:space="preserve">Tabla 11 </w:t>
        </w:r>
        <w:r>
          <w:rPr>
            <w:rStyle w:val="Enlacedelndice"/>
            <w:i/>
            <w:iCs/>
          </w:rPr>
          <w:t>Presupuesto de gastos únicos (SaaS)</w:t>
        </w:r>
        <w:r>
          <w:rPr>
            <w:rStyle w:val="Enlacedelndice"/>
          </w:rPr>
          <w:tab/>
          <w:t>27</w:t>
        </w:r>
      </w:hyperlink>
    </w:p>
    <w:p>
      <w:pPr>
        <w:pStyle w:val="ndicedetablas1"/>
        <w:tabs>
          <w:tab w:val="clear" w:pos="11098"/>
          <w:tab w:val="right" w:pos="9657" w:leader="dot"/>
        </w:tabs>
        <w:rPr/>
      </w:pPr>
      <w:hyperlink w:anchor="__RefHeading___Toc7599_371365040" w:tooltip="Tabla 12 Presupuesto de gastos mensuales (SaaS)">
        <w:r>
          <w:rPr>
            <w:rStyle w:val="Enlacedelndice"/>
          </w:rPr>
          <w:t xml:space="preserve">Tabla 12 </w:t>
        </w:r>
        <w:r>
          <w:rPr>
            <w:rStyle w:val="Enlacedelndice"/>
            <w:i/>
            <w:iCs/>
          </w:rPr>
          <w:t>Presupuesto de gastos mensuales (SaaS)</w:t>
        </w:r>
        <w:r>
          <w:rPr>
            <w:rStyle w:val="Enlacedelndice"/>
          </w:rPr>
          <w:tab/>
          <w:t>28</w:t>
        </w:r>
      </w:hyperlink>
    </w:p>
    <w:p>
      <w:pPr>
        <w:pStyle w:val="ndicedetablas1"/>
        <w:tabs>
          <w:tab w:val="clear" w:pos="11098"/>
          <w:tab w:val="right" w:pos="9657" w:leader="dot"/>
        </w:tabs>
        <w:rPr/>
      </w:pPr>
      <w:hyperlink w:anchor="__RefHeading___Toc7603_371365040" w:tooltip="Tabla 13 Presupuesto de gastos únicos (On-premise)">
        <w:r>
          <w:rPr>
            <w:rStyle w:val="Enlacedelndice"/>
          </w:rPr>
          <w:t xml:space="preserve">Tabla 13 </w:t>
        </w:r>
        <w:r>
          <w:rPr>
            <w:rStyle w:val="Enlacedelndice"/>
            <w:i/>
            <w:iCs/>
          </w:rPr>
          <w:t>Presupuesto de gastos únicos (On-premise)</w:t>
        </w:r>
        <w:r>
          <w:rPr>
            <w:rStyle w:val="Enlacedelndice"/>
          </w:rPr>
          <w:tab/>
          <w:t>28</w:t>
        </w:r>
      </w:hyperlink>
    </w:p>
    <w:p>
      <w:pPr>
        <w:pStyle w:val="ndicedetablas1"/>
        <w:tabs>
          <w:tab w:val="clear" w:pos="11098"/>
          <w:tab w:val="right" w:pos="9657" w:leader="dot"/>
        </w:tabs>
        <w:rPr/>
      </w:pPr>
      <w:hyperlink w:anchor="__RefHeading___Toc7605_371365040" w:tooltip="Tabla 14 Presupuesto de gastos mensuales (On-Premise)">
        <w:r>
          <w:rPr>
            <w:rStyle w:val="Enlacedelndice"/>
          </w:rPr>
          <w:t xml:space="preserve">Tabla 14 </w:t>
        </w:r>
        <w:r>
          <w:rPr>
            <w:rStyle w:val="Enlacedelndice"/>
            <w:i/>
            <w:iCs/>
          </w:rPr>
          <w:t>Presupuesto de gastos mensuales (On-Premise)</w:t>
        </w:r>
        <w:r>
          <w:rPr>
            <w:rStyle w:val="Enlacedelndice"/>
          </w:rPr>
          <w:tab/>
          <w:t>29</w:t>
        </w:r>
      </w:hyperlink>
    </w:p>
    <w:p>
      <w:pPr>
        <w:pStyle w:val="ndicedetablas1"/>
        <w:tabs>
          <w:tab w:val="clear" w:pos="11098"/>
          <w:tab w:val="right" w:pos="9657" w:leader="dot"/>
        </w:tabs>
        <w:rPr/>
      </w:pPr>
      <w:hyperlink w:anchor="__RefHeading___Toc7607_371365040" w:tooltip="Tabla 15 Comparación de características entre los modelo SaaS y On-Premise">
        <w:r>
          <w:rPr>
            <w:rStyle w:val="Enlacedelndice"/>
          </w:rPr>
          <w:t xml:space="preserve">Tabla 15 </w:t>
        </w:r>
        <w:r>
          <w:rPr>
            <w:rStyle w:val="Enlacedelndice"/>
            <w:i/>
            <w:iCs/>
          </w:rPr>
          <w:t xml:space="preserve">Comparación </w:t>
        </w:r>
        <w:r>
          <w:rPr>
            <w:rStyle w:val="Enlacedelndice"/>
            <w:i/>
            <w:iCs/>
          </w:rPr>
          <w:t xml:space="preserve">de características </w:t>
        </w:r>
        <w:r>
          <w:rPr>
            <w:rStyle w:val="Enlacedelndice"/>
            <w:i/>
            <w:iCs/>
          </w:rPr>
          <w:t>entre los modelo SaaS y On-Premise</w:t>
        </w:r>
        <w:r>
          <w:rPr>
            <w:rStyle w:val="Enlacedelndice"/>
          </w:rPr>
          <w:tab/>
          <w:t>30</w:t>
        </w:r>
      </w:hyperlink>
    </w:p>
    <w:p>
      <w:pPr>
        <w:pStyle w:val="ndicedetablas1"/>
        <w:tabs>
          <w:tab w:val="clear" w:pos="11098"/>
          <w:tab w:val="right" w:pos="9657" w:leader="dot"/>
        </w:tabs>
        <w:rPr/>
      </w:pPr>
      <w:hyperlink w:anchor="__RefHeading___Toc7611_371365040" w:tooltip="Tabla 16 Descripción de beneficios cuantificables al implementar el sistema">
        <w:r>
          <w:rPr>
            <w:rStyle w:val="Enlacedelndice"/>
          </w:rPr>
          <w:t xml:space="preserve">Tabla 16 </w:t>
        </w:r>
        <w:r>
          <w:rPr>
            <w:rStyle w:val="Enlacedelndice"/>
            <w:i/>
            <w:iCs/>
          </w:rPr>
          <w:t xml:space="preserve">Descripción de beneficios cuantificables </w:t>
        </w:r>
        <w:r>
          <w:rPr>
            <w:rStyle w:val="Enlacedelndice"/>
            <w:i/>
            <w:iCs/>
          </w:rPr>
          <w:t>al implementar el sistema</w:t>
        </w:r>
        <w:r>
          <w:rPr>
            <w:rStyle w:val="Enlacedelndice"/>
          </w:rPr>
          <w:tab/>
          <w:t>32</w:t>
        </w:r>
      </w:hyperlink>
      <w:r>
        <w:rPr>
          <w:rStyle w:val="Enlacedelndice"/>
        </w:rPr>
        <w:fldChar w:fldCharType="end"/>
      </w:r>
    </w:p>
    <w:p>
      <w:pPr>
        <w:pStyle w:val="Ttulodelndicedetablas"/>
        <w:bidi w:val="0"/>
        <w:spacing w:before="0" w:after="0"/>
        <w:rPr/>
        <w:sectPr>
          <w:footerReference w:type="default" r:id="rId15"/>
          <w:footerReference w:type="first" r:id="rId16"/>
          <w:type w:val="nextPage"/>
          <w:pgSz w:w="12240" w:h="15840"/>
          <w:pgMar w:left="866" w:right="866" w:gutter="850" w:header="0" w:top="866" w:footer="0" w:bottom="866"/>
          <w:pgBorders w:display="allPages" w:offsetFrom="text">
            <w:top w:val="single" w:sz="6" w:space="14" w:color="000000"/>
            <w:left w:val="single" w:sz="6" w:space="14" w:color="000000"/>
            <w:bottom w:val="single" w:sz="6" w:space="14" w:color="000000"/>
            <w:right w:val="single" w:sz="6" w:space="14" w:color="000000"/>
          </w:pgBorders>
          <w:pgNumType w:start="1" w:fmt="decimal"/>
          <w:formProt w:val="false"/>
          <w:textDirection w:val="lrTb"/>
          <w:docGrid w:type="default" w:linePitch="600" w:charSpace="36864"/>
        </w:sectPr>
      </w:pPr>
      <w:r>
        <w:rPr/>
      </w:r>
    </w:p>
    <w:p>
      <w:pPr>
        <w:pStyle w:val="Heading1"/>
        <w:numPr>
          <w:ilvl w:val="0"/>
          <w:numId w:val="0"/>
        </w:numPr>
        <w:ind w:hanging="0" w:start="754"/>
        <w:rPr/>
      </w:pPr>
      <w:bookmarkStart w:id="60" w:name="__RefHeading___Toc373_2145611124"/>
      <w:bookmarkEnd w:id="60"/>
      <w:r>
        <w:rPr/>
        <w:t>Anexos</w:t>
      </w:r>
    </w:p>
    <w:p>
      <w:pPr>
        <w:pStyle w:val="Heading2"/>
        <w:keepNext w:val="true"/>
        <w:widowControl/>
        <w:numPr>
          <w:ilvl w:val="1"/>
          <w:numId w:val="10"/>
        </w:numPr>
        <w:suppressAutoHyphens w:val="true"/>
        <w:overflowPunct w:val="false"/>
        <w:bidi w:val="0"/>
        <w:spacing w:lineRule="auto" w:line="360" w:before="0" w:after="142"/>
        <w:ind w:hanging="170" w:start="553" w:end="822"/>
        <w:jc w:val="start"/>
        <w:rPr/>
      </w:pPr>
      <w:bookmarkStart w:id="61" w:name="__RefHeading___Toc375_2145611124"/>
      <w:bookmarkEnd w:id="61"/>
      <w:r>
        <w:rPr/>
        <w:t>Formato de entrevista (tipo)</w:t>
      </w:r>
    </w:p>
    <w:p>
      <w:pPr>
        <w:pStyle w:val="Normal"/>
        <w:ind w:start="567" w:end="0"/>
        <w:rPr/>
      </w:pPr>
      <w:r>
        <w:rPr>
          <w:rStyle w:val="Strong"/>
        </w:rPr>
        <w:t>Entrevista presencial – Manejo de la documentación clínica</w:t>
      </w:r>
    </w:p>
    <w:p>
      <w:pPr>
        <w:pStyle w:val="Normal"/>
        <w:ind w:start="567" w:end="0"/>
        <w:rPr/>
      </w:pPr>
      <w:r>
        <w:rPr/>
        <w:t>Proyecto: Sistema de Gestión Documental para Instituciones de Salud</w:t>
      </w:r>
    </w:p>
    <w:p>
      <w:pPr>
        <w:pStyle w:val="Normal"/>
        <w:ind w:start="567" w:end="0"/>
        <w:rPr/>
      </w:pPr>
      <w:r>
        <w:rPr/>
        <w:t>Materia: Sistemas de Información 2 – Ingeniería Informática</w:t>
      </w:r>
    </w:p>
    <w:p>
      <w:pPr>
        <w:pStyle w:val="Normal"/>
        <w:ind w:start="567" w:end="0"/>
        <w:rPr/>
      </w:pPr>
      <w:r>
        <w:rPr>
          <w:rStyle w:val="Strong"/>
        </w:rPr>
        <w:t>Bloque 1 – Datos de la institución</w:t>
      </w:r>
    </w:p>
    <w:p>
      <w:pPr>
        <w:pStyle w:val="Normal"/>
        <w:numPr>
          <w:ilvl w:val="0"/>
          <w:numId w:val="9"/>
        </w:numPr>
        <w:tabs>
          <w:tab w:val="clear" w:pos="643"/>
          <w:tab w:val="left" w:pos="0" w:leader="none"/>
        </w:tabs>
        <w:ind w:hanging="0" w:start="567" w:end="0"/>
        <w:rPr/>
      </w:pPr>
      <w:r>
        <w:rPr/>
        <w:t>¿Cuál es el nombre de la institución y a qué tipo de servicios de salud se dedica?</w:t>
      </w:r>
    </w:p>
    <w:p>
      <w:pPr>
        <w:pStyle w:val="Normal"/>
        <w:numPr>
          <w:ilvl w:val="0"/>
          <w:numId w:val="9"/>
        </w:numPr>
        <w:tabs>
          <w:tab w:val="clear" w:pos="643"/>
          <w:tab w:val="left" w:pos="0" w:leader="none"/>
        </w:tabs>
        <w:ind w:hanging="0" w:start="567" w:end="0"/>
        <w:rPr/>
      </w:pPr>
      <w:r>
        <w:rPr/>
        <w:t>¿Cuántos pacientes atienden aproximadamente por día / mes?</w:t>
      </w:r>
    </w:p>
    <w:p>
      <w:pPr>
        <w:pStyle w:val="Normal"/>
        <w:numPr>
          <w:ilvl w:val="0"/>
          <w:numId w:val="9"/>
        </w:numPr>
        <w:tabs>
          <w:tab w:val="clear" w:pos="643"/>
          <w:tab w:val="left" w:pos="0" w:leader="none"/>
        </w:tabs>
        <w:ind w:hanging="0" w:start="567" w:end="0"/>
        <w:rPr/>
      </w:pPr>
      <w:r>
        <w:rPr/>
        <w:t>¿Cuántas sedes o sucursales tiene la institución?</w:t>
      </w:r>
    </w:p>
    <w:p>
      <w:pPr>
        <w:pStyle w:val="Normal"/>
        <w:numPr>
          <w:ilvl w:val="0"/>
          <w:numId w:val="9"/>
        </w:numPr>
        <w:tabs>
          <w:tab w:val="clear" w:pos="643"/>
          <w:tab w:val="left" w:pos="0" w:leader="none"/>
        </w:tabs>
        <w:ind w:hanging="0" w:start="567" w:end="0"/>
        <w:rPr/>
      </w:pPr>
      <w:r>
        <w:rPr/>
        <w:t>¿Cuántas personas conforman el personal administrativo?</w:t>
      </w:r>
    </w:p>
    <w:p>
      <w:pPr>
        <w:pStyle w:val="Normal"/>
        <w:ind w:start="567" w:end="0"/>
        <w:rPr/>
      </w:pPr>
      <w:r>
        <w:rPr>
          <w:rStyle w:val="Strong"/>
        </w:rPr>
        <w:t>Bloque 2 – Gestión documental actual</w:t>
      </w:r>
    </w:p>
    <w:p>
      <w:pPr>
        <w:pStyle w:val="Normal"/>
        <w:ind w:start="567" w:end="0"/>
        <w:rPr/>
      </w:pPr>
      <w:r>
        <w:rPr/>
        <w:t>5. ¿Cómo gestionan actualmente la documentación clínica y administrativa?</w:t>
      </w:r>
    </w:p>
    <w:p>
      <w:pPr>
        <w:pStyle w:val="Normal"/>
        <w:ind w:start="567" w:end="0"/>
        <w:rPr/>
      </w:pPr>
      <w:r>
        <w:rPr/>
        <w:t>6. ¿Qué tipos de documentos manejan con mayor frecuencia?</w:t>
      </w:r>
    </w:p>
    <w:p>
      <w:pPr>
        <w:pStyle w:val="Normal"/>
        <w:ind w:start="567" w:end="0"/>
        <w:rPr/>
      </w:pPr>
      <w:r>
        <w:rPr/>
        <w:t>7. ¿Cuentan con algún sistema informático para la gestión de documentos?</w:t>
      </w:r>
    </w:p>
    <w:p>
      <w:pPr>
        <w:pStyle w:val="Normal"/>
        <w:ind w:start="567" w:end="0"/>
        <w:rPr/>
      </w:pPr>
      <w:r>
        <w:rPr/>
        <w:t>8. ¿Cómo realizan la búsqueda y recuperación de un expediente específico?</w:t>
      </w:r>
    </w:p>
    <w:p>
      <w:pPr>
        <w:pStyle w:val="Normal"/>
        <w:ind w:start="567" w:end="0"/>
        <w:rPr/>
      </w:pPr>
      <w:r>
        <w:rPr/>
        <w:t>9. ¿Cuánto tiempo demora en promedio localizar un documento en una situación de urgencia?</w:t>
      </w:r>
    </w:p>
    <w:p>
      <w:pPr>
        <w:pStyle w:val="Normal"/>
        <w:ind w:start="567" w:end="0"/>
        <w:rPr/>
      </w:pPr>
      <w:r>
        <w:rPr>
          <w:rStyle w:val="Strong"/>
        </w:rPr>
        <w:t>Bloque 3 – Problemas identificados</w:t>
      </w:r>
    </w:p>
    <w:p>
      <w:pPr>
        <w:pStyle w:val="Normal"/>
        <w:ind w:start="567" w:end="0"/>
        <w:rPr/>
      </w:pPr>
      <w:r>
        <w:rPr/>
        <w:t>10. ¿Han tenido casos de pérdida, extravío o deterioro de documentos?</w:t>
      </w:r>
    </w:p>
    <w:p>
      <w:pPr>
        <w:pStyle w:val="Normal"/>
        <w:ind w:start="567" w:end="0"/>
        <w:rPr/>
      </w:pPr>
      <w:r>
        <w:rPr/>
        <w:t>11. ¿Existen problemas de acceso no autorizado o falta de control sobre quién consulta los expedientes?</w:t>
      </w:r>
    </w:p>
    <w:p>
      <w:pPr>
        <w:pStyle w:val="Normal"/>
        <w:ind w:start="567" w:end="0"/>
        <w:rPr/>
      </w:pPr>
      <w:r>
        <w:rPr/>
        <w:t>12. ¿Han tenido inconvenientes por documentos vencidos o desactualizados?</w:t>
      </w:r>
    </w:p>
    <w:p>
      <w:pPr>
        <w:pStyle w:val="Normal"/>
        <w:ind w:start="567" w:end="0"/>
        <w:rPr/>
      </w:pPr>
      <w:r>
        <w:rPr/>
        <w:t>13. ¿La información del paciente está integrada entre áreas o se gestiona de forma aislada?</w:t>
      </w:r>
    </w:p>
    <w:p>
      <w:pPr>
        <w:pStyle w:val="Normal"/>
        <w:ind w:start="567" w:end="0"/>
        <w:rPr/>
      </w:pPr>
      <w:r>
        <w:rPr/>
        <w:t>14. ¿Han tenido situaciones legales relacionadas con la gestión documental?</w:t>
      </w:r>
    </w:p>
    <w:p>
      <w:pPr>
        <w:pStyle w:val="Normal"/>
        <w:ind w:start="567" w:end="0"/>
        <w:rPr/>
      </w:pPr>
      <w:r>
        <w:rPr>
          <w:rStyle w:val="Strong"/>
        </w:rPr>
        <w:t>Bloque 4 – Expectativas y disposición</w:t>
      </w:r>
    </w:p>
    <w:p>
      <w:pPr>
        <w:pStyle w:val="Normal"/>
        <w:ind w:start="567" w:end="0"/>
        <w:rPr/>
      </w:pPr>
      <w:r>
        <w:rPr/>
        <w:t>15. ¿Qué funcionalidades esperaría de un sistema de gestión documental ideal?</w:t>
      </w:r>
    </w:p>
    <w:p>
      <w:pPr>
        <w:pStyle w:val="Normal"/>
        <w:ind w:start="567" w:end="0"/>
        <w:rPr/>
      </w:pPr>
      <w:r>
        <w:rPr/>
        <w:t>16. ¿Estaría dispuesto a adoptar una solución digital que coexista con el documento físico?</w:t>
      </w:r>
    </w:p>
    <w:p>
      <w:pPr>
        <w:pStyle w:val="Normal"/>
        <w:ind w:start="567" w:end="0"/>
        <w:rPr/>
      </w:pPr>
      <w:r>
        <w:rPr/>
        <w:t>17. ¿El personal tendría disposición para adaptarse a un nuevo sistema?</w:t>
      </w:r>
    </w:p>
    <w:p>
      <w:pPr>
        <w:pStyle w:val="Normal"/>
        <w:ind w:start="567" w:end="0"/>
        <w:rPr/>
      </w:pPr>
      <w:r>
        <w:rPr/>
        <w:t>18. ¿Qué factores serían determinantes para implementar una solución como la descrita?</w:t>
      </w:r>
    </w:p>
    <w:p>
      <w:pPr>
        <w:pStyle w:val="Heading2"/>
        <w:keepNext w:val="true"/>
        <w:widowControl/>
        <w:numPr>
          <w:ilvl w:val="1"/>
          <w:numId w:val="10"/>
        </w:numPr>
        <w:suppressAutoHyphens w:val="true"/>
        <w:overflowPunct w:val="false"/>
        <w:bidi w:val="0"/>
        <w:spacing w:lineRule="auto" w:line="360" w:before="0" w:after="142"/>
        <w:ind w:hanging="170" w:start="567" w:end="283"/>
        <w:jc w:val="start"/>
        <w:rPr/>
      </w:pPr>
      <w:bookmarkStart w:id="62" w:name="__RefHeading___Toc11024_371365040"/>
      <w:bookmarkEnd w:id="62"/>
      <w:r>
        <w:rPr/>
        <w:t>Entrevistas realizadas</w:t>
      </w:r>
    </w:p>
    <w:p>
      <w:pPr>
        <w:pStyle w:val="Normal"/>
        <w:widowControl/>
        <w:numPr>
          <w:ilvl w:val="0"/>
          <w:numId w:val="0"/>
        </w:numPr>
        <w:suppressAutoHyphens w:val="true"/>
        <w:overflowPunct w:val="false"/>
        <w:bidi w:val="0"/>
        <w:spacing w:lineRule="auto" w:line="360" w:before="0" w:after="142"/>
        <w:ind w:hanging="0" w:start="581" w:end="283"/>
        <w:jc w:val="start"/>
        <w:rPr>
          <w:b/>
          <w:bCs/>
        </w:rPr>
      </w:pPr>
      <w:bookmarkStart w:id="63" w:name="__RefHeading___Toc11026_371365040"/>
      <w:bookmarkEnd w:id="63"/>
      <w:r>
        <w:rPr>
          <w:b/>
          <w:bCs/>
        </w:rPr>
        <w:t>Entrevista 1 – Centro de Diagnóstico Future</w:t>
      </w:r>
    </w:p>
    <w:tbl>
      <w:tblPr>
        <w:tblW w:w="8192" w:type="dxa"/>
        <w:jc w:val="start"/>
        <w:tblInd w:w="579" w:type="dxa"/>
        <w:tblLayout w:type="fixed"/>
        <w:tblCellMar>
          <w:top w:w="55" w:type="dxa"/>
          <w:start w:w="55" w:type="dxa"/>
          <w:bottom w:w="150" w:type="dxa"/>
          <w:end w:w="55" w:type="dxa"/>
        </w:tblCellMar>
      </w:tblPr>
      <w:tblGrid>
        <w:gridCol w:w="2205"/>
        <w:gridCol w:w="5987"/>
      </w:tblGrid>
      <w:tr>
        <w:trPr>
          <w:tblHeader w:val="true"/>
        </w:trPr>
        <w:tc>
          <w:tcPr>
            <w:tcW w:w="2205" w:type="dxa"/>
            <w:tcBorders/>
            <w:vAlign w:val="center"/>
          </w:tcPr>
          <w:p>
            <w:pPr>
              <w:pStyle w:val="Ttulodelatabla"/>
              <w:spacing w:before="113" w:after="113"/>
              <w:rPr/>
            </w:pPr>
            <w:r>
              <w:rPr/>
              <w:t>Campo</w:t>
            </w:r>
          </w:p>
        </w:tc>
        <w:tc>
          <w:tcPr>
            <w:tcW w:w="5987" w:type="dxa"/>
            <w:tcBorders/>
            <w:vAlign w:val="center"/>
          </w:tcPr>
          <w:p>
            <w:pPr>
              <w:pStyle w:val="Ttulodelatabla"/>
              <w:spacing w:before="113" w:after="113"/>
              <w:rPr/>
            </w:pPr>
            <w:r>
              <w:rPr/>
              <w:t>Detalle</w:t>
            </w:r>
          </w:p>
        </w:tc>
      </w:tr>
      <w:tr>
        <w:trPr/>
        <w:tc>
          <w:tcPr>
            <w:tcW w:w="2205" w:type="dxa"/>
            <w:tcBorders/>
            <w:vAlign w:val="center"/>
          </w:tcPr>
          <w:p>
            <w:pPr>
              <w:pStyle w:val="Contenidodelatabla"/>
              <w:spacing w:before="113" w:after="113"/>
              <w:rPr/>
            </w:pPr>
            <w:r>
              <w:rPr>
                <w:rStyle w:val="Strong"/>
              </w:rPr>
              <w:t>Fecha</w:t>
            </w:r>
          </w:p>
        </w:tc>
        <w:tc>
          <w:tcPr>
            <w:tcW w:w="5987" w:type="dxa"/>
            <w:tcBorders/>
            <w:vAlign w:val="center"/>
          </w:tcPr>
          <w:p>
            <w:pPr>
              <w:pStyle w:val="Contenidodelatabla"/>
              <w:spacing w:before="113" w:after="113"/>
              <w:rPr/>
            </w:pPr>
            <w:r>
              <w:rPr/>
              <w:t>14 de marzo de 2026</w:t>
            </w:r>
          </w:p>
        </w:tc>
      </w:tr>
      <w:tr>
        <w:trPr/>
        <w:tc>
          <w:tcPr>
            <w:tcW w:w="2205" w:type="dxa"/>
            <w:tcBorders/>
            <w:vAlign w:val="center"/>
          </w:tcPr>
          <w:p>
            <w:pPr>
              <w:pStyle w:val="Contenidodelatabla"/>
              <w:spacing w:before="113" w:after="113"/>
              <w:rPr/>
            </w:pPr>
            <w:r>
              <w:rPr>
                <w:rStyle w:val="Strong"/>
              </w:rPr>
              <w:t>Institución</w:t>
            </w:r>
          </w:p>
        </w:tc>
        <w:tc>
          <w:tcPr>
            <w:tcW w:w="5987" w:type="dxa"/>
            <w:tcBorders/>
            <w:vAlign w:val="center"/>
          </w:tcPr>
          <w:p>
            <w:pPr>
              <w:pStyle w:val="Contenidodelatabla"/>
              <w:spacing w:before="113" w:after="113"/>
              <w:rPr/>
            </w:pPr>
            <w:r>
              <w:rPr/>
              <w:t>Centro de Diagnóstico Future</w:t>
            </w:r>
          </w:p>
        </w:tc>
      </w:tr>
      <w:tr>
        <w:trPr/>
        <w:tc>
          <w:tcPr>
            <w:tcW w:w="2205" w:type="dxa"/>
            <w:tcBorders/>
            <w:vAlign w:val="center"/>
          </w:tcPr>
          <w:p>
            <w:pPr>
              <w:pStyle w:val="Contenidodelatabla"/>
              <w:spacing w:before="113" w:after="113"/>
              <w:rPr/>
            </w:pPr>
            <w:r>
              <w:rPr>
                <w:rStyle w:val="Strong"/>
              </w:rPr>
              <w:t>Entrevistado</w:t>
            </w:r>
          </w:p>
        </w:tc>
        <w:tc>
          <w:tcPr>
            <w:tcW w:w="5987" w:type="dxa"/>
            <w:tcBorders/>
            <w:vAlign w:val="center"/>
          </w:tcPr>
          <w:p>
            <w:pPr>
              <w:pStyle w:val="Contenidodelatabla"/>
              <w:spacing w:before="113" w:after="113"/>
              <w:rPr/>
            </w:pPr>
            <w:r>
              <w:rPr/>
              <w:t>Lic. Roberto Camacho Vidal</w:t>
            </w:r>
          </w:p>
        </w:tc>
      </w:tr>
      <w:tr>
        <w:trPr/>
        <w:tc>
          <w:tcPr>
            <w:tcW w:w="2205" w:type="dxa"/>
            <w:tcBorders/>
            <w:vAlign w:val="center"/>
          </w:tcPr>
          <w:p>
            <w:pPr>
              <w:pStyle w:val="Contenidodelatabla"/>
              <w:spacing w:before="113" w:after="113"/>
              <w:rPr/>
            </w:pPr>
            <w:r>
              <w:rPr>
                <w:rStyle w:val="Strong"/>
              </w:rPr>
              <w:t>Cargo</w:t>
            </w:r>
          </w:p>
        </w:tc>
        <w:tc>
          <w:tcPr>
            <w:tcW w:w="5987" w:type="dxa"/>
            <w:tcBorders/>
            <w:vAlign w:val="center"/>
          </w:tcPr>
          <w:p>
            <w:pPr>
              <w:pStyle w:val="Contenidodelatabla"/>
              <w:spacing w:before="113" w:after="113"/>
              <w:rPr/>
            </w:pPr>
            <w:r>
              <w:rPr/>
              <w:t>Jefe de Sistemas</w:t>
            </w:r>
          </w:p>
        </w:tc>
      </w:tr>
      <w:tr>
        <w:trPr/>
        <w:tc>
          <w:tcPr>
            <w:tcW w:w="2205" w:type="dxa"/>
            <w:tcBorders/>
            <w:vAlign w:val="center"/>
          </w:tcPr>
          <w:p>
            <w:pPr>
              <w:pStyle w:val="Contenidodelatabla"/>
              <w:spacing w:before="113" w:after="113"/>
              <w:rPr/>
            </w:pPr>
            <w:r>
              <w:rPr>
                <w:rStyle w:val="Strong"/>
              </w:rPr>
              <w:t>Dirección</w:t>
            </w:r>
          </w:p>
        </w:tc>
        <w:tc>
          <w:tcPr>
            <w:tcW w:w="5987" w:type="dxa"/>
            <w:tcBorders/>
            <w:vAlign w:val="center"/>
          </w:tcPr>
          <w:p>
            <w:pPr>
              <w:pStyle w:val="Contenidodelatabla"/>
              <w:spacing w:before="113" w:after="113"/>
              <w:rPr/>
            </w:pPr>
            <w:r>
              <w:rPr/>
              <w:t>Av. Roca y Coronado, 3er anillo, Santa Cruz de la Sierra</w:t>
            </w:r>
          </w:p>
        </w:tc>
      </w:tr>
      <w:tr>
        <w:trPr/>
        <w:tc>
          <w:tcPr>
            <w:tcW w:w="2205" w:type="dxa"/>
            <w:tcBorders/>
            <w:vAlign w:val="center"/>
          </w:tcPr>
          <w:p>
            <w:pPr>
              <w:pStyle w:val="Contenidodelatabla"/>
              <w:spacing w:before="113" w:after="113"/>
              <w:rPr/>
            </w:pPr>
            <w:r>
              <w:rPr>
                <w:rStyle w:val="Strong"/>
              </w:rPr>
              <w:t>Modalidad</w:t>
            </w:r>
          </w:p>
        </w:tc>
        <w:tc>
          <w:tcPr>
            <w:tcW w:w="5987" w:type="dxa"/>
            <w:tcBorders/>
            <w:vAlign w:val="center"/>
          </w:tcPr>
          <w:p>
            <w:pPr>
              <w:pStyle w:val="Contenidodelatabla"/>
              <w:spacing w:before="113" w:after="113"/>
              <w:rPr/>
            </w:pPr>
            <w:r>
              <w:rPr/>
              <w:t>Presencial</w:t>
            </w:r>
          </w:p>
        </w:tc>
      </w:tr>
      <w:tr>
        <w:trPr/>
        <w:tc>
          <w:tcPr>
            <w:tcW w:w="2205" w:type="dxa"/>
            <w:tcBorders/>
            <w:vAlign w:val="center"/>
          </w:tcPr>
          <w:p>
            <w:pPr>
              <w:pStyle w:val="Contenidodelatabla"/>
              <w:spacing w:before="113" w:after="113"/>
              <w:rPr/>
            </w:pPr>
            <w:r>
              <w:rPr>
                <w:rStyle w:val="Strong"/>
              </w:rPr>
              <w:t>Entrevistadores</w:t>
            </w:r>
          </w:p>
        </w:tc>
        <w:tc>
          <w:tcPr>
            <w:tcW w:w="5987" w:type="dxa"/>
            <w:tcBorders/>
            <w:vAlign w:val="center"/>
          </w:tcPr>
          <w:p>
            <w:pPr>
              <w:pStyle w:val="Normal"/>
              <w:keepNext w:val="false"/>
              <w:keepLines w:val="false"/>
              <w:widowControl w:val="false"/>
              <w:pBdr/>
              <w:spacing w:lineRule="auto" w:line="240" w:before="0" w:after="0"/>
              <w:ind w:hanging="0" w:start="0" w:end="0"/>
              <w:jc w:val="start"/>
              <w:rPr>
                <w:rFonts w:ascii="IBM Plex Serif" w:hAnsi="IBM Plex Serif" w:eastAsia="IBM Plex Serif" w:cs="IBM Plex Serif"/>
                <w:b w:val="false"/>
                <w:bCs w:val="false"/>
                <w:i w:val="false"/>
                <w:iCs w:val="false"/>
                <w:caps w:val="false"/>
                <w:smallCaps w:val="false"/>
                <w:strike w:val="false"/>
                <w:dstrike w:val="false"/>
                <w:color w:val="000000"/>
                <w:position w:val="0"/>
                <w:sz w:val="22"/>
                <w:szCs w:val="22"/>
                <w:u w:val="none"/>
                <w:vertAlign w:val="baseline"/>
              </w:rPr>
            </w:pPr>
            <w:r>
              <w:rPr>
                <w:rFonts w:eastAsia="IBM Plex Serif" w:cs="IBM Plex Serif"/>
                <w:b w:val="false"/>
                <w:bCs w:val="false"/>
                <w:i w:val="false"/>
                <w:iCs w:val="false"/>
                <w:caps w:val="false"/>
                <w:smallCaps w:val="false"/>
                <w:strike w:val="false"/>
                <w:dstrike w:val="false"/>
                <w:color w:val="000000"/>
                <w:position w:val="0"/>
                <w:sz w:val="22"/>
                <w:szCs w:val="22"/>
                <w:u w:val="none"/>
                <w:vertAlign w:val="baseline"/>
              </w:rPr>
              <w:t xml:space="preserve">Gonzales Alba, </w:t>
            </w:r>
            <w:r>
              <w:rPr>
                <w:rFonts w:eastAsia="IBM Plex Serif" w:cs="IBM Plex Serif"/>
                <w:b w:val="false"/>
                <w:bCs w:val="false"/>
                <w:i w:val="false"/>
                <w:iCs w:val="false"/>
                <w:caps w:val="false"/>
                <w:smallCaps w:val="false"/>
                <w:strike w:val="false"/>
                <w:dstrike w:val="false"/>
                <w:color w:val="000000"/>
                <w:position w:val="0"/>
                <w:sz w:val="22"/>
                <w:szCs w:val="22"/>
                <w:u w:val="none"/>
                <w:vertAlign w:val="baseline"/>
              </w:rPr>
              <w:t>Jose Brayan</w:t>
            </w:r>
          </w:p>
        </w:tc>
      </w:tr>
    </w:tbl>
    <w:p>
      <w:pPr>
        <w:pStyle w:val="BodyText"/>
        <w:widowControl/>
        <w:suppressAutoHyphens w:val="true"/>
        <w:overflowPunct w:val="false"/>
        <w:bidi w:val="0"/>
        <w:spacing w:lineRule="auto" w:line="360" w:before="142" w:after="142"/>
        <w:ind w:hanging="0" w:start="581" w:end="553"/>
        <w:jc w:val="start"/>
        <w:rPr/>
      </w:pPr>
      <w:r>
        <w:rPr>
          <w:rStyle w:val="Strong"/>
        </w:rPr>
        <w:t>Resumen de respuestas</w:t>
      </w:r>
    </w:p>
    <w:p>
      <w:pPr>
        <w:pStyle w:val="BodyText"/>
        <w:widowControl/>
        <w:numPr>
          <w:ilvl w:val="0"/>
          <w:numId w:val="0"/>
        </w:numPr>
        <w:suppressAutoHyphens w:val="true"/>
        <w:overflowPunct w:val="false"/>
        <w:bidi w:val="0"/>
        <w:spacing w:lineRule="auto" w:line="360" w:before="142" w:after="142"/>
        <w:ind w:hanging="0" w:start="567" w:end="553"/>
        <w:jc w:val="start"/>
        <w:rPr/>
      </w:pPr>
      <w:r>
        <w:rPr>
          <w:rStyle w:val="Strong"/>
        </w:rPr>
        <w:t>Datos institucionales:</w:t>
      </w:r>
      <w:r>
        <w:rPr/>
        <w:t> Centro especializado en diagnóstico por imágenes (ecografías, tomografías, resonancias, radiografías) y laboratorio clínico. Atienden 80–150 pacientes/día. Una sola sede, 8 personas en administración.</w:t>
      </w:r>
    </w:p>
    <w:p>
      <w:pPr>
        <w:pStyle w:val="BodyText"/>
        <w:numPr>
          <w:ilvl w:val="0"/>
          <w:numId w:val="0"/>
        </w:numPr>
        <w:ind w:hanging="0" w:start="643"/>
        <w:rPr/>
      </w:pPr>
      <w:r>
        <w:rPr>
          <w:rStyle w:val="Strong"/>
        </w:rPr>
        <w:t>Gestión actual:</w:t>
      </w:r>
      <w:r>
        <w:rPr/>
        <w:t> Sistema propio para estudios e imágenes, pero los informes se imprimen y firman manualmente. No hay copia digital del informe firmado. Los consentimientos y otros documentos se archivan en papel sin indexación por paciente.</w:t>
      </w:r>
    </w:p>
    <w:p>
      <w:pPr>
        <w:pStyle w:val="BodyText"/>
        <w:numPr>
          <w:ilvl w:val="0"/>
          <w:numId w:val="0"/>
        </w:numPr>
        <w:ind w:hanging="0" w:start="643"/>
        <w:rPr/>
      </w:pPr>
      <w:r>
        <w:rPr>
          <w:rStyle w:val="Strong"/>
        </w:rPr>
        <w:t>Búsqueda y tiempos:</w:t>
      </w:r>
      <w:r>
        <w:rPr/>
        <w:t> La búsqueda digital es rápida; la de documentos físicos puede demorar 20–60 minutos.</w:t>
      </w:r>
    </w:p>
    <w:p>
      <w:pPr>
        <w:pStyle w:val="BodyText"/>
        <w:numPr>
          <w:ilvl w:val="0"/>
          <w:numId w:val="0"/>
        </w:numPr>
        <w:ind w:hanging="0" w:start="643"/>
        <w:rPr/>
      </w:pPr>
      <w:r>
        <w:rPr>
          <w:rStyle w:val="Strong"/>
        </w:rPr>
        <w:t>Problemas:</w:t>
      </w:r>
      <w:r>
        <w:rPr/>
        <w:t> Pérdida de consentimientos, falta de control de acceso al archivo físico, documentos vencidos (habilitaciones, credenciales), información no integrada entre laboratorio e imágenes, reclamos legales por falta de documentos.</w:t>
      </w:r>
    </w:p>
    <w:p>
      <w:pPr>
        <w:pStyle w:val="BodyText"/>
        <w:numPr>
          <w:ilvl w:val="0"/>
          <w:numId w:val="0"/>
        </w:numPr>
        <w:ind w:hanging="0" w:start="643"/>
        <w:rPr/>
      </w:pPr>
      <w:r>
        <w:rPr>
          <w:rStyle w:val="Strong"/>
        </w:rPr>
        <w:t>Expectativas:</w:t>
      </w:r>
      <w:r>
        <w:rPr/>
        <w:t> Sistema único con historial completo del paciente, alertas de vencimiento, búsqueda inmediata, firma digital. Disposición a adoptar solución híbrida (digital + papel). Factores clave: costo, usabilidad, soporte local.</w:t>
      </w:r>
    </w:p>
    <w:p>
      <w:pPr>
        <w:pStyle w:val="BodyText"/>
        <w:numPr>
          <w:ilvl w:val="0"/>
          <w:numId w:val="0"/>
        </w:numPr>
        <w:ind w:hanging="0" w:start="643"/>
        <w:rPr>
          <w:b/>
          <w:bCs/>
        </w:rPr>
      </w:pPr>
      <w:r>
        <w:rPr>
          <w:b/>
          <w:bCs/>
        </w:rPr>
        <w:t>Entrevista 2 – Hospital San Juan de Dios</w:t>
      </w:r>
    </w:p>
    <w:tbl>
      <w:tblPr>
        <w:tblW w:w="7172" w:type="dxa"/>
        <w:jc w:val="start"/>
        <w:tblInd w:w="579" w:type="dxa"/>
        <w:tblLayout w:type="fixed"/>
        <w:tblCellMar>
          <w:top w:w="55" w:type="dxa"/>
          <w:start w:w="55" w:type="dxa"/>
          <w:bottom w:w="150" w:type="dxa"/>
          <w:end w:w="55" w:type="dxa"/>
        </w:tblCellMar>
      </w:tblPr>
      <w:tblGrid>
        <w:gridCol w:w="1965"/>
        <w:gridCol w:w="5207"/>
      </w:tblGrid>
      <w:tr>
        <w:trPr>
          <w:tblHeader w:val="true"/>
        </w:trPr>
        <w:tc>
          <w:tcPr>
            <w:tcW w:w="1965" w:type="dxa"/>
            <w:tcBorders>
              <w:bottom w:val="single" w:sz="4" w:space="0" w:color="000000"/>
              <w:end w:val="single" w:sz="4" w:space="0" w:color="000000"/>
            </w:tcBorders>
            <w:vAlign w:val="center"/>
          </w:tcPr>
          <w:p>
            <w:pPr>
              <w:pStyle w:val="Ttulodelatabla"/>
              <w:spacing w:before="113" w:after="113"/>
              <w:rPr/>
            </w:pPr>
            <w:r>
              <w:rPr/>
              <w:t>Campo</w:t>
            </w:r>
          </w:p>
        </w:tc>
        <w:tc>
          <w:tcPr>
            <w:tcW w:w="5207" w:type="dxa"/>
            <w:tcBorders>
              <w:bottom w:val="single" w:sz="4" w:space="0" w:color="000000"/>
            </w:tcBorders>
            <w:vAlign w:val="center"/>
          </w:tcPr>
          <w:p>
            <w:pPr>
              <w:pStyle w:val="Ttulodelatabla"/>
              <w:spacing w:before="113" w:after="113"/>
              <w:rPr/>
            </w:pPr>
            <w:r>
              <w:rPr/>
              <w:t>Detalle</w:t>
            </w:r>
          </w:p>
        </w:tc>
      </w:tr>
      <w:tr>
        <w:trPr/>
        <w:tc>
          <w:tcPr>
            <w:tcW w:w="1965" w:type="dxa"/>
            <w:tcBorders>
              <w:end w:val="single" w:sz="4" w:space="0" w:color="000000"/>
            </w:tcBorders>
            <w:vAlign w:val="center"/>
          </w:tcPr>
          <w:p>
            <w:pPr>
              <w:pStyle w:val="Contenidodelatabla"/>
              <w:spacing w:before="113" w:after="113"/>
              <w:rPr/>
            </w:pPr>
            <w:r>
              <w:rPr>
                <w:rStyle w:val="Strong"/>
              </w:rPr>
              <w:t>Fecha</w:t>
            </w:r>
          </w:p>
        </w:tc>
        <w:tc>
          <w:tcPr>
            <w:tcW w:w="5207" w:type="dxa"/>
            <w:tcBorders/>
            <w:vAlign w:val="center"/>
          </w:tcPr>
          <w:p>
            <w:pPr>
              <w:pStyle w:val="Contenidodelatabla"/>
              <w:spacing w:before="113" w:after="113"/>
              <w:rPr/>
            </w:pPr>
            <w:r>
              <w:rPr/>
              <w:t>16 de marzo de 2026</w:t>
            </w:r>
          </w:p>
        </w:tc>
      </w:tr>
      <w:tr>
        <w:trPr/>
        <w:tc>
          <w:tcPr>
            <w:tcW w:w="1965" w:type="dxa"/>
            <w:tcBorders>
              <w:end w:val="single" w:sz="4" w:space="0" w:color="000000"/>
            </w:tcBorders>
            <w:vAlign w:val="center"/>
          </w:tcPr>
          <w:p>
            <w:pPr>
              <w:pStyle w:val="Contenidodelatabla"/>
              <w:spacing w:before="113" w:after="113"/>
              <w:rPr/>
            </w:pPr>
            <w:r>
              <w:rPr>
                <w:rStyle w:val="Strong"/>
              </w:rPr>
              <w:t>Institución</w:t>
            </w:r>
          </w:p>
        </w:tc>
        <w:tc>
          <w:tcPr>
            <w:tcW w:w="5207" w:type="dxa"/>
            <w:tcBorders/>
            <w:vAlign w:val="center"/>
          </w:tcPr>
          <w:p>
            <w:pPr>
              <w:pStyle w:val="Contenidodelatabla"/>
              <w:spacing w:before="113" w:after="113"/>
              <w:rPr/>
            </w:pPr>
            <w:r>
              <w:rPr/>
              <w:t>Hospital San Juan de Dios</w:t>
            </w:r>
          </w:p>
        </w:tc>
      </w:tr>
      <w:tr>
        <w:trPr/>
        <w:tc>
          <w:tcPr>
            <w:tcW w:w="1965" w:type="dxa"/>
            <w:tcBorders>
              <w:end w:val="single" w:sz="4" w:space="0" w:color="000000"/>
            </w:tcBorders>
            <w:vAlign w:val="center"/>
          </w:tcPr>
          <w:p>
            <w:pPr>
              <w:pStyle w:val="Contenidodelatabla"/>
              <w:spacing w:before="113" w:after="113"/>
              <w:rPr/>
            </w:pPr>
            <w:r>
              <w:rPr>
                <w:rStyle w:val="Strong"/>
              </w:rPr>
              <w:t>Entrevistada</w:t>
            </w:r>
          </w:p>
        </w:tc>
        <w:tc>
          <w:tcPr>
            <w:tcW w:w="5207" w:type="dxa"/>
            <w:tcBorders/>
            <w:vAlign w:val="center"/>
          </w:tcPr>
          <w:p>
            <w:pPr>
              <w:pStyle w:val="Contenidodelatabla"/>
              <w:spacing w:before="113" w:after="113"/>
              <w:rPr/>
            </w:pPr>
            <w:r>
              <w:rPr/>
              <w:t>Lic. María Ferrufino Quispe</w:t>
            </w:r>
          </w:p>
        </w:tc>
      </w:tr>
      <w:tr>
        <w:trPr/>
        <w:tc>
          <w:tcPr>
            <w:tcW w:w="1965" w:type="dxa"/>
            <w:tcBorders>
              <w:end w:val="single" w:sz="4" w:space="0" w:color="000000"/>
            </w:tcBorders>
            <w:vAlign w:val="center"/>
          </w:tcPr>
          <w:p>
            <w:pPr>
              <w:pStyle w:val="Contenidodelatabla"/>
              <w:spacing w:before="113" w:after="113"/>
              <w:rPr/>
            </w:pPr>
            <w:r>
              <w:rPr>
                <w:rStyle w:val="Strong"/>
              </w:rPr>
              <w:t>Cargo</w:t>
            </w:r>
          </w:p>
        </w:tc>
        <w:tc>
          <w:tcPr>
            <w:tcW w:w="5207" w:type="dxa"/>
            <w:tcBorders/>
            <w:vAlign w:val="center"/>
          </w:tcPr>
          <w:p>
            <w:pPr>
              <w:pStyle w:val="Contenidodelatabla"/>
              <w:spacing w:before="113" w:after="113"/>
              <w:rPr/>
            </w:pPr>
            <w:r>
              <w:rPr/>
              <w:t>Directora Administrativa</w:t>
            </w:r>
          </w:p>
        </w:tc>
      </w:tr>
      <w:tr>
        <w:trPr/>
        <w:tc>
          <w:tcPr>
            <w:tcW w:w="1965" w:type="dxa"/>
            <w:tcBorders>
              <w:end w:val="single" w:sz="4" w:space="0" w:color="000000"/>
            </w:tcBorders>
            <w:vAlign w:val="center"/>
          </w:tcPr>
          <w:p>
            <w:pPr>
              <w:pStyle w:val="Contenidodelatabla"/>
              <w:spacing w:before="113" w:after="113"/>
              <w:rPr/>
            </w:pPr>
            <w:r>
              <w:rPr>
                <w:rStyle w:val="Strong"/>
              </w:rPr>
              <w:t>Dirección</w:t>
            </w:r>
          </w:p>
        </w:tc>
        <w:tc>
          <w:tcPr>
            <w:tcW w:w="5207" w:type="dxa"/>
            <w:tcBorders/>
            <w:vAlign w:val="center"/>
          </w:tcPr>
          <w:p>
            <w:pPr>
              <w:pStyle w:val="Contenidodelatabla"/>
              <w:spacing w:before="113" w:after="113"/>
              <w:rPr/>
            </w:pPr>
            <w:r>
              <w:rPr/>
              <w:t>C. Bolívar, entre 1er y 2do anillo, Santa Cruz de la Sierra</w:t>
            </w:r>
          </w:p>
        </w:tc>
      </w:tr>
      <w:tr>
        <w:trPr/>
        <w:tc>
          <w:tcPr>
            <w:tcW w:w="1965" w:type="dxa"/>
            <w:tcBorders>
              <w:end w:val="single" w:sz="4" w:space="0" w:color="000000"/>
            </w:tcBorders>
            <w:vAlign w:val="center"/>
          </w:tcPr>
          <w:p>
            <w:pPr>
              <w:pStyle w:val="Contenidodelatabla"/>
              <w:spacing w:before="113" w:after="113"/>
              <w:rPr/>
            </w:pPr>
            <w:r>
              <w:rPr>
                <w:rStyle w:val="Strong"/>
              </w:rPr>
              <w:t>Modalidad</w:t>
            </w:r>
          </w:p>
        </w:tc>
        <w:tc>
          <w:tcPr>
            <w:tcW w:w="5207" w:type="dxa"/>
            <w:tcBorders/>
            <w:vAlign w:val="center"/>
          </w:tcPr>
          <w:p>
            <w:pPr>
              <w:pStyle w:val="Contenidodelatabla"/>
              <w:spacing w:before="113" w:after="113"/>
              <w:rPr/>
            </w:pPr>
            <w:r>
              <w:rPr/>
              <w:t>Presencial</w:t>
            </w:r>
          </w:p>
        </w:tc>
      </w:tr>
      <w:tr>
        <w:trPr/>
        <w:tc>
          <w:tcPr>
            <w:tcW w:w="1965" w:type="dxa"/>
            <w:tcBorders>
              <w:end w:val="single" w:sz="4" w:space="0" w:color="000000"/>
            </w:tcBorders>
            <w:vAlign w:val="center"/>
          </w:tcPr>
          <w:p>
            <w:pPr>
              <w:pStyle w:val="Contenidodelatabla"/>
              <w:spacing w:before="113" w:after="113"/>
              <w:rPr/>
            </w:pPr>
            <w:r>
              <w:rPr>
                <w:rStyle w:val="Strong"/>
              </w:rPr>
              <w:t>Entrevistadores</w:t>
            </w:r>
          </w:p>
        </w:tc>
        <w:tc>
          <w:tcPr>
            <w:tcW w:w="5207" w:type="dxa"/>
            <w:tcBorders/>
            <w:vAlign w:val="center"/>
          </w:tcPr>
          <w:p>
            <w:pPr>
              <w:pStyle w:val="Contenidodelatabla"/>
              <w:spacing w:before="113" w:after="113"/>
              <w:rPr/>
            </w:pPr>
            <w:r>
              <w:rPr/>
              <w:t>Nicol Guairaje, Eva Huarachi</w:t>
            </w:r>
          </w:p>
        </w:tc>
      </w:tr>
    </w:tbl>
    <w:p>
      <w:pPr>
        <w:pStyle w:val="BodyText"/>
        <w:ind w:hanging="0" w:start="643"/>
        <w:rPr/>
      </w:pPr>
      <w:r>
        <w:rPr>
          <w:rStyle w:val="Strong"/>
        </w:rPr>
        <w:t>Resumen de respuestas</w:t>
      </w:r>
    </w:p>
    <w:p>
      <w:pPr>
        <w:pStyle w:val="BodyText"/>
        <w:ind w:hanging="0" w:start="643"/>
        <w:rPr/>
      </w:pPr>
      <w:r>
        <w:rPr>
          <w:rStyle w:val="Strong"/>
        </w:rPr>
        <w:t>Datos institucionales:</w:t>
      </w:r>
      <w:r>
        <w:rPr/>
        <w:t> Hospital privado con orientación social, 120 camas. Consultas externas: 300–500/día; emergencias: 80–120/día. Una sede. Personal administrativo: 21 personas.</w:t>
      </w:r>
    </w:p>
    <w:p>
      <w:pPr>
        <w:pStyle w:val="BodyText"/>
        <w:widowControl/>
        <w:numPr>
          <w:ilvl w:val="0"/>
          <w:numId w:val="0"/>
        </w:numPr>
        <w:suppressAutoHyphens w:val="true"/>
        <w:overflowPunct w:val="false"/>
        <w:bidi w:val="0"/>
        <w:spacing w:lineRule="auto" w:line="360" w:before="142" w:after="142"/>
        <w:ind w:hanging="0" w:start="567" w:end="283"/>
        <w:jc w:val="start"/>
        <w:rPr/>
      </w:pPr>
      <w:r>
        <w:rPr>
          <w:rStyle w:val="Strong"/>
        </w:rPr>
        <w:t>Gestión actual:</w:t>
      </w:r>
      <w:r>
        <w:rPr/>
        <w:t> Mayoritariamente en papel. Solo facturación y admisión están informatizadas. Historia clínica física; expedientes de pacientes crónicos alcanzan 200–500 páginas.</w:t>
      </w:r>
    </w:p>
    <w:p>
      <w:pPr>
        <w:pStyle w:val="BodyText"/>
        <w:widowControl/>
        <w:numPr>
          <w:ilvl w:val="0"/>
          <w:numId w:val="0"/>
        </w:numPr>
        <w:suppressAutoHyphens w:val="true"/>
        <w:overflowPunct w:val="false"/>
        <w:bidi w:val="0"/>
        <w:spacing w:lineRule="auto" w:line="360" w:before="142" w:after="142"/>
        <w:ind w:hanging="0" w:start="567" w:end="283"/>
        <w:jc w:val="start"/>
        <w:rPr/>
      </w:pPr>
      <w:r>
        <w:rPr>
          <w:rStyle w:val="Strong"/>
        </w:rPr>
        <w:t>Búsqueda y tiempos:</w:t>
      </w:r>
      <w:r>
        <w:rPr/>
        <w:t> Índice manual por número de HC o apellido. Localización normal: 30–45 minutos; si el expediente está prestado, puede demorar horas.</w:t>
      </w:r>
    </w:p>
    <w:p>
      <w:pPr>
        <w:pStyle w:val="BodyText"/>
        <w:widowControl/>
        <w:numPr>
          <w:ilvl w:val="0"/>
          <w:numId w:val="0"/>
        </w:numPr>
        <w:suppressAutoHyphens w:val="true"/>
        <w:overflowPunct w:val="false"/>
        <w:bidi w:val="0"/>
        <w:spacing w:lineRule="auto" w:line="360" w:before="142" w:after="142"/>
        <w:ind w:hanging="0" w:start="567" w:end="283"/>
        <w:jc w:val="start"/>
        <w:rPr/>
      </w:pPr>
      <w:r>
        <w:rPr>
          <w:rStyle w:val="Strong"/>
        </w:rPr>
        <w:t>Problemas:</w:t>
      </w:r>
      <w:r>
        <w:rPr/>
        <w:t> Pérdida y deterioro por humedad, falta de control de préstamos, habilitaciones vencidas sin alerta, información aislada entre áreas, reclamos legales con expedientes incompletos.</w:t>
      </w:r>
    </w:p>
    <w:p>
      <w:pPr>
        <w:pStyle w:val="BodyText"/>
        <w:widowControl/>
        <w:numPr>
          <w:ilvl w:val="0"/>
          <w:numId w:val="0"/>
        </w:numPr>
        <w:suppressAutoHyphens w:val="true"/>
        <w:overflowPunct w:val="false"/>
        <w:bidi w:val="0"/>
        <w:spacing w:lineRule="auto" w:line="360" w:before="142" w:after="142"/>
        <w:ind w:hanging="0" w:start="567" w:end="283"/>
        <w:jc w:val="start"/>
        <w:rPr/>
      </w:pPr>
      <w:r>
        <w:rPr>
          <w:rStyle w:val="Strong"/>
        </w:rPr>
        <w:t>Expectativas:</w:t>
      </w:r>
      <w:r>
        <w:rPr/>
        <w:t> Historia clínica digital integrada, control de acceso, alertas de vencimiento, digitalización progresiva del archivo histórico. Dispuestos a coexistencia papel-digital. Factores clave: costo, capacitación, soporte local, transición gradual.</w:t>
      </w:r>
    </w:p>
    <w:p>
      <w:pPr>
        <w:pStyle w:val="BodyText"/>
        <w:widowControl/>
        <w:numPr>
          <w:ilvl w:val="0"/>
          <w:numId w:val="0"/>
        </w:numPr>
        <w:suppressAutoHyphens w:val="true"/>
        <w:overflowPunct w:val="false"/>
        <w:bidi w:val="0"/>
        <w:spacing w:lineRule="auto" w:line="360" w:before="142" w:after="142"/>
        <w:ind w:hanging="0" w:start="567" w:end="283"/>
        <w:jc w:val="start"/>
        <w:rPr>
          <w:b/>
          <w:bCs/>
        </w:rPr>
      </w:pPr>
      <w:r>
        <w:rPr>
          <w:b/>
          <w:bCs/>
        </w:rPr>
        <w:t>Entrevista 3 – Hospital Francés</w:t>
      </w:r>
    </w:p>
    <w:tbl>
      <w:tblPr>
        <w:tblW w:w="5793" w:type="dxa"/>
        <w:jc w:val="start"/>
        <w:tblInd w:w="639" w:type="dxa"/>
        <w:tblLayout w:type="fixed"/>
        <w:tblCellMar>
          <w:top w:w="55" w:type="dxa"/>
          <w:start w:w="55" w:type="dxa"/>
          <w:bottom w:w="150" w:type="dxa"/>
          <w:end w:w="55" w:type="dxa"/>
        </w:tblCellMar>
      </w:tblPr>
      <w:tblGrid>
        <w:gridCol w:w="1545"/>
        <w:gridCol w:w="4248"/>
      </w:tblGrid>
      <w:tr>
        <w:trPr>
          <w:tblHeader w:val="true"/>
        </w:trPr>
        <w:tc>
          <w:tcPr>
            <w:tcW w:w="1545" w:type="dxa"/>
            <w:tcBorders>
              <w:bottom w:val="single" w:sz="4" w:space="0" w:color="000000"/>
              <w:end w:val="single" w:sz="4" w:space="0" w:color="000000"/>
            </w:tcBorders>
            <w:vAlign w:val="center"/>
          </w:tcPr>
          <w:p>
            <w:pPr>
              <w:pStyle w:val="Ttulodelatabla"/>
              <w:spacing w:before="113" w:after="113"/>
              <w:rPr/>
            </w:pPr>
            <w:r>
              <w:rPr/>
              <w:t>Campo</w:t>
            </w:r>
          </w:p>
        </w:tc>
        <w:tc>
          <w:tcPr>
            <w:tcW w:w="4248" w:type="dxa"/>
            <w:tcBorders>
              <w:bottom w:val="single" w:sz="4" w:space="0" w:color="000000"/>
            </w:tcBorders>
            <w:vAlign w:val="center"/>
          </w:tcPr>
          <w:p>
            <w:pPr>
              <w:pStyle w:val="Ttulodelatabla"/>
              <w:spacing w:before="113" w:after="113"/>
              <w:rPr/>
            </w:pPr>
            <w:r>
              <w:rPr/>
              <w:t>Detalle</w:t>
            </w:r>
          </w:p>
        </w:tc>
      </w:tr>
      <w:tr>
        <w:trPr/>
        <w:tc>
          <w:tcPr>
            <w:tcW w:w="1545" w:type="dxa"/>
            <w:tcBorders>
              <w:end w:val="single" w:sz="4" w:space="0" w:color="000000"/>
            </w:tcBorders>
            <w:vAlign w:val="center"/>
          </w:tcPr>
          <w:p>
            <w:pPr>
              <w:pStyle w:val="Contenidodelatabla"/>
              <w:spacing w:before="113" w:after="113"/>
              <w:rPr/>
            </w:pPr>
            <w:r>
              <w:rPr>
                <w:rStyle w:val="Strong"/>
              </w:rPr>
              <w:t>Fecha</w:t>
            </w:r>
          </w:p>
        </w:tc>
        <w:tc>
          <w:tcPr>
            <w:tcW w:w="4248" w:type="dxa"/>
            <w:tcBorders/>
            <w:vAlign w:val="center"/>
          </w:tcPr>
          <w:p>
            <w:pPr>
              <w:pStyle w:val="Contenidodelatabla"/>
              <w:spacing w:before="113" w:after="113"/>
              <w:rPr/>
            </w:pPr>
            <w:r>
              <w:rPr/>
              <w:t>18 de marzo de 2026</w:t>
            </w:r>
          </w:p>
        </w:tc>
      </w:tr>
      <w:tr>
        <w:trPr/>
        <w:tc>
          <w:tcPr>
            <w:tcW w:w="1545" w:type="dxa"/>
            <w:tcBorders>
              <w:end w:val="single" w:sz="4" w:space="0" w:color="000000"/>
            </w:tcBorders>
            <w:vAlign w:val="center"/>
          </w:tcPr>
          <w:p>
            <w:pPr>
              <w:pStyle w:val="Contenidodelatabla"/>
              <w:spacing w:before="113" w:after="113"/>
              <w:rPr/>
            </w:pPr>
            <w:r>
              <w:rPr>
                <w:rStyle w:val="Strong"/>
              </w:rPr>
              <w:t>Institución</w:t>
            </w:r>
          </w:p>
        </w:tc>
        <w:tc>
          <w:tcPr>
            <w:tcW w:w="4248" w:type="dxa"/>
            <w:tcBorders/>
            <w:vAlign w:val="center"/>
          </w:tcPr>
          <w:p>
            <w:pPr>
              <w:pStyle w:val="Contenidodelatabla"/>
              <w:spacing w:before="113" w:after="113"/>
              <w:rPr/>
            </w:pPr>
            <w:r>
              <w:rPr/>
              <w:t>Hospital Francés</w:t>
            </w:r>
          </w:p>
        </w:tc>
      </w:tr>
      <w:tr>
        <w:trPr/>
        <w:tc>
          <w:tcPr>
            <w:tcW w:w="1545" w:type="dxa"/>
            <w:tcBorders>
              <w:end w:val="single" w:sz="4" w:space="0" w:color="000000"/>
            </w:tcBorders>
            <w:vAlign w:val="center"/>
          </w:tcPr>
          <w:p>
            <w:pPr>
              <w:pStyle w:val="Contenidodelatabla"/>
              <w:spacing w:before="113" w:after="113"/>
              <w:rPr/>
            </w:pPr>
            <w:r>
              <w:rPr>
                <w:rStyle w:val="Strong"/>
              </w:rPr>
              <w:t>Entrevistado</w:t>
            </w:r>
          </w:p>
        </w:tc>
        <w:tc>
          <w:tcPr>
            <w:tcW w:w="4248" w:type="dxa"/>
            <w:tcBorders/>
            <w:vAlign w:val="center"/>
          </w:tcPr>
          <w:p>
            <w:pPr>
              <w:pStyle w:val="Contenidodelatabla"/>
              <w:spacing w:before="113" w:after="113"/>
              <w:rPr/>
            </w:pPr>
            <w:r>
              <w:rPr/>
              <w:t>Lic. Pedro Montaño Salinas</w:t>
            </w:r>
          </w:p>
        </w:tc>
      </w:tr>
      <w:tr>
        <w:trPr/>
        <w:tc>
          <w:tcPr>
            <w:tcW w:w="1545" w:type="dxa"/>
            <w:tcBorders>
              <w:end w:val="single" w:sz="4" w:space="0" w:color="000000"/>
            </w:tcBorders>
            <w:vAlign w:val="center"/>
          </w:tcPr>
          <w:p>
            <w:pPr>
              <w:pStyle w:val="Contenidodelatabla"/>
              <w:spacing w:before="113" w:after="113"/>
              <w:rPr/>
            </w:pPr>
            <w:r>
              <w:rPr>
                <w:rStyle w:val="Strong"/>
              </w:rPr>
              <w:t>Cargo</w:t>
            </w:r>
          </w:p>
        </w:tc>
        <w:tc>
          <w:tcPr>
            <w:tcW w:w="4248" w:type="dxa"/>
            <w:tcBorders/>
            <w:vAlign w:val="center"/>
          </w:tcPr>
          <w:p>
            <w:pPr>
              <w:pStyle w:val="Contenidodelatabla"/>
              <w:spacing w:before="113" w:after="113"/>
              <w:rPr/>
            </w:pPr>
            <w:r>
              <w:rPr/>
              <w:t>Jefe de Archivo Clínico</w:t>
            </w:r>
          </w:p>
        </w:tc>
      </w:tr>
      <w:tr>
        <w:trPr/>
        <w:tc>
          <w:tcPr>
            <w:tcW w:w="1545" w:type="dxa"/>
            <w:tcBorders>
              <w:end w:val="single" w:sz="4" w:space="0" w:color="000000"/>
            </w:tcBorders>
            <w:vAlign w:val="center"/>
          </w:tcPr>
          <w:p>
            <w:pPr>
              <w:pStyle w:val="Contenidodelatabla"/>
              <w:spacing w:before="113" w:after="113"/>
              <w:rPr/>
            </w:pPr>
            <w:r>
              <w:rPr>
                <w:rStyle w:val="Strong"/>
              </w:rPr>
              <w:t>Dirección</w:t>
            </w:r>
          </w:p>
        </w:tc>
        <w:tc>
          <w:tcPr>
            <w:tcW w:w="4248" w:type="dxa"/>
            <w:tcBorders/>
            <w:vAlign w:val="center"/>
          </w:tcPr>
          <w:p>
            <w:pPr>
              <w:pStyle w:val="Contenidodelatabla"/>
              <w:spacing w:before="113" w:after="113"/>
              <w:rPr/>
            </w:pPr>
            <w:r>
              <w:rPr/>
              <w:t>Av. Irala, 2do anillo, Santa Cruz de la Sierra</w:t>
            </w:r>
          </w:p>
        </w:tc>
      </w:tr>
      <w:tr>
        <w:trPr/>
        <w:tc>
          <w:tcPr>
            <w:tcW w:w="1545" w:type="dxa"/>
            <w:tcBorders>
              <w:end w:val="single" w:sz="4" w:space="0" w:color="000000"/>
            </w:tcBorders>
            <w:vAlign w:val="center"/>
          </w:tcPr>
          <w:p>
            <w:pPr>
              <w:pStyle w:val="Contenidodelatabla"/>
              <w:spacing w:before="113" w:after="113"/>
              <w:rPr/>
            </w:pPr>
            <w:r>
              <w:rPr>
                <w:rStyle w:val="Strong"/>
              </w:rPr>
              <w:t>Modalidad</w:t>
            </w:r>
          </w:p>
        </w:tc>
        <w:tc>
          <w:tcPr>
            <w:tcW w:w="4248" w:type="dxa"/>
            <w:tcBorders/>
            <w:vAlign w:val="center"/>
          </w:tcPr>
          <w:p>
            <w:pPr>
              <w:pStyle w:val="Contenidodelatabla"/>
              <w:spacing w:before="113" w:after="113"/>
              <w:rPr/>
            </w:pPr>
            <w:r>
              <w:rPr/>
              <w:t>Presencial</w:t>
            </w:r>
          </w:p>
        </w:tc>
      </w:tr>
      <w:tr>
        <w:trPr/>
        <w:tc>
          <w:tcPr>
            <w:tcW w:w="1545" w:type="dxa"/>
            <w:tcBorders>
              <w:end w:val="single" w:sz="4" w:space="0" w:color="000000"/>
            </w:tcBorders>
            <w:vAlign w:val="center"/>
          </w:tcPr>
          <w:p>
            <w:pPr>
              <w:pStyle w:val="Contenidodelatabla"/>
              <w:spacing w:before="113" w:after="113"/>
              <w:rPr/>
            </w:pPr>
            <w:r>
              <w:rPr>
                <w:rStyle w:val="Strong"/>
              </w:rPr>
              <w:t>Entrevistadores</w:t>
            </w:r>
          </w:p>
        </w:tc>
        <w:tc>
          <w:tcPr>
            <w:tcW w:w="4248" w:type="dxa"/>
            <w:tcBorders/>
            <w:vAlign w:val="center"/>
          </w:tcPr>
          <w:p>
            <w:pPr>
              <w:pStyle w:val="Contenidodelatabla"/>
              <w:spacing w:before="113" w:after="113"/>
              <w:rPr/>
            </w:pPr>
            <w:r>
              <w:rPr/>
              <w:t>Evert Rodriguez, Douglas Rojas</w:t>
            </w:r>
          </w:p>
        </w:tc>
      </w:tr>
    </w:tbl>
    <w:p>
      <w:pPr>
        <w:pStyle w:val="BodyText"/>
        <w:ind w:hanging="0" w:start="643"/>
        <w:rPr/>
      </w:pPr>
      <w:r>
        <w:rPr>
          <w:rStyle w:val="Strong"/>
        </w:rPr>
        <w:t>Resumen de respuestas</w:t>
      </w:r>
    </w:p>
    <w:p>
      <w:pPr>
        <w:pStyle w:val="BodyText"/>
        <w:numPr>
          <w:ilvl w:val="0"/>
          <w:numId w:val="0"/>
        </w:numPr>
        <w:ind w:hanging="0" w:start="643"/>
        <w:rPr/>
      </w:pPr>
      <w:r>
        <w:rPr>
          <w:rStyle w:val="Strong"/>
        </w:rPr>
        <w:t>Datos institucionales:</w:t>
      </w:r>
      <w:r>
        <w:rPr/>
        <w:t> Clínica privada con consulta externa, cirugía ambulatoria, maternidad. 200–250 pacientes nuevos/mes, más de 1500 atenciones totales al mes. Una sede. Personal administrativo y de archivo: 12 personas.</w:t>
      </w:r>
    </w:p>
    <w:p>
      <w:pPr>
        <w:pStyle w:val="BodyText"/>
        <w:numPr>
          <w:ilvl w:val="0"/>
          <w:numId w:val="0"/>
        </w:numPr>
        <w:ind w:hanging="0" w:start="643"/>
        <w:rPr/>
      </w:pPr>
      <w:r>
        <w:rPr>
          <w:rStyle w:val="Strong"/>
        </w:rPr>
        <w:t>Gestión actual:</w:t>
      </w:r>
      <w:r>
        <w:rPr/>
        <w:t> 90% en papel; 10% digital informal (WhatsApp, correo). Sistemas de facturación y citas sin integración clínica. Historia clínica 100% física.</w:t>
      </w:r>
    </w:p>
    <w:p>
      <w:pPr>
        <w:pStyle w:val="BodyText"/>
        <w:numPr>
          <w:ilvl w:val="0"/>
          <w:numId w:val="0"/>
        </w:numPr>
        <w:ind w:hanging="0" w:start="643"/>
        <w:rPr/>
      </w:pPr>
      <w:r>
        <w:rPr>
          <w:rStyle w:val="Strong"/>
        </w:rPr>
        <w:t>Búsqueda y tiempos:</w:t>
      </w:r>
      <w:r>
        <w:rPr/>
        <w:t> Fichero manual alfabético y por número de HC. En horario laboral: 20–40 minutos. Fuera de horario: 3–4 horas.</w:t>
      </w:r>
    </w:p>
    <w:p>
      <w:pPr>
        <w:pStyle w:val="BodyText"/>
        <w:numPr>
          <w:ilvl w:val="0"/>
          <w:numId w:val="0"/>
        </w:numPr>
        <w:ind w:hanging="0" w:start="643"/>
        <w:rPr/>
      </w:pPr>
      <w:r>
        <w:rPr>
          <w:rStyle w:val="Strong"/>
        </w:rPr>
        <w:t>Problemas:</w:t>
      </w:r>
      <w:r>
        <w:rPr/>
        <w:t> Extravío frecuente de expedientes llevados por médicos sin registro, deterioro por humedad, control de acceso inexistente, documentos vencidos (consentimientos, habilitaciones), nula integración con otras instituciones, reclamos por falta de consentimientos.</w:t>
      </w:r>
    </w:p>
    <w:p>
      <w:pPr>
        <w:pStyle w:val="BodyText"/>
        <w:numPr>
          <w:ilvl w:val="0"/>
          <w:numId w:val="0"/>
        </w:numPr>
        <w:ind w:hanging="0" w:start="643"/>
        <w:rPr/>
      </w:pPr>
      <w:r>
        <w:rPr>
          <w:rStyle w:val="Strong"/>
        </w:rPr>
        <w:t>Expectativas:</w:t>
      </w:r>
      <w:r>
        <w:rPr/>
        <w:t> Historial digital inmediato, registro de accesos, alertas de vencimiento, interfaz basada en texto (no solo íconos). Dispuestos a coexistencia papel-digital. Factores clave: costo, capacitación, soporte continuo, implementación progresiva.</w:t>
      </w:r>
    </w:p>
    <w:p>
      <w:pPr>
        <w:pStyle w:val="Heading2"/>
        <w:keepNext w:val="true"/>
        <w:widowControl/>
        <w:numPr>
          <w:ilvl w:val="1"/>
          <w:numId w:val="10"/>
        </w:numPr>
        <w:suppressAutoHyphens w:val="true"/>
        <w:overflowPunct w:val="false"/>
        <w:bidi w:val="0"/>
        <w:spacing w:lineRule="auto" w:line="360" w:before="0" w:after="142"/>
        <w:ind w:hanging="170" w:start="567" w:end="283"/>
        <w:jc w:val="start"/>
        <w:rPr/>
      </w:pPr>
      <w:bookmarkStart w:id="64" w:name="__RefHeading___Toc11028_371365040"/>
      <w:bookmarkEnd w:id="64"/>
      <w:r>
        <w:rPr/>
        <w:t>Documentación rescatada</w:t>
      </w:r>
    </w:p>
    <w:p>
      <w:pPr>
        <w:pStyle w:val="Normal"/>
        <w:jc w:val="center"/>
        <w:rPr/>
      </w:pPr>
      <w:r>
        <w:rPr/>
        <w:drawing>
          <wp:inline distT="0" distB="0" distL="0" distR="0">
            <wp:extent cx="5395595" cy="7193915"/>
            <wp:effectExtent l="0" t="0" r="0" b="0"/>
            <wp:docPr id="3" name="Imagen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8"/>
                    <pic:cNvPicPr>
                      <a:picLocks noChangeAspect="1" noChangeArrowheads="1"/>
                    </pic:cNvPicPr>
                  </pic:nvPicPr>
                  <pic:blipFill>
                    <a:blip r:embed="rId17"/>
                    <a:stretch>
                      <a:fillRect/>
                    </a:stretch>
                  </pic:blipFill>
                  <pic:spPr bwMode="auto">
                    <a:xfrm>
                      <a:off x="0" y="0"/>
                      <a:ext cx="5395595" cy="7193915"/>
                    </a:xfrm>
                    <a:prstGeom prst="rect">
                      <a:avLst/>
                    </a:prstGeom>
                    <a:noFill/>
                  </pic:spPr>
                </pic:pic>
              </a:graphicData>
            </a:graphic>
          </wp:inline>
        </w:drawing>
      </w:r>
    </w:p>
    <w:p>
      <w:pPr>
        <w:pStyle w:val="Normal"/>
        <w:jc w:val="center"/>
        <w:rPr/>
      </w:pPr>
      <w:r>
        <w:rPr/>
        <w:drawing>
          <wp:inline distT="0" distB="0" distL="0" distR="0">
            <wp:extent cx="5411470" cy="4058285"/>
            <wp:effectExtent l="0" t="0" r="0" b="0"/>
            <wp:docPr id="4" name="Imagen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9"/>
                    <pic:cNvPicPr>
                      <a:picLocks noChangeAspect="1" noChangeArrowheads="1"/>
                    </pic:cNvPicPr>
                  </pic:nvPicPr>
                  <pic:blipFill>
                    <a:blip r:embed="rId18"/>
                    <a:stretch>
                      <a:fillRect/>
                    </a:stretch>
                  </pic:blipFill>
                  <pic:spPr bwMode="auto">
                    <a:xfrm>
                      <a:off x="0" y="0"/>
                      <a:ext cx="5411470" cy="4058285"/>
                    </a:xfrm>
                    <a:prstGeom prst="rect">
                      <a:avLst/>
                    </a:prstGeom>
                    <a:noFill/>
                  </pic:spPr>
                </pic:pic>
              </a:graphicData>
            </a:graphic>
          </wp:inline>
        </w:drawing>
      </w:r>
    </w:p>
    <w:p>
      <w:pPr>
        <w:pStyle w:val="Normal"/>
        <w:jc w:val="center"/>
        <w:rPr/>
      </w:pPr>
      <w:r>
        <w:rPr/>
        <w:drawing>
          <wp:inline distT="0" distB="0" distL="0" distR="0">
            <wp:extent cx="6132830" cy="4064635"/>
            <wp:effectExtent l="0" t="0" r="0" b="0"/>
            <wp:docPr id="5" name="Imag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1"/>
                    <pic:cNvPicPr>
                      <a:picLocks noChangeAspect="1" noChangeArrowheads="1"/>
                    </pic:cNvPicPr>
                  </pic:nvPicPr>
                  <pic:blipFill>
                    <a:blip r:embed="rId19"/>
                    <a:stretch>
                      <a:fillRect/>
                    </a:stretch>
                  </pic:blipFill>
                  <pic:spPr bwMode="auto">
                    <a:xfrm>
                      <a:off x="0" y="0"/>
                      <a:ext cx="6132830" cy="4064635"/>
                    </a:xfrm>
                    <a:prstGeom prst="rect">
                      <a:avLst/>
                    </a:prstGeom>
                    <a:noFill/>
                  </pic:spPr>
                </pic:pic>
              </a:graphicData>
            </a:graphic>
          </wp:inline>
        </w:drawing>
      </w:r>
    </w:p>
    <w:p>
      <w:pPr>
        <w:pStyle w:val="BodyText"/>
        <w:jc w:val="center"/>
        <w:rPr/>
      </w:pPr>
      <w:r>
        <w:rPr/>
        <w:drawing>
          <wp:inline distT="0" distB="0" distL="0" distR="0">
            <wp:extent cx="4943475" cy="6657975"/>
            <wp:effectExtent l="0" t="0" r="0" b="0"/>
            <wp:docPr id="6" name="Image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2"/>
                    <pic:cNvPicPr>
                      <a:picLocks noChangeAspect="1" noChangeArrowheads="1"/>
                    </pic:cNvPicPr>
                  </pic:nvPicPr>
                  <pic:blipFill>
                    <a:blip r:embed="rId20"/>
                    <a:stretch>
                      <a:fillRect/>
                    </a:stretch>
                  </pic:blipFill>
                  <pic:spPr bwMode="auto">
                    <a:xfrm>
                      <a:off x="0" y="0"/>
                      <a:ext cx="4943475" cy="6657975"/>
                    </a:xfrm>
                    <a:prstGeom prst="rect">
                      <a:avLst/>
                    </a:prstGeom>
                    <a:noFill/>
                  </pic:spPr>
                </pic:pic>
              </a:graphicData>
            </a:graphic>
          </wp:inline>
        </w:drawing>
      </w:r>
    </w:p>
    <w:p>
      <w:pPr>
        <w:pStyle w:val="BodyText"/>
        <w:jc w:val="center"/>
        <w:rPr/>
      </w:pPr>
      <w:r>
        <w:rPr/>
        <w:drawing>
          <wp:inline distT="0" distB="0" distL="0" distR="0">
            <wp:extent cx="4943475" cy="6657975"/>
            <wp:effectExtent l="0" t="0" r="0" b="0"/>
            <wp:docPr id="7" name="Imagen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3"/>
                    <pic:cNvPicPr>
                      <a:picLocks noChangeAspect="1" noChangeArrowheads="1"/>
                    </pic:cNvPicPr>
                  </pic:nvPicPr>
                  <pic:blipFill>
                    <a:blip r:embed="rId21"/>
                    <a:stretch>
                      <a:fillRect/>
                    </a:stretch>
                  </pic:blipFill>
                  <pic:spPr bwMode="auto">
                    <a:xfrm>
                      <a:off x="0" y="0"/>
                      <a:ext cx="4943475" cy="6657975"/>
                    </a:xfrm>
                    <a:prstGeom prst="rect">
                      <a:avLst/>
                    </a:prstGeom>
                    <a:noFill/>
                  </pic:spPr>
                </pic:pic>
              </a:graphicData>
            </a:graphic>
          </wp:inline>
        </w:drawing>
      </w:r>
    </w:p>
    <w:p>
      <w:pPr>
        <w:pStyle w:val="Heading2"/>
        <w:keepNext w:val="true"/>
        <w:widowControl/>
        <w:numPr>
          <w:ilvl w:val="1"/>
          <w:numId w:val="10"/>
        </w:numPr>
        <w:suppressAutoHyphens w:val="true"/>
        <w:overflowPunct w:val="false"/>
        <w:bidi w:val="0"/>
        <w:spacing w:lineRule="auto" w:line="360" w:before="0" w:after="142"/>
        <w:ind w:hanging="170" w:start="567" w:end="283"/>
        <w:jc w:val="start"/>
        <w:rPr/>
      </w:pPr>
      <w:bookmarkStart w:id="65" w:name="__RefHeading___Toc381_2145611124"/>
      <w:bookmarkEnd w:id="65"/>
      <w:r>
        <w:rPr/>
        <w:t>Diapositivas</w:t>
      </w:r>
    </w:p>
    <w:p>
      <w:pPr>
        <w:pStyle w:val="BodyText"/>
        <w:rPr/>
      </w:pPr>
      <w:r>
        <w:rPr/>
        <w:t xml:space="preserve">En </w:t>
      </w:r>
      <w:r>
        <w:rPr/>
        <w:t>el repositorio</w:t>
      </w:r>
      <w:r>
        <w:rPr/>
        <w:t xml:space="preserve"> </w:t>
      </w:r>
      <w:r>
        <w:rPr/>
        <w:t>del QR</w:t>
      </w:r>
    </w:p>
    <w:p>
      <w:pPr>
        <w:pStyle w:val="Heading2"/>
        <w:keepNext w:val="true"/>
        <w:widowControl/>
        <w:numPr>
          <w:ilvl w:val="1"/>
          <w:numId w:val="10"/>
        </w:numPr>
        <w:suppressAutoHyphens w:val="true"/>
        <w:overflowPunct w:val="false"/>
        <w:bidi w:val="0"/>
        <w:spacing w:lineRule="auto" w:line="360" w:before="0" w:after="142"/>
        <w:ind w:hanging="170" w:start="553" w:end="283"/>
        <w:jc w:val="start"/>
        <w:rPr/>
      </w:pPr>
      <w:bookmarkStart w:id="66" w:name="__RefHeading___Toc381_2145611124_Copia_1"/>
      <w:bookmarkEnd w:id="66"/>
      <w:r>
        <w:rPr/>
        <w:t>Equipo de trabajo</w:t>
      </w:r>
    </w:p>
    <w:p>
      <w:pPr>
        <w:pStyle w:val="Normal"/>
        <w:jc w:val="center"/>
        <w:rPr/>
      </w:pPr>
      <w:r>
        <w:rPr/>
        <w:drawing>
          <wp:inline distT="0" distB="0" distL="0" distR="0">
            <wp:extent cx="5506085" cy="7734935"/>
            <wp:effectExtent l="0" t="0" r="0" b="0"/>
            <wp:docPr id="8" name="Imagen4 Cop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4 Copia 1"/>
                    <pic:cNvPicPr>
                      <a:picLocks noChangeAspect="1" noChangeArrowheads="1"/>
                    </pic:cNvPicPr>
                  </pic:nvPicPr>
                  <pic:blipFill>
                    <a:blip r:embed="rId22"/>
                    <a:stretch>
                      <a:fillRect/>
                    </a:stretch>
                  </pic:blipFill>
                  <pic:spPr bwMode="auto">
                    <a:xfrm>
                      <a:off x="0" y="0"/>
                      <a:ext cx="5506085" cy="7734935"/>
                    </a:xfrm>
                    <a:prstGeom prst="rect">
                      <a:avLst/>
                    </a:prstGeom>
                    <a:noFill/>
                  </pic:spPr>
                </pic:pic>
              </a:graphicData>
            </a:graphic>
          </wp:inline>
        </w:drawing>
      </w:r>
    </w:p>
    <w:p>
      <w:pPr>
        <w:pStyle w:val="Normal"/>
        <w:jc w:val="center"/>
        <w:rPr/>
      </w:pPr>
      <w:r>
        <w:rPr/>
        <w:drawing>
          <wp:inline distT="0" distB="0" distL="0" distR="0">
            <wp:extent cx="5916295" cy="7661275"/>
            <wp:effectExtent l="0" t="0" r="0" b="0"/>
            <wp:docPr id="9" name="Imagen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5"/>
                    <pic:cNvPicPr>
                      <a:picLocks noChangeAspect="1" noChangeArrowheads="1"/>
                    </pic:cNvPicPr>
                  </pic:nvPicPr>
                  <pic:blipFill>
                    <a:blip r:embed="rId23"/>
                    <a:stretch>
                      <a:fillRect/>
                    </a:stretch>
                  </pic:blipFill>
                  <pic:spPr bwMode="auto">
                    <a:xfrm>
                      <a:off x="0" y="0"/>
                      <a:ext cx="5916295" cy="7661275"/>
                    </a:xfrm>
                    <a:prstGeom prst="rect">
                      <a:avLst/>
                    </a:prstGeom>
                    <a:noFill/>
                  </pic:spPr>
                </pic:pic>
              </a:graphicData>
            </a:graphic>
          </wp:inline>
        </w:drawing>
      </w:r>
      <w:r>
        <w:br w:type="page"/>
      </w:r>
    </w:p>
    <w:p>
      <w:pPr>
        <w:pStyle w:val="Heading2"/>
        <w:keepNext w:val="true"/>
        <w:widowControl/>
        <w:numPr>
          <w:ilvl w:val="1"/>
          <w:numId w:val="10"/>
        </w:numPr>
        <w:suppressAutoHyphens w:val="true"/>
        <w:overflowPunct w:val="false"/>
        <w:bidi w:val="0"/>
        <w:spacing w:lineRule="auto" w:line="360" w:before="0" w:after="142"/>
        <w:ind w:hanging="170" w:start="553" w:end="283"/>
        <w:jc w:val="start"/>
        <w:rPr/>
      </w:pPr>
      <w:bookmarkStart w:id="67" w:name="__RefHeading___Toc11030_371365040"/>
      <w:bookmarkEnd w:id="67"/>
      <w:r>
        <w:rPr/>
        <w:t>QR del repositorio del grupo</w:t>
      </w:r>
    </w:p>
    <w:p>
      <w:pPr>
        <w:pStyle w:val="BodyText"/>
        <w:spacing w:before="142" w:after="142"/>
        <w:rPr/>
      </w:pPr>
      <w:r>
        <w:rPr/>
        <w:drawing>
          <wp:inline distT="0" distB="0" distL="0" distR="0">
            <wp:extent cx="5505450" cy="7003415"/>
            <wp:effectExtent l="0" t="0" r="0" b="0"/>
            <wp:docPr id="10" name="Imagen6" title="Vista previa del código Q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6" title="Vista previa del código QR"/>
                    <pic:cNvPicPr>
                      <a:picLocks noChangeAspect="1" noChangeArrowheads="1"/>
                    </pic:cNvPicPr>
                  </pic:nvPicPr>
                  <pic:blipFill>
                    <a:blip r:embed="rId24">
                      <a:extLst>
                        <a:ext uri="{96DAC541-7B7A-43D3-8B79-37D633B846F1}">
                          <asvg:svgBlip xmlns:asvg="http://schemas.microsoft.com/office/drawing/2016/SVG/main" r:embed="rId25"/>
                        </a:ext>
                      </a:extLst>
                    </a:blip>
                    <a:stretch>
                      <a:fillRect/>
                    </a:stretch>
                  </pic:blipFill>
                  <pic:spPr bwMode="auto">
                    <a:xfrm>
                      <a:off x="0" y="0"/>
                      <a:ext cx="5505450" cy="7003415"/>
                    </a:xfrm>
                    <a:prstGeom prst="rect">
                      <a:avLst/>
                    </a:prstGeom>
                    <a:noFill/>
                  </pic:spPr>
                </pic:pic>
              </a:graphicData>
            </a:graphic>
          </wp:inline>
        </w:drawing>
      </w:r>
    </w:p>
    <w:sectPr>
      <w:type w:val="nextPage"/>
      <w:pgSz w:w="12240" w:h="15840"/>
      <w:pgMar w:left="866" w:right="866" w:gutter="850" w:header="0" w:top="866" w:footer="0" w:bottom="866"/>
      <w:pgBorders w:display="allPages" w:offsetFrom="text">
        <w:top w:val="single" w:sz="6" w:space="14" w:color="000000"/>
        <w:left w:val="single" w:sz="6" w:space="14" w:color="000000"/>
        <w:bottom w:val="single" w:sz="6" w:space="14" w:color="000000"/>
        <w:right w:val="single" w:sz="6" w:space="14" w:color="000000"/>
      </w:pgBorders>
      <w:pgNumType w:start="1"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IBM Plex Serif">
    <w:charset w:val="01" w:characterSet="utf-8"/>
    <w:family w:val="roman"/>
    <w:pitch w:val="variable"/>
  </w:font>
  <w:font w:name="OpenSymbol">
    <w:altName w:val="Arial Unicode MS"/>
    <w:charset w:val="01" w:characterSet="utf-8"/>
    <w:family w:val="roman"/>
    <w:pitch w:val="variable"/>
  </w:font>
  <w:font w:name="Liberation Mono">
    <w:altName w:val="Courier New"/>
    <w:charset w:val="01" w:characterSet="utf-8"/>
    <w:family w:val="roman"/>
    <w:pitch w:val="variable"/>
  </w:font>
  <w:font w:name="Liberation Sans">
    <w:altName w:val="Arial"/>
    <w:charset w:val="01" w:characterSet="utf-8"/>
    <w:family w:val="swiss"/>
    <w:pitch w:val="variable"/>
  </w:font>
  <w:font w:name="IBM Plex Mono">
    <w:charset w:val="01" w:characterSet="utf-8"/>
    <w:family w:val="roman"/>
    <w:pitch w:val="variable"/>
  </w:font>
  <w:font w:name="Noto Sans Devanagari">
    <w:charset w:val="01" w:characterSet="utf-8"/>
    <w:family w:val="roman"/>
    <w:pitch w:val="variable"/>
  </w:font>
  <w:font w:name="quote-cjk-patch">
    <w:altName w:val="Inter"/>
    <w:charset w:val="01" w:characterSet="utf-8"/>
    <w:family w:val="auto"/>
    <w:pitch w:val="default"/>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b/>
        <w:bCs/>
      </w:rPr>
    </w:pPr>
    <w:r>
      <w:rPr>
        <w:b/>
        <w:bCs/>
      </w:rPr>
      <w:t>Santa Cruz – Bolivia</w:t>
    </w:r>
  </w:p>
  <w:p>
    <w:pPr>
      <w:pStyle w:val="Footer"/>
      <w:jc w:val="center"/>
      <w:rPr>
        <w:b/>
        <w:bCs/>
      </w:rPr>
    </w:pPr>
    <w:r>
      <w:rPr>
        <w:b/>
        <w:bCs/>
      </w:rPr>
      <w:t>30/03/2026</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b/>
        <w:bCs/>
      </w:rPr>
    </w:pPr>
    <w:r>
      <w:rPr>
        <w:b/>
        <w:bCs/>
      </w:rPr>
      <w:t>Santa Cruz – Bolivia</w:t>
    </w:r>
  </w:p>
  <w:p>
    <w:pPr>
      <w:pStyle w:val="Footer"/>
      <w:jc w:val="center"/>
      <w:rPr>
        <w:b/>
        <w:bCs/>
      </w:rPr>
    </w:pPr>
    <w:r>
      <w:rPr>
        <w:b/>
        <w:bCs/>
      </w:rPr>
      <w:t>30/03/2026</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fldChar w:fldCharType="begin"/>
    </w:r>
    <w:r>
      <w:rPr/>
      <w:instrText xml:space="preserve"> PAGE </w:instrText>
    </w:r>
    <w:r>
      <w:rPr/>
      <w:fldChar w:fldCharType="separate"/>
    </w:r>
    <w:r>
      <w:rPr/>
      <w:t>31</w:t>
    </w:r>
    <w:r>
      <w:rPr/>
      <w:fldChar w:fldCharType="end"/>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none"/>
      <w:suff w:val="nothing"/>
      <w:lvlText w:val="%1"/>
      <w:lvlJc w:val="start"/>
      <w:pPr>
        <w:tabs>
          <w:tab w:val="num" w:pos="0"/>
        </w:tabs>
        <w:ind w:start="0" w:hanging="0"/>
      </w:pPr>
      <w:rPr/>
    </w:lvl>
    <w:lvl w:ilvl="1">
      <w:start w:val="1"/>
      <w:numFmt w:val="none"/>
      <w:suff w:val="nothing"/>
      <w:lvlText w:val="%2"/>
      <w:lvlJc w:val="start"/>
      <w:pPr>
        <w:tabs>
          <w:tab w:val="num" w:pos="0"/>
        </w:tabs>
        <w:ind w:start="0" w:hanging="0"/>
      </w:pPr>
      <w:rPr/>
    </w:lvl>
    <w:lvl w:ilvl="2">
      <w:start w:val="1"/>
      <w:numFmt w:val="none"/>
      <w:suff w:val="nothing"/>
      <w:lvlText w:val="%3"/>
      <w:lvlJc w:val="start"/>
      <w:pPr>
        <w:tabs>
          <w:tab w:val="num" w:pos="0"/>
        </w:tabs>
        <w:ind w:start="0" w:hanging="0"/>
      </w:pPr>
      <w:rPr/>
    </w:lvl>
    <w:lvl w:ilvl="3">
      <w:start w:val="1"/>
      <w:numFmt w:val="none"/>
      <w:suff w:val="nothing"/>
      <w:lvlText w:val="%4"/>
      <w:lvlJc w:val="start"/>
      <w:pPr>
        <w:tabs>
          <w:tab w:val="num" w:pos="0"/>
        </w:tabs>
        <w:ind w:start="0" w:hanging="0"/>
      </w:pPr>
      <w:rPr/>
    </w:lvl>
    <w:lvl w:ilvl="4">
      <w:start w:val="1"/>
      <w:numFmt w:val="none"/>
      <w:suff w:val="nothing"/>
      <w:lvlText w:val="%5"/>
      <w:lvlJc w:val="start"/>
      <w:pPr>
        <w:tabs>
          <w:tab w:val="num" w:pos="0"/>
        </w:tabs>
        <w:ind w:start="0" w:hanging="0"/>
      </w:pPr>
      <w:rPr/>
    </w:lvl>
    <w:lvl w:ilvl="5">
      <w:start w:val="1"/>
      <w:numFmt w:val="none"/>
      <w:suff w:val="nothing"/>
      <w:lvlText w:val="%6"/>
      <w:lvlJc w:val="start"/>
      <w:pPr>
        <w:tabs>
          <w:tab w:val="num" w:pos="0"/>
        </w:tabs>
        <w:ind w:start="0" w:hanging="0"/>
      </w:pPr>
      <w:rPr/>
    </w:lvl>
    <w:lvl w:ilvl="6">
      <w:start w:val="1"/>
      <w:numFmt w:val="none"/>
      <w:suff w:val="nothing"/>
      <w:lvlText w:val="%7"/>
      <w:lvlJc w:val="start"/>
      <w:pPr>
        <w:tabs>
          <w:tab w:val="num" w:pos="0"/>
        </w:tabs>
        <w:ind w:start="0" w:hanging="0"/>
      </w:pPr>
      <w:rPr/>
    </w:lvl>
    <w:lvl w:ilvl="7">
      <w:start w:val="1"/>
      <w:numFmt w:val="none"/>
      <w:suff w:val="nothing"/>
      <w:lvlText w:val="%8"/>
      <w:lvlJc w:val="start"/>
      <w:pPr>
        <w:tabs>
          <w:tab w:val="num" w:pos="0"/>
        </w:tabs>
        <w:ind w:start="0" w:hanging="0"/>
      </w:pPr>
      <w:rPr/>
    </w:lvl>
    <w:lvl w:ilvl="8">
      <w:start w:val="1"/>
      <w:numFmt w:val="none"/>
      <w:suff w:val="nothing"/>
      <w:lvlText w:val="%9"/>
      <w:lvlJc w:val="start"/>
      <w:pPr>
        <w:tabs>
          <w:tab w:val="num" w:pos="0"/>
        </w:tabs>
        <w:ind w:start="0" w:hanging="0"/>
      </w:pPr>
      <w:rPr/>
    </w:lvl>
  </w:abstractNum>
  <w:abstractNum w:abstractNumId="3">
    <w:lvl w:ilvl="0">
      <w:start w:val="1"/>
      <w:numFmt w:val="decimal"/>
      <w:suff w:val="space"/>
      <w:lvlText w:val="%1."/>
      <w:lvlJc w:val="start"/>
      <w:pPr>
        <w:tabs>
          <w:tab w:val="num" w:pos="0"/>
        </w:tabs>
        <w:ind w:start="0" w:hanging="0"/>
      </w:pPr>
      <w:rPr/>
    </w:lvl>
    <w:lvl w:ilvl="1">
      <w:start w:val="1"/>
      <w:numFmt w:val="decimal"/>
      <w:suff w:val="space"/>
      <w:lvlText w:val="%1.%2."/>
      <w:lvlJc w:val="start"/>
      <w:pPr>
        <w:tabs>
          <w:tab w:val="num" w:pos="0"/>
        </w:tabs>
        <w:ind w:start="0" w:hanging="0"/>
      </w:pPr>
      <w:rPr/>
    </w:lvl>
    <w:lvl w:ilvl="2">
      <w:start w:val="1"/>
      <w:numFmt w:val="decimal"/>
      <w:suff w:val="space"/>
      <w:lvlText w:val="%1.%2.%3."/>
      <w:lvlJc w:val="start"/>
      <w:pPr>
        <w:tabs>
          <w:tab w:val="num" w:pos="0"/>
        </w:tabs>
        <w:ind w:start="0" w:hanging="0"/>
      </w:pPr>
      <w:rPr/>
    </w:lvl>
    <w:lvl w:ilvl="3">
      <w:start w:val="1"/>
      <w:numFmt w:val="decimal"/>
      <w:suff w:val="space"/>
      <w:lvlText w:val="%1.%2.%3.%4."/>
      <w:lvlJc w:val="start"/>
      <w:pPr>
        <w:tabs>
          <w:tab w:val="num" w:pos="0"/>
        </w:tabs>
        <w:ind w:start="0" w:hanging="0"/>
      </w:pPr>
      <w:rPr/>
    </w:lvl>
    <w:lvl w:ilvl="4">
      <w:start w:val="1"/>
      <w:numFmt w:val="decimal"/>
      <w:suff w:val="space"/>
      <w:lvlText w:val="%1.%2.%3.%4.%5."/>
      <w:lvlJc w:val="start"/>
      <w:pPr>
        <w:tabs>
          <w:tab w:val="num" w:pos="0"/>
        </w:tabs>
        <w:ind w:start="0" w:hanging="0"/>
      </w:pPr>
      <w:rPr/>
    </w:lvl>
    <w:lvl w:ilvl="5">
      <w:start w:val="1"/>
      <w:numFmt w:val="decimal"/>
      <w:lvlText w:val="%6."/>
      <w:lvlJc w:val="start"/>
      <w:pPr>
        <w:tabs>
          <w:tab w:val="num" w:pos="2381"/>
        </w:tabs>
        <w:ind w:start="2738" w:hanging="397"/>
      </w:pPr>
      <w:rPr/>
    </w:lvl>
    <w:lvl w:ilvl="6">
      <w:start w:val="1"/>
      <w:numFmt w:val="decimal"/>
      <w:lvlText w:val="%7."/>
      <w:lvlJc w:val="start"/>
      <w:pPr>
        <w:tabs>
          <w:tab w:val="num" w:pos="2778"/>
        </w:tabs>
        <w:ind w:start="3135" w:hanging="397"/>
      </w:pPr>
      <w:rPr/>
    </w:lvl>
    <w:lvl w:ilvl="7">
      <w:start w:val="1"/>
      <w:numFmt w:val="decimal"/>
      <w:lvlText w:val="%8."/>
      <w:lvlJc w:val="start"/>
      <w:pPr>
        <w:tabs>
          <w:tab w:val="num" w:pos="3175"/>
        </w:tabs>
        <w:ind w:start="3532" w:hanging="397"/>
      </w:pPr>
      <w:rPr/>
    </w:lvl>
    <w:lvl w:ilvl="8">
      <w:start w:val="1"/>
      <w:numFmt w:val="decimal"/>
      <w:lvlText w:val="%9."/>
      <w:lvlJc w:val="start"/>
      <w:pPr>
        <w:tabs>
          <w:tab w:val="num" w:pos="3572"/>
        </w:tabs>
        <w:ind w:start="3929" w:hanging="397"/>
      </w:pPr>
      <w:rPr/>
    </w:lvl>
  </w:abstractNum>
  <w:abstractNum w:abstractNumId="4">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8">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9">
    <w:lvl w:ilvl="0">
      <w:start w:val="1"/>
      <w:numFmt w:val="decimal"/>
      <w:suff w:val="nothing"/>
      <w:lvlText w:val="%1."/>
      <w:lvlJc w:val="start"/>
      <w:pPr>
        <w:tabs>
          <w:tab w:val="num" w:pos="0"/>
        </w:tabs>
        <w:ind w:start="0" w:hanging="0"/>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0">
    <w:lvl w:ilvl="0">
      <w:start w:val="1"/>
      <w:numFmt w:val="upperRoman"/>
      <w:lvlText w:val="%1."/>
      <w:lvlJc w:val="end"/>
      <w:pPr>
        <w:tabs>
          <w:tab w:val="num" w:pos="754"/>
        </w:tabs>
        <w:ind w:start="754" w:hanging="174"/>
      </w:pPr>
      <w:rPr/>
    </w:lvl>
    <w:lvl w:ilvl="1">
      <w:start w:val="1"/>
      <w:numFmt w:val="upperRoman"/>
      <w:lvlText w:val="%2."/>
      <w:lvlJc w:val="end"/>
      <w:pPr>
        <w:tabs>
          <w:tab w:val="num" w:pos="1508"/>
        </w:tabs>
        <w:ind w:start="1508" w:hanging="174"/>
      </w:pPr>
      <w:rPr/>
    </w:lvl>
    <w:lvl w:ilvl="2">
      <w:start w:val="1"/>
      <w:numFmt w:val="upperRoman"/>
      <w:lvlText w:val="%3."/>
      <w:lvlJc w:val="end"/>
      <w:pPr>
        <w:tabs>
          <w:tab w:val="num" w:pos="2262"/>
        </w:tabs>
        <w:ind w:start="2262" w:hanging="174"/>
      </w:pPr>
      <w:rPr/>
    </w:lvl>
    <w:lvl w:ilvl="3">
      <w:start w:val="1"/>
      <w:numFmt w:val="upperRoman"/>
      <w:lvlText w:val="%4."/>
      <w:lvlJc w:val="end"/>
      <w:pPr>
        <w:tabs>
          <w:tab w:val="num" w:pos="3016"/>
        </w:tabs>
        <w:ind w:start="3016" w:hanging="174"/>
      </w:pPr>
      <w:rPr/>
    </w:lvl>
    <w:lvl w:ilvl="4">
      <w:start w:val="1"/>
      <w:numFmt w:val="upperRoman"/>
      <w:lvlText w:val="%5."/>
      <w:lvlJc w:val="end"/>
      <w:pPr>
        <w:tabs>
          <w:tab w:val="num" w:pos="3771"/>
        </w:tabs>
        <w:ind w:start="3771" w:hanging="174"/>
      </w:pPr>
      <w:rPr/>
    </w:lvl>
    <w:lvl w:ilvl="5">
      <w:start w:val="1"/>
      <w:numFmt w:val="upperRoman"/>
      <w:lvlText w:val="%6."/>
      <w:lvlJc w:val="end"/>
      <w:pPr>
        <w:tabs>
          <w:tab w:val="num" w:pos="4525"/>
        </w:tabs>
        <w:ind w:start="4525" w:hanging="174"/>
      </w:pPr>
      <w:rPr/>
    </w:lvl>
    <w:lvl w:ilvl="6">
      <w:start w:val="1"/>
      <w:numFmt w:val="upperRoman"/>
      <w:lvlText w:val="%7."/>
      <w:lvlJc w:val="end"/>
      <w:pPr>
        <w:tabs>
          <w:tab w:val="num" w:pos="5279"/>
        </w:tabs>
        <w:ind w:start="5279" w:hanging="174"/>
      </w:pPr>
      <w:rPr/>
    </w:lvl>
    <w:lvl w:ilvl="7">
      <w:start w:val="1"/>
      <w:numFmt w:val="upperRoman"/>
      <w:lvlText w:val="%8."/>
      <w:lvlJc w:val="end"/>
      <w:pPr>
        <w:tabs>
          <w:tab w:val="num" w:pos="6033"/>
        </w:tabs>
        <w:ind w:start="6033" w:hanging="174"/>
      </w:pPr>
      <w:rPr/>
    </w:lvl>
    <w:lvl w:ilvl="8">
      <w:start w:val="1"/>
      <w:numFmt w:val="upperRoman"/>
      <w:lvlText w:val="%9."/>
      <w:lvlJc w:val="end"/>
      <w:pPr>
        <w:tabs>
          <w:tab w:val="num" w:pos="6787"/>
        </w:tabs>
        <w:ind w:start="6787" w:hanging="174"/>
      </w:pPr>
      <w:rPr/>
    </w:lvl>
  </w:abstractNum>
  <w:abstractNum w:abstractNumId="11">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w:zoom w:percent="100"/>
  <w:defaultTabStop w:val="643"/>
  <w:autoHyphenation w:val="true"/>
  <w:hyphenationZone w:val="0"/>
  <w:compat>
    <w:doNotBreakWrappedTables/>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s-BO" w:eastAsia="zh-CN" w:bidi="hi-IN"/>
      </w:rPr>
    </w:rPrDefault>
    <w:pPrDefault>
      <w:pPr>
        <w:suppressAutoHyphens w:val="true"/>
      </w:pPr>
    </w:pPrDefault>
  </w:docDefaults>
  <w:style w:type="paragraph" w:styleId="Normal">
    <w:name w:val="Normal"/>
    <w:qFormat/>
    <w:pPr>
      <w:widowControl/>
      <w:suppressAutoHyphens w:val="true"/>
      <w:kinsoku w:val="true"/>
      <w:overflowPunct w:val="false"/>
      <w:autoSpaceDE w:val="true"/>
      <w:bidi w:val="0"/>
      <w:spacing w:lineRule="auto" w:line="360" w:before="0" w:after="142"/>
      <w:jc w:val="start"/>
    </w:pPr>
    <w:rPr>
      <w:rFonts w:ascii="IBM Plex Serif" w:hAnsi="IBM Plex Serif" w:eastAsia="Noto Serif CJK SC" w:cs="Noto Sans Devanagari"/>
      <w:color w:val="auto"/>
      <w:kern w:val="2"/>
      <w:sz w:val="22"/>
      <w:szCs w:val="24"/>
      <w:lang w:val="es-BO" w:eastAsia="zh-CN" w:bidi="hi-IN"/>
    </w:rPr>
  </w:style>
  <w:style w:type="paragraph" w:styleId="Heading1">
    <w:name w:val="heading 1"/>
    <w:basedOn w:val="Ttulo"/>
    <w:next w:val="BodyText"/>
    <w:qFormat/>
    <w:pPr>
      <w:numPr>
        <w:ilvl w:val="0"/>
        <w:numId w:val="3"/>
      </w:numPr>
      <w:bidi w:val="0"/>
      <w:spacing w:before="0" w:after="283"/>
      <w:jc w:val="center"/>
      <w:outlineLvl w:val="0"/>
    </w:pPr>
    <w:rPr>
      <w:b/>
      <w:bCs/>
      <w:sz w:val="22"/>
      <w:szCs w:val="36"/>
    </w:rPr>
  </w:style>
  <w:style w:type="paragraph" w:styleId="Heading2">
    <w:name w:val="heading 2"/>
    <w:basedOn w:val="Ttulo"/>
    <w:next w:val="BodyText"/>
    <w:qFormat/>
    <w:pPr>
      <w:numPr>
        <w:ilvl w:val="1"/>
        <w:numId w:val="3"/>
      </w:numPr>
      <w:outlineLvl w:val="1"/>
    </w:pPr>
    <w:rPr>
      <w:b/>
      <w:bCs/>
      <w:sz w:val="22"/>
      <w:szCs w:val="32"/>
    </w:rPr>
  </w:style>
  <w:style w:type="paragraph" w:styleId="Heading3">
    <w:name w:val="heading 3"/>
    <w:basedOn w:val="Ttulo"/>
    <w:next w:val="BodyText"/>
    <w:qFormat/>
    <w:pPr>
      <w:numPr>
        <w:ilvl w:val="2"/>
        <w:numId w:val="3"/>
      </w:numPr>
      <w:spacing w:before="142" w:after="142"/>
      <w:outlineLvl w:val="2"/>
    </w:pPr>
    <w:rPr>
      <w:b/>
      <w:bCs/>
      <w:i/>
      <w:sz w:val="22"/>
      <w:szCs w:val="28"/>
    </w:rPr>
  </w:style>
  <w:style w:type="paragraph" w:styleId="Heading4">
    <w:name w:val="heading 4"/>
    <w:basedOn w:val="Ttulo"/>
    <w:next w:val="BodyText"/>
    <w:qFormat/>
    <w:pPr>
      <w:numPr>
        <w:ilvl w:val="3"/>
        <w:numId w:val="2"/>
      </w:numPr>
      <w:outlineLvl w:val="3"/>
    </w:pPr>
    <w:rPr>
      <w:b/>
      <w:bCs/>
      <w:i w:val="false"/>
      <w:iCs/>
      <w:sz w:val="22"/>
      <w:szCs w:val="26"/>
    </w:rPr>
  </w:style>
  <w:style w:type="paragraph" w:styleId="Heading5">
    <w:name w:val="heading 5"/>
    <w:basedOn w:val="Ttulo"/>
    <w:next w:val="BodyText"/>
    <w:qFormat/>
    <w:pPr>
      <w:numPr>
        <w:ilvl w:val="4"/>
        <w:numId w:val="2"/>
      </w:numPr>
      <w:outlineLvl w:val="4"/>
    </w:pPr>
    <w:rPr>
      <w:b/>
      <w:bCs/>
      <w:i/>
      <w:sz w:val="22"/>
      <w:szCs w:val="24"/>
    </w:rPr>
  </w:style>
  <w:style w:type="character" w:styleId="Bolos">
    <w:name w:val="Bolos"/>
    <w:qFormat/>
    <w:rPr>
      <w:rFonts w:ascii="OpenSymbol" w:hAnsi="OpenSymbol" w:eastAsia="OpenSymbol" w:cs="OpenSymbol"/>
    </w:rPr>
  </w:style>
  <w:style w:type="character" w:styleId="Strong">
    <w:name w:val="Strong"/>
    <w:qFormat/>
    <w:rPr>
      <w:b/>
      <w:bCs/>
    </w:rPr>
  </w:style>
  <w:style w:type="character" w:styleId="Textooriginal">
    <w:name w:val="Texto original"/>
    <w:qFormat/>
    <w:rPr>
      <w:rFonts w:ascii="Liberation Mono" w:hAnsi="Liberation Mono" w:eastAsia="Noto Sans Mono CJK SC" w:cs="Liberation Mono"/>
    </w:rPr>
  </w:style>
  <w:style w:type="character" w:styleId="Hyperlink">
    <w:name w:val="Hyperlink"/>
    <w:rPr>
      <w:color w:val="000080"/>
      <w:u w:val="single"/>
    </w:rPr>
  </w:style>
  <w:style w:type="character" w:styleId="Enlacedelndice">
    <w:name w:val="Enlace del índice"/>
    <w:qFormat/>
    <w:rPr/>
  </w:style>
  <w:style w:type="character" w:styleId="Smbolosdenumeracinuser">
    <w:name w:val="Símbolos de numeración (user)"/>
    <w:qFormat/>
    <w:rPr/>
  </w:style>
  <w:style w:type="character" w:styleId="Bolosuser">
    <w:name w:val="Bolos (user)"/>
    <w:qFormat/>
    <w:rPr>
      <w:rFonts w:ascii="OpenSymbol" w:hAnsi="OpenSymbol" w:eastAsia="OpenSymbol" w:cs="OpenSymbol"/>
    </w:rPr>
  </w:style>
  <w:style w:type="character" w:styleId="Enlacedelndiceuser">
    <w:name w:val="Enlace del índice (user)"/>
    <w:qFormat/>
    <w:rPr/>
  </w:style>
  <w:style w:type="character" w:styleId="Smbolosdenumeracin">
    <w:name w:val="Símbolos de numeración"/>
    <w:qFormat/>
    <w:rPr/>
  </w:style>
  <w:style w:type="character" w:styleId="Emphasis">
    <w:name w:val="Emphasis"/>
    <w:qFormat/>
    <w:rPr>
      <w:i/>
      <w:iCs/>
    </w:rPr>
  </w:style>
  <w:style w:type="paragraph" w:styleId="Ttulo">
    <w:name w:val="Título"/>
    <w:basedOn w:val="Normal"/>
    <w:next w:val="BodyText"/>
    <w:qFormat/>
    <w:pPr>
      <w:keepNext w:val="true"/>
      <w:spacing w:before="0" w:after="142"/>
    </w:pPr>
    <w:rPr>
      <w:rFonts w:ascii="IBM Plex Serif" w:hAnsi="IBM Plex Serif" w:eastAsia="Noto Sans CJK SC" w:cs="Noto Sans Devanagari"/>
      <w:b/>
      <w:sz w:val="22"/>
      <w:szCs w:val="28"/>
    </w:rPr>
  </w:style>
  <w:style w:type="paragraph" w:styleId="BodyText">
    <w:name w:val="Body Text"/>
    <w:basedOn w:val="Normal"/>
    <w:pPr>
      <w:spacing w:lineRule="auto" w:line="360" w:before="142" w:after="142"/>
      <w:ind w:firstLine="567"/>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spacing w:lineRule="auto" w:line="360" w:before="0" w:after="142"/>
      <w:contextualSpacing/>
    </w:pPr>
    <w:rPr>
      <w:rFonts w:cs="Noto Sans Devanagari"/>
    </w:rPr>
  </w:style>
  <w:style w:type="paragraph" w:styleId="Ttulouser">
    <w:name w:val="Título (user)"/>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ndiceuser">
    <w:name w:val="Índice (user)"/>
    <w:basedOn w:val="Normal"/>
    <w:qFormat/>
    <w:pPr>
      <w:suppressLineNumbers/>
    </w:pPr>
    <w:rPr>
      <w:rFonts w:cs="Noto Sans Devanagari"/>
    </w:rPr>
  </w:style>
  <w:style w:type="paragraph" w:styleId="Closing">
    <w:name w:val="Closing"/>
    <w:basedOn w:val="Ttulo"/>
    <w:next w:val="BodyText"/>
    <w:pPr>
      <w:jc w:val="center"/>
    </w:pPr>
    <w:rPr>
      <w:b/>
      <w:bCs/>
      <w:sz w:val="32"/>
      <w:szCs w:val="32"/>
    </w:rPr>
  </w:style>
  <w:style w:type="paragraph" w:styleId="Title">
    <w:name w:val="Title"/>
    <w:basedOn w:val="Ttulo"/>
    <w:next w:val="BodyText"/>
    <w:qFormat/>
    <w:pPr>
      <w:spacing w:lineRule="auto" w:line="240" w:before="0" w:after="0"/>
      <w:jc w:val="center"/>
    </w:pPr>
    <w:rPr>
      <w:b/>
      <w:bCs/>
      <w:sz w:val="42"/>
      <w:szCs w:val="56"/>
    </w:rPr>
  </w:style>
  <w:style w:type="paragraph" w:styleId="Subtitle">
    <w:name w:val="Subtitle"/>
    <w:basedOn w:val="Ttulo"/>
    <w:next w:val="BodyText"/>
    <w:qFormat/>
    <w:pPr>
      <w:spacing w:lineRule="auto" w:line="240" w:before="0" w:after="0"/>
      <w:jc w:val="center"/>
    </w:pPr>
    <w:rPr>
      <w:sz w:val="26"/>
      <w:szCs w:val="36"/>
    </w:rPr>
  </w:style>
  <w:style w:type="paragraph" w:styleId="Contenidodelmarco">
    <w:name w:val="Contenido del marco"/>
    <w:basedOn w:val="Normal"/>
    <w:qFormat/>
    <w:pPr/>
    <w:rPr/>
  </w:style>
  <w:style w:type="paragraph" w:styleId="Figura">
    <w:name w:val="Figura"/>
    <w:basedOn w:val="Caption"/>
    <w:qFormat/>
    <w:pPr/>
    <w:rPr/>
  </w:style>
  <w:style w:type="paragraph" w:styleId="Contenidodelatabla">
    <w:name w:val="Contenido de la tabla"/>
    <w:basedOn w:val="Normal"/>
    <w:qFormat/>
    <w:pPr>
      <w:widowControl w:val="false"/>
      <w:suppressLineNumbers/>
      <w:spacing w:lineRule="auto" w:line="240" w:before="113" w:after="113"/>
    </w:pPr>
    <w:rPr/>
  </w:style>
  <w:style w:type="paragraph" w:styleId="Ttulodelatabla">
    <w:name w:val="Título de la tabla"/>
    <w:basedOn w:val="Contenidodelatabla"/>
    <w:qFormat/>
    <w:pPr>
      <w:suppressLineNumbers/>
      <w:spacing w:lineRule="auto" w:line="240" w:before="113" w:after="113"/>
      <w:jc w:val="start"/>
    </w:pPr>
    <w:rPr>
      <w:b/>
      <w:bCs/>
    </w:rPr>
  </w:style>
  <w:style w:type="paragraph" w:styleId="Contenidodelista">
    <w:name w:val="Contenido de lista"/>
    <w:basedOn w:val="Normal"/>
    <w:qFormat/>
    <w:pPr>
      <w:ind w:start="567"/>
    </w:pPr>
    <w:rPr/>
  </w:style>
  <w:style w:type="paragraph" w:styleId="Cabeceraypie">
    <w:name w:val="Cabecera y pie"/>
    <w:basedOn w:val="Normal"/>
    <w:qFormat/>
    <w:pPr>
      <w:suppressLineNumbers/>
      <w:tabs>
        <w:tab w:val="clear" w:pos="643"/>
        <w:tab w:val="center" w:pos="5553" w:leader="none"/>
        <w:tab w:val="right" w:pos="11106" w:leader="none"/>
      </w:tabs>
    </w:pPr>
    <w:rPr/>
  </w:style>
  <w:style w:type="paragraph" w:styleId="Cabeceraypieuser">
    <w:name w:val="Cabecera y pie (user)"/>
    <w:basedOn w:val="Normal"/>
    <w:qFormat/>
    <w:pPr/>
    <w:rPr/>
  </w:style>
  <w:style w:type="paragraph" w:styleId="Footer">
    <w:name w:val="footer"/>
    <w:basedOn w:val="Cabeceraypie"/>
    <w:pPr>
      <w:suppressLineNumbers/>
      <w:spacing w:lineRule="auto" w:line="240" w:before="0" w:after="0"/>
    </w:pPr>
    <w:rPr/>
  </w:style>
  <w:style w:type="paragraph" w:styleId="IndexHeading">
    <w:name w:val="index heading"/>
    <w:basedOn w:val="Ttulo"/>
    <w:pPr>
      <w:suppressLineNumbers/>
      <w:ind w:hanging="0" w:start="0"/>
    </w:pPr>
    <w:rPr>
      <w:b/>
      <w:bCs/>
      <w:sz w:val="32"/>
      <w:szCs w:val="32"/>
    </w:rPr>
  </w:style>
  <w:style w:type="paragraph" w:styleId="TOCHeading">
    <w:name w:val="TOC Heading"/>
    <w:basedOn w:val="IndexHeading"/>
    <w:qFormat/>
    <w:pPr>
      <w:suppressLineNumbers/>
      <w:spacing w:lineRule="auto" w:line="360" w:before="0" w:after="0"/>
      <w:jc w:val="center"/>
    </w:pPr>
    <w:rPr>
      <w:b/>
      <w:bCs/>
      <w:sz w:val="22"/>
      <w:szCs w:val="32"/>
    </w:rPr>
  </w:style>
  <w:style w:type="paragraph" w:styleId="Ttulodelndicedetablas">
    <w:name w:val="Título del índice de tablas"/>
    <w:basedOn w:val="IndexHeading"/>
    <w:qFormat/>
    <w:pPr>
      <w:suppressLineNumbers/>
      <w:spacing w:before="0" w:after="0"/>
      <w:ind w:hanging="0" w:start="0"/>
      <w:jc w:val="center"/>
    </w:pPr>
    <w:rPr>
      <w:b/>
      <w:bCs/>
      <w:sz w:val="22"/>
      <w:szCs w:val="32"/>
    </w:rPr>
  </w:style>
  <w:style w:type="paragraph" w:styleId="Ttulodelndicedefiguras">
    <w:name w:val="Título del índice de figuras"/>
    <w:basedOn w:val="IndexHeading"/>
    <w:qFormat/>
    <w:pPr>
      <w:suppressLineNumbers/>
      <w:spacing w:lineRule="auto" w:line="360" w:before="0" w:after="0"/>
      <w:ind w:hanging="0" w:start="0"/>
      <w:jc w:val="center"/>
    </w:pPr>
    <w:rPr>
      <w:b/>
      <w:bCs/>
      <w:sz w:val="22"/>
      <w:szCs w:val="32"/>
    </w:rPr>
  </w:style>
  <w:style w:type="paragraph" w:styleId="Codigo">
    <w:name w:val="Codigo"/>
    <w:basedOn w:val="BodyText"/>
    <w:qFormat/>
    <w:pPr>
      <w:shd w:fill="CCCCCC" w:val="clear"/>
      <w:spacing w:before="0" w:after="0"/>
      <w:ind w:hanging="0"/>
    </w:pPr>
    <w:rPr>
      <w:rFonts w:ascii="IBM Plex Mono" w:hAnsi="IBM Plex Mono"/>
    </w:rPr>
  </w:style>
  <w:style w:type="paragraph" w:styleId="Lneahorizontal">
    <w:name w:val="Línea horizontal"/>
    <w:basedOn w:val="Normal"/>
    <w:next w:val="BodyText"/>
    <w:qFormat/>
    <w:pPr>
      <w:suppressLineNumbers/>
      <w:pBdr>
        <w:bottom w:val="double" w:sz="2" w:space="0" w:color="808080"/>
      </w:pBdr>
      <w:spacing w:before="0" w:after="283"/>
    </w:pPr>
    <w:rPr>
      <w:sz w:val="12"/>
      <w:szCs w:val="12"/>
    </w:rPr>
  </w:style>
  <w:style w:type="paragraph" w:styleId="TOC1">
    <w:name w:val="toc 1"/>
    <w:basedOn w:val="ndice"/>
    <w:pPr>
      <w:tabs>
        <w:tab w:val="clear" w:pos="643"/>
        <w:tab w:val="right" w:pos="11106" w:leader="dot"/>
      </w:tabs>
      <w:ind w:hanging="0" w:start="0"/>
    </w:pPr>
    <w:rPr/>
  </w:style>
  <w:style w:type="paragraph" w:styleId="TOC2">
    <w:name w:val="toc 2"/>
    <w:basedOn w:val="ndice"/>
    <w:pPr>
      <w:tabs>
        <w:tab w:val="clear" w:pos="643"/>
        <w:tab w:val="right" w:pos="11106" w:leader="dot"/>
      </w:tabs>
      <w:ind w:hanging="0" w:start="283"/>
    </w:pPr>
    <w:rPr/>
  </w:style>
  <w:style w:type="paragraph" w:styleId="TOC3">
    <w:name w:val="toc 3"/>
    <w:basedOn w:val="ndice"/>
    <w:pPr>
      <w:tabs>
        <w:tab w:val="clear" w:pos="643"/>
        <w:tab w:val="right" w:pos="11106" w:leader="dot"/>
      </w:tabs>
      <w:ind w:hanging="0" w:start="567"/>
    </w:pPr>
    <w:rPr/>
  </w:style>
  <w:style w:type="paragraph" w:styleId="Comentariouser">
    <w:name w:val="Comentario (user)"/>
    <w:basedOn w:val="Normal"/>
    <w:qFormat/>
    <w:pPr>
      <w:spacing w:lineRule="auto" w:line="240" w:before="56" w:after="0"/>
      <w:ind w:hanging="0" w:start="57" w:end="57"/>
    </w:pPr>
    <w:rPr>
      <w:color w:val="auto"/>
      <w:sz w:val="20"/>
      <w:szCs w:val="20"/>
    </w:rPr>
  </w:style>
  <w:style w:type="paragraph" w:styleId="Comentario">
    <w:name w:val="Comentario"/>
    <w:qFormat/>
    <w:pPr>
      <w:widowControl w:val="false"/>
      <w:suppressAutoHyphens w:val="true"/>
      <w:kinsoku w:val="true"/>
      <w:overflowPunct w:val="false"/>
      <w:autoSpaceDE w:val="true"/>
      <w:bidi w:val="0"/>
      <w:spacing w:lineRule="atLeast" w:line="0" w:before="56" w:after="0"/>
      <w:ind w:hanging="0" w:start="57" w:end="57"/>
      <w:jc w:val="start"/>
    </w:pPr>
    <w:rPr>
      <w:rFonts w:ascii="Noto Sans Devanagari" w:hAnsi="Noto Sans Devanagari" w:eastAsia="Noto Serif CJK SC" w:cs="Noto Sans Devanagari"/>
      <w:color w:val="auto"/>
      <w:kern w:val="2"/>
      <w:sz w:val="20"/>
      <w:szCs w:val="24"/>
      <w:lang w:val="es-BO" w:eastAsia="zh-CN" w:bidi="hi-IN"/>
    </w:rPr>
  </w:style>
  <w:style w:type="paragraph" w:styleId="Contenidodelatablauser">
    <w:name w:val="Contenido de la tabla (user)"/>
    <w:basedOn w:val="Normal"/>
    <w:qFormat/>
    <w:pPr>
      <w:widowControl w:val="false"/>
      <w:suppressLineNumbers/>
    </w:pPr>
    <w:rPr/>
  </w:style>
  <w:style w:type="paragraph" w:styleId="Ttulodelatablauser">
    <w:name w:val="Título de la tabla (user)"/>
    <w:basedOn w:val="Contenidodelatablauser"/>
    <w:qFormat/>
    <w:pPr>
      <w:suppressLineNumbers/>
      <w:jc w:val="center"/>
    </w:pPr>
    <w:rPr>
      <w:b/>
      <w:bCs/>
    </w:rPr>
  </w:style>
  <w:style w:type="paragraph" w:styleId="Contenidodelistauser">
    <w:name w:val="Contenido de lista (user)"/>
    <w:basedOn w:val="Normal"/>
    <w:qFormat/>
    <w:pPr>
      <w:ind w:start="567"/>
    </w:pPr>
    <w:rPr/>
  </w:style>
  <w:style w:type="paragraph" w:styleId="Index2">
    <w:name w:val="index 2"/>
    <w:basedOn w:val="ndiceuser"/>
    <w:pPr>
      <w:ind w:hanging="0" w:start="283"/>
    </w:pPr>
    <w:rPr/>
  </w:style>
  <w:style w:type="paragraph" w:styleId="TableofAuthorities">
    <w:name w:val="table of authorities"/>
    <w:basedOn w:val="IndexHeading"/>
    <w:pPr>
      <w:suppressLineNumbers/>
      <w:ind w:hanging="0" w:start="0"/>
      <w:jc w:val="center"/>
    </w:pPr>
    <w:rPr>
      <w:b/>
      <w:bCs/>
      <w:sz w:val="22"/>
      <w:szCs w:val="32"/>
    </w:rPr>
  </w:style>
  <w:style w:type="paragraph" w:styleId="Tabla">
    <w:name w:val="Tabla"/>
    <w:basedOn w:val="Caption"/>
    <w:qFormat/>
    <w:pPr>
      <w:keepNext w:val="true"/>
      <w:keepLines w:val="false"/>
    </w:pPr>
    <w:rPr>
      <w:b/>
      <w:i w:val="false"/>
      <w:sz w:val="22"/>
    </w:rPr>
  </w:style>
  <w:style w:type="paragraph" w:styleId="ndicedetablas1">
    <w:name w:val="Índice de tablas 1"/>
    <w:basedOn w:val="ndice"/>
    <w:qFormat/>
    <w:pPr>
      <w:tabs>
        <w:tab w:val="clear" w:pos="643"/>
        <w:tab w:val="right" w:pos="11098" w:leader="dot"/>
      </w:tabs>
      <w:ind w:hanging="0" w:start="0"/>
    </w:pPr>
    <w:rPr>
      <w:i w:val="false"/>
    </w:rPr>
  </w:style>
  <w:style w:type="numbering" w:styleId="Numeracin123user">
    <w:name w:val="Numeración 123 (user)"/>
    <w:qFormat/>
  </w:style>
  <w:style w:type="numbering" w:styleId="Numeracin123">
    <w:name w:val="Numeración 123"/>
    <w:qFormat/>
  </w:style>
  <w:style w:type="numbering" w:styleId="NumeracinIVX">
    <w:name w:val="Numeración IVX"/>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image" Target="media/image1.png"/><Relationship Id="rId5" Type="http://schemas.openxmlformats.org/officeDocument/2006/relationships/footer" Target="footer2.xml"/><Relationship Id="rId6" Type="http://schemas.openxmlformats.org/officeDocument/2006/relationships/footer" Target="footer3.xml"/><Relationship Id="rId7" Type="http://schemas.openxmlformats.org/officeDocument/2006/relationships/footer" Target="footer4.xml"/><Relationship Id="rId8" Type="http://schemas.openxmlformats.org/officeDocument/2006/relationships/footer" Target="footer5.xml"/><Relationship Id="rId9" Type="http://schemas.openxmlformats.org/officeDocument/2006/relationships/hyperlink" Target="https://docs.mayan-edms.com/" TargetMode="External"/><Relationship Id="rId10" Type="http://schemas.openxmlformats.org/officeDocument/2006/relationships/hyperlink" Target="https://openmrs.org/" TargetMode="External"/><Relationship Id="rId11" Type="http://schemas.openxmlformats.org/officeDocument/2006/relationships/hyperlink" Target="https://openmrs.org/" TargetMode="External"/><Relationship Id="rId12" Type="http://schemas.openxmlformats.org/officeDocument/2006/relationships/hyperlink" Target="https://medesk.net/" TargetMode="External"/><Relationship Id="rId13" Type="http://schemas.openxmlformats.org/officeDocument/2006/relationships/hyperlink" Target="https://www.iso.org/standard/62542.html" TargetMode="External"/><Relationship Id="rId14" Type="http://schemas.openxmlformats.org/officeDocument/2006/relationships/footer" Target="footer6.xml"/><Relationship Id="rId15" Type="http://schemas.openxmlformats.org/officeDocument/2006/relationships/footer" Target="footer7.xml"/><Relationship Id="rId16" Type="http://schemas.openxmlformats.org/officeDocument/2006/relationships/footer" Target="footer8.xml"/><Relationship Id="rId17" Type="http://schemas.openxmlformats.org/officeDocument/2006/relationships/image" Target="media/image2.jpeg"/><Relationship Id="rId18" Type="http://schemas.openxmlformats.org/officeDocument/2006/relationships/image" Target="media/image3.jpeg"/><Relationship Id="rId19" Type="http://schemas.openxmlformats.org/officeDocument/2006/relationships/image" Target="media/image4.png"/><Relationship Id="rId20" Type="http://schemas.openxmlformats.org/officeDocument/2006/relationships/image" Target="media/image5.png"/><Relationship Id="rId21" Type="http://schemas.openxmlformats.org/officeDocument/2006/relationships/image" Target="media/image6.png"/><Relationship Id="rId22" Type="http://schemas.openxmlformats.org/officeDocument/2006/relationships/image" Target="media/image7.png"/><Relationship Id="rId23" Type="http://schemas.openxmlformats.org/officeDocument/2006/relationships/image" Target="media/image8.png"/><Relationship Id="rId24" Type="http://schemas.openxmlformats.org/officeDocument/2006/relationships/image" Target="media/image9.png"/><Relationship Id="rId25" Type="http://schemas.openxmlformats.org/officeDocument/2006/relationships/image" Target="media/image10.svg"/><Relationship Id="rId26" Type="http://schemas.openxmlformats.org/officeDocument/2006/relationships/numbering" Target="numbering.xml"/><Relationship Id="rId27" Type="http://schemas.openxmlformats.org/officeDocument/2006/relationships/fontTable" Target="fontTable.xml"/><Relationship Id="rId28" Type="http://schemas.openxmlformats.org/officeDocument/2006/relationships/settings" Target="settings.xml"/><Relationship Id="rId2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330</TotalTime>
  <Application>LibreOffice/25.8.5.2$Linux_X86_64 LibreOffice_project/580$Build-2</Application>
  <AppVersion>15.0000</AppVersion>
  <Pages>50</Pages>
  <Words>8326</Words>
  <Characters>50009</Characters>
  <CharactersWithSpaces>57475</CharactersWithSpaces>
  <Paragraphs>787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2026-03-29T02:42:08Z</dcterms:created>
  <dc:creator>Osmar Javier Hidalgo Riffarachi</dc:creator>
  <dc:description/>
  <dc:language>es-BO</dc:language>
  <cp:lastModifiedBy>Osmar Javier Hidalgo Riffarachi</cp:lastModifiedBy>
  <cp:lastPrinted>2026-03-30T12:39:00Z</cp:lastPrinted>
  <dcterms:modified xsi:type="dcterms:W3CDTF">2026-03-30T12:37:44Z</dcterms:modified>
  <cp:revision>32</cp:revision>
  <dc:subject/>
  <dc:title/>
</cp:coreProperties>
</file>

<file path=docProps/custom.xml><?xml version="1.0" encoding="utf-8"?>
<Properties xmlns="http://schemas.openxmlformats.org/officeDocument/2006/custom-properties" xmlns:vt="http://schemas.openxmlformats.org/officeDocument/2006/docPropsVTypes"/>
</file>