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Pathway</w:t>
      </w:r>
      <w:r>
        <w:t xml:space="preserve"> </w:t>
      </w:r>
      <w:r>
        <w:t xml:space="preserve">1</w:t>
      </w:r>
      <w:r>
        <w:t xml:space="preserve"> </w:t>
      </w:r>
      <w:r>
        <w:t xml:space="preserve">plan:</w:t>
      </w:r>
      <w:r>
        <w:t xml:space="preserve"> </w:t>
      </w:r>
      <w:r>
        <w:t xml:space="preserve">random</w:t>
      </w:r>
      <w:r>
        <w:t xml:space="preserve"> </w:t>
      </w:r>
      <w:r>
        <w:t xml:space="preserve">C-peptide</w:t>
      </w:r>
      <w:r>
        <w:t xml:space="preserve"> </w:t>
      </w:r>
      <w:r>
        <w:t xml:space="preserve">in</w:t>
      </w:r>
      <w:r>
        <w:t xml:space="preserve"> </w:t>
      </w:r>
      <w:r>
        <w:t xml:space="preserve">insulin-treated</w:t>
      </w:r>
      <w:r>
        <w:t xml:space="preserve"> </w:t>
      </w:r>
      <w:r>
        <w:t xml:space="preserve">adults</w:t>
      </w:r>
      <w:r>
        <w:t xml:space="preserve"> </w:t>
      </w:r>
      <w:r>
        <w:t xml:space="preserve">of</w:t>
      </w:r>
      <w:r>
        <w:t xml:space="preserve"> </w:t>
      </w:r>
      <w:r>
        <w:t xml:space="preserve">uncertain</w:t>
      </w:r>
      <w:r>
        <w:t xml:space="preserve"> </w:t>
      </w:r>
      <w:r>
        <w:t xml:space="preserve">diabetes</w:t>
      </w:r>
      <w:r>
        <w:t xml:space="preserve"> </w:t>
      </w:r>
      <w:r>
        <w:t xml:space="preserve">type</w:t>
      </w:r>
      <w:r>
        <w:t xml:space="preserve"> </w:t>
      </w:r>
      <w:r>
        <w:t xml:space="preserve">(rows</w:t>
      </w:r>
      <w:r>
        <w:t xml:space="preserve"> </w:t>
      </w:r>
      <w:r>
        <w:t xml:space="preserve">6</w:t>
      </w:r>
      <w:r>
        <w:t xml:space="preserve"> </w:t>
      </w:r>
      <w:r>
        <w:t xml:space="preserve">and</w:t>
      </w:r>
      <w:r>
        <w:t xml:space="preserve"> </w:t>
      </w:r>
      <w:r>
        <w:t xml:space="preserve">31)</w:t>
      </w:r>
    </w:p>
    <w:p>
      <w:pPr>
        <w:pStyle w:val="FirstParagraph"/>
      </w:pPr>
      <w:r>
        <w:t xml:space="preserve">DRAFT, 2026-10-23. Not medical advice. Sizes, durations and probabilities are the assistant’s judgements, not computations from a source. Source dossiers:</w:t>
      </w:r>
      <w:r>
        <w:t xml:space="preserve"> </w:t>
      </w:r>
      <w:r>
        <w:rPr>
          <w:rStyle w:val="VerbatimChar"/>
        </w:rPr>
        <w:t xml:space="preserve">usecases/scoring/dossiers/row-06.md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row-31.md</w:t>
      </w:r>
      <w:r>
        <w:t xml:space="preserve">; skeptic report:</w:t>
      </w:r>
      <w:r>
        <w:t xml:space="preserve"> </w:t>
      </w:r>
      <w:r>
        <w:rPr>
          <w:rStyle w:val="VerbatimChar"/>
        </w:rPr>
        <w:t xml:space="preserve">reviews/skeptic-stage3-2026-10-23.md</w:t>
      </w:r>
      <w:r>
        <w:t xml:space="preserve">. Measure type throughout: random (non-stimulated) plasma C-peptide with a concurrent glucose. Not fasting-only, not post-load, not urinary.</w:t>
      </w:r>
    </w:p>
    <w:bookmarkStart w:id="20" w:name="the-question-and-why-it-ranks-first"/>
    <w:p>
      <w:pPr>
        <w:pStyle w:val="Heading1"/>
      </w:pPr>
      <w:r>
        <w:t xml:space="preserve">1. The question and why it ranks first</w:t>
      </w:r>
    </w:p>
    <w:p>
      <w:pPr>
        <w:pStyle w:val="FirstParagraph"/>
      </w:pPr>
      <w:r>
        <w:t xml:space="preserve">Insulin-treated adults whose diabetes type is doubtful are tested for C-peptide to decide whether the label is wrong (row 6) and whether insulin can be reduced or stopped (row 31). The ADA/EASD consensus (Holt 2021, PMID 34590174, DOI 10.1007/s00125-021-05568-3) says the test should always be performed before insulin discontinuation. Tier A under the current scores (rows 6, 1 and 31). Yield data exist (6.8% reclassified, 1.5% stopped insulin, 1.6% monogenic diabetes found, in one uncontrolled UK clinic: Foteinopoulou 2021, PMID 33131101, DOI 10.1111/dme.14449, abstract level). Missing: agreement of US-marketed assays at the decision thresholds, and prospective safety and outcome data for acting on the result.</w:t>
      </w:r>
    </w:p>
    <w:bookmarkEnd w:id="20"/>
    <w:bookmarkStart w:id="23" w:name="two-steps"/>
    <w:p>
      <w:pPr>
        <w:pStyle w:val="Heading1"/>
      </w:pPr>
      <w:r>
        <w:t xml:space="preserve">2. Two steps</w:t>
      </w:r>
    </w:p>
    <w:bookmarkStart w:id="21" w:name="X81d895be0cc0557ca4074056afeb11d62934476"/>
    <w:p>
      <w:pPr>
        <w:pStyle w:val="Heading2"/>
      </w:pPr>
      <w:r>
        <w:t xml:space="preserve">Step A: US assay harmonisation (assay; about 9 to 12 months; small)</w:t>
      </w:r>
    </w:p>
    <w:p>
      <w:pPr>
        <w:numPr>
          <w:ilvl w:val="0"/>
          <w:numId w:val="1001"/>
        </w:numPr>
        <w:pStyle w:val="Compact"/>
      </w:pPr>
      <w:r>
        <w:t xml:space="preserve">Samples: at least 120 residual sera spanning 30 to 1,000 pmol/L, at least 40 between 150 and 700 pmol/L.</w:t>
      </w:r>
    </w:p>
    <w:p>
      <w:pPr>
        <w:numPr>
          <w:ilvl w:val="0"/>
          <w:numId w:val="1001"/>
        </w:numPr>
        <w:pStyle w:val="Compact"/>
      </w:pPr>
      <w:r>
        <w:t xml:space="preserve">Platforms: four or more US-marketed immunoassays against an isotope-dilution LC-MS/MS reference procedure (TaMADOR-type, PMID 38549041, DOI 10.1093/clinchem/hvae034). Use commutable human serum pools, not materials derived from WHO IRP 13/146 (PMID 37141618, DOI 10.1515/cclm-2023-0215).</w:t>
      </w:r>
    </w:p>
    <w:p>
      <w:pPr>
        <w:numPr>
          <w:ilvl w:val="0"/>
          <w:numId w:val="1001"/>
        </w:numPr>
        <w:pStyle w:val="Compact"/>
      </w:pPr>
      <w:r>
        <w:t xml:space="preserve">Outputs: bias and agreement at 80, 200 and 600 pmol/L; platform-specific equivalent cutoffs; a rule for paired glucose (4 mmol/L or more) and for eGFR.</w:t>
      </w:r>
    </w:p>
    <w:p>
      <w:pPr>
        <w:numPr>
          <w:ilvl w:val="0"/>
          <w:numId w:val="1001"/>
        </w:numPr>
        <w:pStyle w:val="Compact"/>
      </w:pPr>
      <w:r>
        <w:t xml:space="preserve">Why first: it is cheap, it is the D4 gap, and Step B needs harmonised units to pre-specify bands.</w:t>
      </w:r>
    </w:p>
    <w:p>
      <w:pPr>
        <w:numPr>
          <w:ilvl w:val="0"/>
          <w:numId w:val="1001"/>
        </w:numPr>
        <w:pStyle w:val="Compact"/>
      </w:pPr>
      <w:r>
        <w:t xml:space="preserve">Judgement: about 70% chance of completion within 12 months if funded.</w:t>
      </w:r>
    </w:p>
    <w:bookmarkEnd w:id="21"/>
    <w:bookmarkStart w:id="22" w:name="X8617d8cf2761a92dc2791db1fdda3abddb8e9b9"/>
    <w:p>
      <w:pPr>
        <w:pStyle w:val="Heading2"/>
      </w:pPr>
      <w:r>
        <w:t xml:space="preserve">Step B: prospective multi-site cohort with a pre-specified step-down rule (evidence; 3 to 4 years; medium to large)</w:t>
      </w:r>
    </w:p>
    <w:p>
      <w:pPr>
        <w:numPr>
          <w:ilvl w:val="0"/>
          <w:numId w:val="1002"/>
        </w:numPr>
        <w:pStyle w:val="Compact"/>
      </w:pPr>
      <w:r>
        <w:t xml:space="preserve">Setting: 8 to 12 US diabetes clinics, academic and community, ideally within an existing network.</w:t>
      </w:r>
    </w:p>
    <w:p>
      <w:pPr>
        <w:numPr>
          <w:ilvl w:val="0"/>
          <w:numId w:val="1002"/>
        </w:numPr>
        <w:pStyle w:val="Compact"/>
      </w:pPr>
      <w:r>
        <w:t xml:space="preserve">Population: adults 18 or older, insulin-treated, 3 or more years from diagnosis, type doubtful by pre-specified criteria (for example a type 1 label with BMI 30 or more or diagnosis at 35 or older; or insulin-treated type 2 with no insulin need in the first year); no ketoacidosis in the last 2 weeks; eGFR above a stated floor; glucose 4 mmol/L or more at the draw; not on a sulfonylurea at sampling.</w:t>
      </w:r>
    </w:p>
    <w:p>
      <w:pPr>
        <w:numPr>
          <w:ilvl w:val="0"/>
          <w:numId w:val="1002"/>
        </w:numPr>
        <w:pStyle w:val="Compact"/>
      </w:pPr>
      <w:r>
        <w:t xml:space="preserve">Measurements: random C-peptide on a harmonised platform, GAD antibody (and IA-2/ZnT8 if available), clinical model; genetic test for those meeting the MODY triage rule.</w:t>
      </w:r>
    </w:p>
    <w:p>
      <w:pPr>
        <w:numPr>
          <w:ilvl w:val="0"/>
          <w:numId w:val="1002"/>
        </w:numPr>
        <w:pStyle w:val="Compact"/>
      </w:pPr>
      <w:r>
        <w:t xml:space="preserve">Pre-specified bands (harmonised units): below 200; 200 to 600; 600 or more pmol/L.</w:t>
      </w:r>
    </w:p>
    <w:p>
      <w:pPr>
        <w:numPr>
          <w:ilvl w:val="1"/>
          <w:numId w:val="1003"/>
        </w:numPr>
        <w:pStyle w:val="Compact"/>
      </w:pPr>
      <w:r>
        <w:t xml:space="preserve">600 or more: stepwise insulin reduction over a defined schedule with a non-insulin agent, weekly glucose and ketone contact for 4 weeks (SGLT2 inhibitors excluded or used only with ketone monitoring, as the protocol states).</w:t>
      </w:r>
    </w:p>
    <w:p>
      <w:pPr>
        <w:numPr>
          <w:ilvl w:val="1"/>
          <w:numId w:val="1003"/>
        </w:numPr>
        <w:pStyle w:val="Compact"/>
      </w:pPr>
      <w:r>
        <w:t xml:space="preserve">200 to 600: de-escalate basal insulin only, never to zero; antibody result as modifier.</w:t>
      </w:r>
    </w:p>
    <w:p>
      <w:pPr>
        <w:numPr>
          <w:ilvl w:val="1"/>
          <w:numId w:val="1003"/>
        </w:numPr>
        <w:pStyle w:val="Compact"/>
      </w:pPr>
      <w:r>
        <w:t xml:space="preserve">Below 200: continue insulin; no withdrawal.</w:t>
      </w:r>
    </w:p>
    <w:p>
      <w:pPr>
        <w:numPr>
          <w:ilvl w:val="0"/>
          <w:numId w:val="1002"/>
        </w:numPr>
        <w:pStyle w:val="Compact"/>
      </w:pPr>
      <w:r>
        <w:t xml:space="preserve">Design: cluster stepped-wedge (usual care, then the C-peptide-guided pathway) allows a comparison; a single-arm cohort is the cheaper fallback.</w:t>
      </w:r>
    </w:p>
    <w:p>
      <w:pPr>
        <w:numPr>
          <w:ilvl w:val="0"/>
          <w:numId w:val="1002"/>
        </w:numPr>
        <w:pStyle w:val="Compact"/>
      </w:pPr>
      <w:r>
        <w:t xml:space="preserve">Primary endpoint: proportion reclassified with a documented treatment change at 12 months. Co-primary safety endpoint: diabetic ketoacidosis (pH below 7.30 or bicarbonate below 18 mmol/L with ketones) or admission for hyperglycaemia or ketosis in 12 months after any insulin reduction; HbA1c non-inferiority margin 0.5 percentage points.</w:t>
      </w:r>
    </w:p>
    <w:p>
      <w:pPr>
        <w:numPr>
          <w:ilvl w:val="0"/>
          <w:numId w:val="1002"/>
        </w:numPr>
        <w:pStyle w:val="Compact"/>
      </w:pPr>
      <w:r>
        <w:t xml:space="preserve">Secondary: severe hypoglycaemia, MODY yield and treatment change, proportion off insulin at 6 and 12 months, HbA1c, weight, insulin dose, patient-reported burden, healthcare use.</w:t>
      </w:r>
    </w:p>
    <w:p>
      <w:pPr>
        <w:numPr>
          <w:ilvl w:val="0"/>
          <w:numId w:val="1002"/>
        </w:numPr>
        <w:pStyle w:val="Compact"/>
      </w:pPr>
      <w:r>
        <w:t xml:space="preserve">Size: about 1,100 tested to estimate a 7% reclassification rate within 1.5 points; plan 1,500 to 2,500 for platform, band and clinic strata. About 100 to 170 reclassified, enough for a descriptive safety signal. With zero events in 100 withdrawals the upper 95% bound for DKA is about 3% (rule of three), so a rare-event claim needs more; a randomised testing-versus-no-testing trial would be larger and is probably not needed to move the tier.</w:t>
      </w:r>
    </w:p>
    <w:p>
      <w:pPr>
        <w:numPr>
          <w:ilvl w:val="0"/>
          <w:numId w:val="1002"/>
        </w:numPr>
        <w:pStyle w:val="Compact"/>
      </w:pPr>
      <w:r>
        <w:t xml:space="preserve">Judgement: about 65% chance of non-inferior HbA1c with no excess ketoacidosis (low confidence).</w:t>
      </w:r>
    </w:p>
    <w:bookmarkEnd w:id="22"/>
    <w:bookmarkEnd w:id="23"/>
    <w:bookmarkStart w:id="24" w:name="guideline-target"/>
    <w:p>
      <w:pPr>
        <w:pStyle w:val="Heading1"/>
      </w:pPr>
      <w:r>
        <w:t xml:space="preserve">3. Guideline target</w:t>
      </w:r>
    </w:p>
    <w:p>
      <w:pPr>
        <w:pStyle w:val="FirstParagraph"/>
      </w:pPr>
      <w:r>
        <w:t xml:space="preserve">ADA Standards of Care section 2 (Figure 2.1 notes and text) to move from</w:t>
      </w:r>
      <w:r>
        <w:t xml:space="preserve"> </w:t>
      </w:r>
      <w:r>
        <w:t xml:space="preserve">“</w:t>
      </w:r>
      <w:r>
        <w:t xml:space="preserve">must be measured</w:t>
      </w:r>
      <w:r>
        <w:t xml:space="preserve">”</w:t>
      </w:r>
      <w:r>
        <w:t xml:space="preserve"> </w:t>
      </w:r>
      <w:r>
        <w:t xml:space="preserve">to a stated cutoff, timing and eGFR rule, and a statement for the 200 to 600 band; section 9 for a de-escalation pathway; the next ADA/EASD adult type 1 consensus update. Without outcome data the wording stays at consensus level.</w:t>
      </w:r>
    </w:p>
    <w:bookmarkEnd w:id="24"/>
    <w:bookmarkStart w:id="25" w:name="X06d92f7166dab757be72765d1e97c9c002127d0"/>
    <w:p>
      <w:pPr>
        <w:pStyle w:val="Heading1"/>
      </w:pPr>
      <w:r>
        <w:t xml:space="preserve">4. Expected score movement if both steps succeed</w:t>
      </w:r>
    </w:p>
    <w:p>
      <w:pPr>
        <w:pStyle w:val="FirstParagraph"/>
      </w:pPr>
      <w:r>
        <w:t xml:space="preserve">D2 3 to 3 or 4 (4 only with controlled hard-outcome data); D8 clarified; D4 confidence up; D7 sourced if a US testing rate is obtained; S sourced. The composite is currently 0.655 (row 6) and 0.613 (row 31).</w:t>
      </w:r>
    </w:p>
    <w:bookmarkEnd w:id="25"/>
    <w:bookmarkStart w:id="26" w:name="risks-and-failure-modes"/>
    <w:p>
      <w:pPr>
        <w:pStyle w:val="Heading1"/>
      </w:pPr>
      <w:r>
        <w:t xml:space="preserve">5. Risks and failure modes</w:t>
      </w:r>
    </w:p>
    <w:p>
      <w:pPr>
        <w:numPr>
          <w:ilvl w:val="0"/>
          <w:numId w:val="1004"/>
        </w:numPr>
        <w:pStyle w:val="Compact"/>
      </w:pPr>
      <w:r>
        <w:t xml:space="preserve">Platforms do not agree at 200 pmol/L: cutoffs become platform-specific, and no single guideline number is possible.</w:t>
      </w:r>
    </w:p>
    <w:p>
      <w:pPr>
        <w:numPr>
          <w:ilvl w:val="0"/>
          <w:numId w:val="1004"/>
        </w:numPr>
        <w:pStyle w:val="Compact"/>
      </w:pPr>
      <w:r>
        <w:t xml:space="preserve">Safety signal in the 600-plus band (ketoacidosis after withdrawal): the step-down rule would need tightening or the pathway would stop at de-escalation.</w:t>
      </w:r>
    </w:p>
    <w:p>
      <w:pPr>
        <w:numPr>
          <w:ilvl w:val="0"/>
          <w:numId w:val="1004"/>
        </w:numPr>
        <w:pStyle w:val="Compact"/>
      </w:pPr>
      <w:r>
        <w:t xml:space="preserve">Small effect on outcomes: reclassification is about 7% in one clinic; a multi-site rate may be lower.</w:t>
      </w:r>
    </w:p>
    <w:p>
      <w:pPr>
        <w:numPr>
          <w:ilvl w:val="0"/>
          <w:numId w:val="1004"/>
        </w:numPr>
        <w:pStyle w:val="Compact"/>
      </w:pPr>
      <w:r>
        <w:t xml:space="preserve">Testing rate unknown: the D7 bin (2 to 4) cannot be fixed without a US testing-rate source.</w:t>
      </w:r>
    </w:p>
    <w:bookmarkEnd w:id="26"/>
    <w:bookmarkStart w:id="27" w:name="not-verified-carry-into-any-proposal"/>
    <w:p>
      <w:pPr>
        <w:pStyle w:val="Heading1"/>
      </w:pPr>
      <w:r>
        <w:t xml:space="preserve">6. Not verified (carry into any proposal)</w:t>
      </w:r>
    </w:p>
    <w:p>
      <w:pPr>
        <w:numPr>
          <w:ilvl w:val="0"/>
          <w:numId w:val="1005"/>
        </w:numPr>
        <w:pStyle w:val="Compact"/>
      </w:pPr>
      <w:r>
        <w:t xml:space="preserve">Holt and the ADA 2026 texts were read second-hand from project files in the dossier; an open full-text retrieval is running separately (</w:t>
      </w:r>
      <w:r>
        <w:rPr>
          <w:rStyle w:val="VerbatimChar"/>
        </w:rPr>
        <w:t xml:space="preserve">corpus/fulltext-attempt-2026-10-23.md</w:t>
      </w:r>
      <w:r>
        <w:t xml:space="preserve"> </w:t>
      </w:r>
      <w:r>
        <w:t xml:space="preserve">when it lands).</w:t>
      </w:r>
    </w:p>
    <w:p>
      <w:pPr>
        <w:numPr>
          <w:ilvl w:val="0"/>
          <w:numId w:val="1005"/>
        </w:numPr>
        <w:pStyle w:val="Compact"/>
      </w:pPr>
      <w:r>
        <w:t xml:space="preserve">The 11% reclassification figure sometimes quoted has no traced source; use 6.8%.</w:t>
      </w:r>
    </w:p>
    <w:p>
      <w:pPr>
        <w:numPr>
          <w:ilvl w:val="0"/>
          <w:numId w:val="1005"/>
        </w:numPr>
        <w:pStyle w:val="Compact"/>
      </w:pPr>
      <w:r>
        <w:t xml:space="preserve">No registry search was run for existing trials of C-peptide-guided insulin withdrawal.</w:t>
      </w:r>
    </w:p>
    <w:p>
      <w:pPr>
        <w:numPr>
          <w:ilvl w:val="0"/>
          <w:numId w:val="1005"/>
        </w:numPr>
        <w:pStyle w:val="Compact"/>
      </w:pPr>
      <w:r>
        <w:t xml:space="preserve">No funding source, partner or budget is assumed.</w:t>
      </w:r>
    </w:p>
    <w:bookmarkEnd w:id="27"/>
    <w:bookmarkStart w:id="31" w:name="X397b71f07929994290223f4360222ec31fc05af"/>
    <w:p>
      <w:pPr>
        <w:pStyle w:val="Heading1"/>
      </w:pPr>
      <w:r>
        <w:t xml:space="preserve">7. What already exists, and who to approach (added 2026-10-24)</w:t>
      </w:r>
    </w:p>
    <w:p>
      <w:pPr>
        <w:pStyle w:val="FirstParagraph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usecases/scoring/pathways/pathway-1-registry-search.md</w:t>
      </w:r>
      <w:r>
        <w:t xml:space="preserve"> </w:t>
      </w:r>
      <w:r>
        <w:t xml:space="preserve">(30 logged registry and literature look-ups) and</w:t>
      </w:r>
      <w:r>
        <w:t xml:space="preserve"> </w:t>
      </w:r>
      <w:r>
        <w:rPr>
          <w:rStyle w:val="VerbatimChar"/>
        </w:rPr>
        <w:t xml:space="preserve">usecases/scoring/pathways/pathway-1-partners.md</w:t>
      </w:r>
      <w:r>
        <w:t xml:space="preserve"> </w:t>
      </w:r>
      <w:r>
        <w:t xml:space="preserve">(27 look-ups, public sources only, no personal contact data). Both are desk research; no organisation has been contacted, and willingness, capacity and fees are unknown.</w:t>
      </w:r>
    </w:p>
    <w:bookmarkStart w:id="28" w:name="Xf632bc66c4fb82b431e506dea1527a4657b5000"/>
    <w:p>
      <w:pPr>
        <w:pStyle w:val="Heading2"/>
      </w:pPr>
      <w:r>
        <w:t xml:space="preserve">Does a trial already answer Step A or Step B?</w:t>
      </w:r>
    </w:p>
    <w:p>
      <w:pPr>
        <w:pStyle w:val="FirstParagraph"/>
      </w:pPr>
      <w:r>
        <w:t xml:space="preserve">No registered trial was found that answers either step, and no US record was found at all (WHO ICTRP results could not be read directly; abstracts only).</w:t>
      </w:r>
      <w:r>
        <w:t xml:space="preserve"> </w:t>
      </w:r>
      <w:r>
        <w:t xml:space="preserve">- Step A: no registered cross-platform C-peptide harmonisation study. Published laboratory work only: TaMADOR (PMID 38549041, DOI 10.1093/clinchem/hvae034), Deng 2023 (PMID 37141618, DOI 10.1515/cclm-2023-0215) and Hörber 2023 (PMID 36630986), all abstract level. No published US split-sample comparison at 80, 200 and 600 pmol/L.</w:t>
      </w:r>
      <w:r>
        <w:t xml:space="preserve"> </w:t>
      </w:r>
      <w:r>
        <w:t xml:space="preserve">- Step B: the closest design is CLASP (ISRCTN76893830, Dundee, UK), a single-arm pilot in 28 frail adults aged 70 or older with type 2 diabetes that withdraws insulin at random C-peptide of 900 pmol/L or more, with ketoacidosis and hyperosmolar state as secondary outcomes; no results found. Its cutoff is higher than this plan’s 600 pmol/L band, which is worth weighing when the step-down rule is set. Partly related, both UK: ARC-T1D (NCT06821360) and StartRight (PMID 36205650).</w:t>
      </w:r>
    </w:p>
    <w:bookmarkEnd w:id="28"/>
    <w:bookmarkStart w:id="29" w:name="X25442469a247b121440aaaaf44195bcee01b36d"/>
    <w:p>
      <w:pPr>
        <w:pStyle w:val="Heading2"/>
      </w:pPr>
      <w:r>
        <w:t xml:space="preserve">Candidate partners (ranked by fit; a judgement, not an endorsement)</w:t>
      </w:r>
    </w:p>
    <w:p>
      <w:pPr>
        <w:numPr>
          <w:ilvl w:val="0"/>
          <w:numId w:val="1006"/>
        </w:numPr>
        <w:pStyle w:val="Compact"/>
      </w:pPr>
      <w:r>
        <w:t xml:space="preserve">University of Missouri Diabetes Diagnostic Laboratory / C-peptide Standardization Program: the only US laboratory with a C-peptide reference measurement procedure on the international (JCTLM) register, plus commutable serum materials and multi-manufacturer studies (Rohlfing 2025, PMID 39803820, DOI 10.1515/cclm-2024-1260, full text). Step A reference values and materials.</w:t>
      </w:r>
    </w:p>
    <w:p>
      <w:pPr>
        <w:numPr>
          <w:ilvl w:val="0"/>
          <w:numId w:val="1006"/>
        </w:numPr>
        <w:pStyle w:val="Compact"/>
      </w:pPr>
      <w:r>
        <w:t xml:space="preserve">University of Washington (Hoofnagle laboratory, TaMADOR method): an independent LC-MS/MS method already compared with the Missouri procedure (PMIDs 34723236, 38549041). Second mass-spectrometry arm.</w:t>
      </w:r>
    </w:p>
    <w:p>
      <w:pPr>
        <w:numPr>
          <w:ilvl w:val="0"/>
          <w:numId w:val="1006"/>
        </w:numPr>
        <w:pStyle w:val="Compact"/>
      </w:pPr>
      <w:r>
        <w:t xml:space="preserve">Assay manufacturers, approached through the standardisation committee rather than one by one: Roche, Abbott, Siemens (Centaur and Atellica), DiaSorin and Tosoh have US-documented C-peptide products; Beckman, QuidelOrtho, Fujirebio, ALPCO and Mercodia need their US status checked. C-peptide assays are FDA Class I and exempt from 510(k) (21 CFR 862.1135), so FDA records cannot confirm which assays are on the US market; confirm from US labelling.</w:t>
      </w:r>
    </w:p>
    <w:p>
      <w:pPr>
        <w:numPr>
          <w:ilvl w:val="0"/>
          <w:numId w:val="1006"/>
        </w:numPr>
        <w:pStyle w:val="Compact"/>
      </w:pPr>
      <w:r>
        <w:t xml:space="preserve">RADIANT (rare and atypical diabetes network; PMIDs 37104866, 42892882): the closest population match for</w:t>
      </w:r>
      <w:r>
        <w:t xml:space="preserve"> </w:t>
      </w:r>
      <w:r>
        <w:t xml:space="preserve">“</w:t>
      </w:r>
      <w:r>
        <w:t xml:space="preserve">insulin-treated, type uncertain</w:t>
      </w:r>
      <w:r>
        <w:t xml:space="preserve">”</w:t>
      </w:r>
      <w:r>
        <w:t xml:space="preserve">; an ancillary study is likely more feasible than a separate network. Step B.</w:t>
      </w:r>
    </w:p>
    <w:p>
      <w:pPr>
        <w:numPr>
          <w:ilvl w:val="0"/>
          <w:numId w:val="1006"/>
        </w:numPr>
        <w:pStyle w:val="Compact"/>
      </w:pPr>
      <w:r>
        <w:t xml:space="preserve">T1D Exchange Quality Improvement network: adult clinics and a shared data platform for the stepped-wedge design, but a T1D-labelled, mostly paediatric population. Step B arm for</w:t>
      </w:r>
      <w:r>
        <w:t xml:space="preserve"> </w:t>
      </w:r>
      <w:r>
        <w:t xml:space="preserve">“</w:t>
      </w:r>
      <w:r>
        <w:t xml:space="preserve">T1D label with BMI 30 or more, or diagnosis at 35 or older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College of American Pathologists accuracy-based survey: if it still runs, a low-cost baseline of US platform bias against reference values (status unverified).</w:t>
      </w:r>
    </w:p>
    <w:p>
      <w:pPr>
        <w:numPr>
          <w:ilvl w:val="0"/>
          <w:numId w:val="1006"/>
        </w:numPr>
        <w:pStyle w:val="Compact"/>
      </w:pPr>
      <w:r>
        <w:t xml:space="preserve">Single academic centres (Johns Hopkins, Indiana, Penn, Chicago) as founding Step B sites or protocol co-authors.</w:t>
      </w:r>
    </w:p>
    <w:bookmarkEnd w:id="29"/>
    <w:bookmarkStart w:id="30" w:name="new-gaps-for-step-a"/>
    <w:p>
      <w:pPr>
        <w:pStyle w:val="Heading2"/>
      </w:pPr>
      <w:r>
        <w:t xml:space="preserve">New gaps for Step A</w:t>
      </w:r>
    </w:p>
    <w:p>
      <w:pPr>
        <w:numPr>
          <w:ilvl w:val="0"/>
          <w:numId w:val="1007"/>
        </w:numPr>
        <w:pStyle w:val="Compact"/>
      </w:pPr>
      <w:r>
        <w:t xml:space="preserve">Biological variation (gap search 2026-10-24,</w:t>
      </w:r>
      <w:r>
        <w:t xml:space="preserve"> </w:t>
      </w:r>
      <w:r>
        <w:rPr>
          <w:rStyle w:val="VerbatimChar"/>
        </w:rPr>
        <w:t xml:space="preserve">usecases/scoring/pathways/pathway-1-cpeptide-variation.md</w:t>
      </w:r>
      <w:r>
        <w:t xml:space="preserve">, 24 logged look-ups): no study gives within-person variation of random C-peptide in insulin-treated adults or anyone with diabetes. Published within-person CVs (about 9% to 28%) come from healthy, mostly fasting people on older assays; the EFLM database has no meta-analysed value; the nearest diabetes figures are fasting 38% and post-meal 27% in type 2 diabetes (Bowman 2012, abstract only). Step A (or a small add-on) therefore has to measure repeat random C-peptide in insulin-treated adults itself.</w:t>
      </w:r>
    </w:p>
    <w:p>
      <w:pPr>
        <w:numPr>
          <w:ilvl w:val="0"/>
          <w:numId w:val="1007"/>
        </w:numPr>
        <w:pStyle w:val="Compact"/>
      </w:pPr>
      <w:r>
        <w:t xml:space="preserve">Assay performance: within-laboratory CV about 1.4% to 10%; bias between methods about 20% to 52%. The only published specification is the Ricós/Westgard 2014 table (desirable bias 7.1%, total error 20.8%), which corresponds to roughly 6, 14 and 43 pmol/L at 80, 200 and 600 pmol/L (a derivation, not a finding). Measured inter-method bias is 3 to 7 times larger, which is the case for Step A.</w:t>
      </w:r>
    </w:p>
    <w:p>
      <w:pPr>
        <w:numPr>
          <w:ilvl w:val="0"/>
          <w:numId w:val="1007"/>
        </w:numPr>
        <w:pStyle w:val="Compact"/>
      </w:pPr>
      <w:r>
        <w:t xml:space="preserve">Sample handling: C-peptide in EDTA whole blood was reported stable for 24 hours at room temperature, while unspun serum lost 22% to 74%; Step A should standardise on EDTA plasma with stated handling times.</w:t>
      </w:r>
    </w:p>
    <w:p>
      <w:pPr>
        <w:numPr>
          <w:ilvl w:val="0"/>
          <w:numId w:val="1007"/>
        </w:numPr>
        <w:pStyle w:val="Compact"/>
      </w:pPr>
      <w:r>
        <w:t xml:space="preserve">Sample stability and pre-analytical handling need their own validation (flagged, not quantified, in Rohlfing 2025).</w:t>
      </w:r>
    </w:p>
    <w:p>
      <w:pPr>
        <w:numPr>
          <w:ilvl w:val="0"/>
          <w:numId w:val="1007"/>
        </w:numPr>
        <w:pStyle w:val="Compact"/>
      </w:pPr>
      <w:r>
        <w:t xml:space="preserve">No CDC or NIST C-peptide programme was found.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Pathway 1 plan: random C-peptide in insulin-treated adults of uncertain diabetes type (rows 6 and 31)</dc:title>
  <dc:creator/>
  <cp:keywords/>
  <dcterms:created xsi:type="dcterms:W3CDTF">2026-10-24T02:18:23Z</dcterms:created>
  <dcterms:modified xsi:type="dcterms:W3CDTF">2026-10-24T02:18:23Z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