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A67DAA" w14:textId="1423A298" w:rsidR="001A1A5A" w:rsidRPr="001A1A5A" w:rsidRDefault="001A1A5A" w:rsidP="001A1A5A">
      <w:r w:rsidRPr="001A1A5A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Non-compliance</w:t>
      </w:r>
      <w:r w:rsidRPr="001A1A5A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rate based on Population Category </w:t>
      </w:r>
    </w:p>
    <w:p w14:paraId="07817CE9" w14:textId="36214CAE" w:rsidR="001A1A5A" w:rsidRDefault="001A1A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1A1A5A" w:rsidRPr="001A1A5A" w14:paraId="184FA0C8" w14:textId="43B035A5" w:rsidTr="002356D0">
        <w:tc>
          <w:tcPr>
            <w:tcW w:w="1803" w:type="dxa"/>
          </w:tcPr>
          <w:p w14:paraId="6138F72E" w14:textId="59E1ECAF" w:rsidR="001A1A5A" w:rsidRPr="001A1A5A" w:rsidRDefault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</w:t>
            </w:r>
            <w:r w:rsidRPr="001A1A5A">
              <w:rPr>
                <w:rFonts w:asciiTheme="minorHAnsi" w:hAnsiTheme="minorHAnsi" w:cstheme="minorHAnsi"/>
              </w:rPr>
              <w:t xml:space="preserve"> /limit</w:t>
            </w:r>
          </w:p>
        </w:tc>
        <w:tc>
          <w:tcPr>
            <w:tcW w:w="1803" w:type="dxa"/>
          </w:tcPr>
          <w:p w14:paraId="75084902" w14:textId="77777777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616F9798" w14:textId="77777777" w:rsidR="001A1A5A" w:rsidRPr="001A1A5A" w:rsidRDefault="001A1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336695E4" w14:textId="77777777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1117940A" w14:textId="77777777" w:rsidR="001A1A5A" w:rsidRPr="001A1A5A" w:rsidRDefault="001A1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2829A56" w14:textId="77777777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5096F3BC" w14:textId="77777777" w:rsidR="001A1A5A" w:rsidRPr="001A1A5A" w:rsidRDefault="001A1A5A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5A06C651" w14:textId="51BD907A" w:rsidR="001A1A5A" w:rsidRPr="001A1A5A" w:rsidRDefault="001A1A5A" w:rsidP="001A1A5A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Entire State</w:t>
            </w:r>
          </w:p>
        </w:tc>
      </w:tr>
      <w:tr w:rsidR="001A1A5A" w:rsidRPr="001A1A5A" w14:paraId="01E36823" w14:textId="50F3074A" w:rsidTr="00AE3AE9">
        <w:tc>
          <w:tcPr>
            <w:tcW w:w="1803" w:type="dxa"/>
          </w:tcPr>
          <w:p w14:paraId="41D7D606" w14:textId="71CB8A3A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Lower Limit</w:t>
            </w:r>
          </w:p>
        </w:tc>
        <w:tc>
          <w:tcPr>
            <w:tcW w:w="1803" w:type="dxa"/>
            <w:vAlign w:val="bottom"/>
          </w:tcPr>
          <w:p w14:paraId="103A74F5" w14:textId="4A9D4D00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</w:rPr>
              <w:t>19.78%</w:t>
            </w:r>
          </w:p>
        </w:tc>
        <w:tc>
          <w:tcPr>
            <w:tcW w:w="1803" w:type="dxa"/>
            <w:vAlign w:val="bottom"/>
          </w:tcPr>
          <w:p w14:paraId="2DA58723" w14:textId="0B6AED39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</w:rPr>
              <w:t>8.52%</w:t>
            </w:r>
          </w:p>
        </w:tc>
        <w:tc>
          <w:tcPr>
            <w:tcW w:w="1803" w:type="dxa"/>
            <w:vAlign w:val="bottom"/>
          </w:tcPr>
          <w:p w14:paraId="423E2308" w14:textId="2F653CE2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</w:rPr>
              <w:t>15.91%</w:t>
            </w:r>
          </w:p>
        </w:tc>
        <w:tc>
          <w:tcPr>
            <w:tcW w:w="1803" w:type="dxa"/>
            <w:vAlign w:val="bottom"/>
          </w:tcPr>
          <w:p w14:paraId="166B7103" w14:textId="3BF51375" w:rsidR="001A1A5A" w:rsidRPr="001A1A5A" w:rsidRDefault="001A1A5A" w:rsidP="001A1A5A">
            <w:pPr>
              <w:rPr>
                <w:rFonts w:cstheme="minorHAnsi"/>
                <w:b/>
                <w:bCs/>
              </w:rPr>
            </w:pPr>
            <w:r w:rsidRPr="001A1A5A">
              <w:rPr>
                <w:rFonts w:ascii="Arial" w:hAnsi="Arial" w:cs="Arial"/>
                <w:b/>
                <w:bCs/>
                <w:sz w:val="20"/>
                <w:szCs w:val="20"/>
              </w:rPr>
              <w:t>13.77%</w:t>
            </w:r>
          </w:p>
        </w:tc>
      </w:tr>
      <w:tr w:rsidR="001A1A5A" w:rsidRPr="001A1A5A" w14:paraId="1AD619A5" w14:textId="32DB2C60" w:rsidTr="00D540E4">
        <w:tc>
          <w:tcPr>
            <w:tcW w:w="1803" w:type="dxa"/>
          </w:tcPr>
          <w:p w14:paraId="0C1EABF5" w14:textId="2882B561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0FB7940D" w14:textId="276A6225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</w:rPr>
              <w:t>21.23%</w:t>
            </w:r>
          </w:p>
        </w:tc>
        <w:tc>
          <w:tcPr>
            <w:tcW w:w="1803" w:type="dxa"/>
            <w:vAlign w:val="bottom"/>
          </w:tcPr>
          <w:p w14:paraId="10B76A1E" w14:textId="600D116F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</w:rPr>
              <w:t>9.41%</w:t>
            </w:r>
          </w:p>
        </w:tc>
        <w:tc>
          <w:tcPr>
            <w:tcW w:w="1803" w:type="dxa"/>
            <w:vAlign w:val="bottom"/>
          </w:tcPr>
          <w:p w14:paraId="676EBC5A" w14:textId="267C842B" w:rsidR="001A1A5A" w:rsidRPr="001A1A5A" w:rsidRDefault="001A1A5A" w:rsidP="001A1A5A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</w:rPr>
              <w:t>19.00%</w:t>
            </w:r>
          </w:p>
        </w:tc>
        <w:tc>
          <w:tcPr>
            <w:tcW w:w="1803" w:type="dxa"/>
            <w:vAlign w:val="bottom"/>
          </w:tcPr>
          <w:p w14:paraId="1D421FC4" w14:textId="195E468E" w:rsidR="001A1A5A" w:rsidRPr="001A1A5A" w:rsidRDefault="001A1A5A" w:rsidP="001A1A5A">
            <w:pPr>
              <w:rPr>
                <w:rFonts w:cstheme="minorHAnsi"/>
                <w:b/>
                <w:bCs/>
              </w:rPr>
            </w:pPr>
            <w:r w:rsidRPr="001A1A5A">
              <w:rPr>
                <w:rFonts w:ascii="Arial" w:hAnsi="Arial" w:cs="Arial"/>
                <w:b/>
                <w:bCs/>
                <w:sz w:val="20"/>
                <w:szCs w:val="20"/>
              </w:rPr>
              <w:t>14.55%</w:t>
            </w:r>
          </w:p>
        </w:tc>
      </w:tr>
    </w:tbl>
    <w:p w14:paraId="3687702D" w14:textId="614A0F62" w:rsidR="001A1A5A" w:rsidRDefault="001A1A5A"/>
    <w:p w14:paraId="1F3E6D71" w14:textId="0B854FE3" w:rsidR="001A1A5A" w:rsidRDefault="001A1A5A">
      <w:r>
        <w:t xml:space="preserve">Key Points. </w:t>
      </w:r>
    </w:p>
    <w:p w14:paraId="14566D7E" w14:textId="52B32CD3" w:rsidR="001A1A5A" w:rsidRDefault="001A1A5A"/>
    <w:p w14:paraId="608D75EF" w14:textId="1BCDCEB5" w:rsidR="001A1A5A" w:rsidRDefault="001A1A5A" w:rsidP="001A1A5A">
      <w:pPr>
        <w:pStyle w:val="ListParagraph"/>
        <w:numPr>
          <w:ilvl w:val="0"/>
          <w:numId w:val="1"/>
        </w:numPr>
      </w:pPr>
      <w:r>
        <w:t>Average non-compliance rate across all lines in 13.77% to 14.55%, from the above table we can see the proportion is less for Below average population postcodes, and high for other two.</w:t>
      </w:r>
    </w:p>
    <w:p w14:paraId="417FC301" w14:textId="3612A222" w:rsidR="001A1A5A" w:rsidRDefault="001A1A5A" w:rsidP="001A1A5A">
      <w:pPr>
        <w:pStyle w:val="ListParagraph"/>
        <w:numPr>
          <w:ilvl w:val="0"/>
          <w:numId w:val="1"/>
        </w:numPr>
      </w:pPr>
      <w:r>
        <w:t xml:space="preserve">We can also see there is about only 1.27% to 4.83% difference above and highly populated areas </w:t>
      </w:r>
    </w:p>
    <w:p w14:paraId="03E2C54D" w14:textId="5D01D7A6" w:rsidR="001A1A5A" w:rsidRDefault="001A1A5A" w:rsidP="00176176"/>
    <w:p w14:paraId="5EC31933" w14:textId="3AE7E7FD" w:rsidR="00176176" w:rsidRDefault="00291615" w:rsidP="0017617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P</w:t>
      </w:r>
      <w:r w:rsidR="00176176" w:rsidRPr="00176176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roportion</w:t>
      </w:r>
      <w:r w:rsidR="00176176" w:rsidRPr="00176176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 of lines based on the organisation maintaining the Lines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291615" w:rsidRPr="001A1A5A" w14:paraId="67D70682" w14:textId="77777777" w:rsidTr="001A6CBD">
        <w:tc>
          <w:tcPr>
            <w:tcW w:w="9015" w:type="dxa"/>
            <w:gridSpan w:val="5"/>
          </w:tcPr>
          <w:p w14:paraId="68CBA71E" w14:textId="43605CE5" w:rsidR="00291615" w:rsidRDefault="00291615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Council</w:t>
            </w:r>
          </w:p>
        </w:tc>
      </w:tr>
      <w:tr w:rsidR="00291615" w:rsidRPr="001A1A5A" w14:paraId="18D43566" w14:textId="77777777" w:rsidTr="00371F30">
        <w:tc>
          <w:tcPr>
            <w:tcW w:w="1803" w:type="dxa"/>
          </w:tcPr>
          <w:p w14:paraId="35504510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 /limit</w:t>
            </w:r>
          </w:p>
        </w:tc>
        <w:tc>
          <w:tcPr>
            <w:tcW w:w="1803" w:type="dxa"/>
          </w:tcPr>
          <w:p w14:paraId="63764DB9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4C9096C3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61F48789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7D0084A8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7EE24D5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2607C657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350AB9C" w14:textId="77777777" w:rsidR="00291615" w:rsidRPr="001A1A5A" w:rsidRDefault="00291615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Entire State</w:t>
            </w:r>
          </w:p>
        </w:tc>
      </w:tr>
      <w:tr w:rsidR="00291615" w:rsidRPr="001A1A5A" w14:paraId="494A4B76" w14:textId="77777777" w:rsidTr="00371F30">
        <w:tc>
          <w:tcPr>
            <w:tcW w:w="1803" w:type="dxa"/>
          </w:tcPr>
          <w:p w14:paraId="20114699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Lower Limit</w:t>
            </w:r>
          </w:p>
        </w:tc>
        <w:tc>
          <w:tcPr>
            <w:tcW w:w="1803" w:type="dxa"/>
            <w:vAlign w:val="bottom"/>
          </w:tcPr>
          <w:p w14:paraId="51CE2C6E" w14:textId="346C2BC7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60.53%</w:t>
            </w:r>
          </w:p>
        </w:tc>
        <w:tc>
          <w:tcPr>
            <w:tcW w:w="1803" w:type="dxa"/>
            <w:vAlign w:val="bottom"/>
          </w:tcPr>
          <w:p w14:paraId="6D8B516C" w14:textId="11A5B355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6.72%</w:t>
            </w:r>
          </w:p>
        </w:tc>
        <w:tc>
          <w:tcPr>
            <w:tcW w:w="1803" w:type="dxa"/>
            <w:vAlign w:val="bottom"/>
          </w:tcPr>
          <w:p w14:paraId="14BF97CB" w14:textId="202D9187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62.01%</w:t>
            </w:r>
          </w:p>
        </w:tc>
        <w:tc>
          <w:tcPr>
            <w:tcW w:w="1803" w:type="dxa"/>
            <w:vAlign w:val="bottom"/>
          </w:tcPr>
          <w:p w14:paraId="152F0E75" w14:textId="7400C749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43.04%</w:t>
            </w:r>
          </w:p>
        </w:tc>
      </w:tr>
      <w:tr w:rsidR="00291615" w:rsidRPr="001A1A5A" w14:paraId="7E0AAC51" w14:textId="77777777" w:rsidTr="00371F30">
        <w:tc>
          <w:tcPr>
            <w:tcW w:w="1803" w:type="dxa"/>
          </w:tcPr>
          <w:p w14:paraId="423DC71B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570C3D76" w14:textId="4667AC1A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64.44%</w:t>
            </w:r>
          </w:p>
        </w:tc>
        <w:tc>
          <w:tcPr>
            <w:tcW w:w="1803" w:type="dxa"/>
            <w:vAlign w:val="bottom"/>
          </w:tcPr>
          <w:p w14:paraId="0B9EABDE" w14:textId="72458205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9.60%</w:t>
            </w:r>
          </w:p>
        </w:tc>
        <w:tc>
          <w:tcPr>
            <w:tcW w:w="1803" w:type="dxa"/>
            <w:vAlign w:val="bottom"/>
          </w:tcPr>
          <w:p w14:paraId="61340883" w14:textId="57DE8775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71.33%</w:t>
            </w:r>
          </w:p>
        </w:tc>
        <w:tc>
          <w:tcPr>
            <w:tcW w:w="1803" w:type="dxa"/>
            <w:vAlign w:val="bottom"/>
          </w:tcPr>
          <w:p w14:paraId="24377184" w14:textId="5E5553FB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46.07%</w:t>
            </w:r>
          </w:p>
        </w:tc>
      </w:tr>
    </w:tbl>
    <w:p w14:paraId="1067DE8A" w14:textId="78090DFF" w:rsidR="00176176" w:rsidRDefault="00176176" w:rsidP="0017617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3"/>
      </w:tblGrid>
      <w:tr w:rsidR="00291615" w:rsidRPr="001A1A5A" w14:paraId="487083B2" w14:textId="77777777" w:rsidTr="00F91045">
        <w:tc>
          <w:tcPr>
            <w:tcW w:w="9015" w:type="dxa"/>
            <w:gridSpan w:val="5"/>
          </w:tcPr>
          <w:p w14:paraId="4199E845" w14:textId="213A0490" w:rsidR="00291615" w:rsidRDefault="00291615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Company</w:t>
            </w:r>
          </w:p>
        </w:tc>
      </w:tr>
      <w:tr w:rsidR="00291615" w:rsidRPr="001A1A5A" w14:paraId="1774E5AF" w14:textId="77777777" w:rsidTr="00371F30">
        <w:tc>
          <w:tcPr>
            <w:tcW w:w="1803" w:type="dxa"/>
          </w:tcPr>
          <w:p w14:paraId="54750EE5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 /limit</w:t>
            </w:r>
          </w:p>
        </w:tc>
        <w:tc>
          <w:tcPr>
            <w:tcW w:w="1803" w:type="dxa"/>
          </w:tcPr>
          <w:p w14:paraId="29C956FC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2C1ADBB0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D6AB61F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21D98C2B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31E31D59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70E99CFF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4D38CF48" w14:textId="77777777" w:rsidR="00291615" w:rsidRPr="001A1A5A" w:rsidRDefault="00291615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Entire State</w:t>
            </w:r>
          </w:p>
        </w:tc>
      </w:tr>
      <w:tr w:rsidR="00291615" w:rsidRPr="001A1A5A" w14:paraId="0A95A5A1" w14:textId="77777777" w:rsidTr="00371F30">
        <w:tc>
          <w:tcPr>
            <w:tcW w:w="1803" w:type="dxa"/>
          </w:tcPr>
          <w:p w14:paraId="7A9C2CF5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Lower Limit</w:t>
            </w:r>
          </w:p>
        </w:tc>
        <w:tc>
          <w:tcPr>
            <w:tcW w:w="1803" w:type="dxa"/>
            <w:vAlign w:val="bottom"/>
          </w:tcPr>
          <w:p w14:paraId="5475B0A8" w14:textId="251B5AEE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35.56%</w:t>
            </w:r>
          </w:p>
        </w:tc>
        <w:tc>
          <w:tcPr>
            <w:tcW w:w="1803" w:type="dxa"/>
            <w:vAlign w:val="bottom"/>
          </w:tcPr>
          <w:p w14:paraId="42070E66" w14:textId="7B5420D1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90.40%</w:t>
            </w:r>
          </w:p>
        </w:tc>
        <w:tc>
          <w:tcPr>
            <w:tcW w:w="1803" w:type="dxa"/>
            <w:vAlign w:val="bottom"/>
          </w:tcPr>
          <w:p w14:paraId="23C03214" w14:textId="054A4DD2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28.67%</w:t>
            </w:r>
          </w:p>
        </w:tc>
        <w:tc>
          <w:tcPr>
            <w:tcW w:w="1803" w:type="dxa"/>
            <w:vAlign w:val="bottom"/>
          </w:tcPr>
          <w:p w14:paraId="1F4DE6A2" w14:textId="26E26E05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53.93%</w:t>
            </w:r>
          </w:p>
        </w:tc>
      </w:tr>
      <w:tr w:rsidR="00291615" w:rsidRPr="001A1A5A" w14:paraId="738714D7" w14:textId="77777777" w:rsidTr="00371F30">
        <w:tc>
          <w:tcPr>
            <w:tcW w:w="1803" w:type="dxa"/>
          </w:tcPr>
          <w:p w14:paraId="29FFBD9F" w14:textId="77777777" w:rsidR="00291615" w:rsidRPr="001A1A5A" w:rsidRDefault="00291615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531A5613" w14:textId="0FAD3F68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39.47%</w:t>
            </w:r>
          </w:p>
        </w:tc>
        <w:tc>
          <w:tcPr>
            <w:tcW w:w="1803" w:type="dxa"/>
            <w:vAlign w:val="bottom"/>
          </w:tcPr>
          <w:p w14:paraId="34650486" w14:textId="00203E95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93.28%</w:t>
            </w:r>
          </w:p>
        </w:tc>
        <w:tc>
          <w:tcPr>
            <w:tcW w:w="1803" w:type="dxa"/>
            <w:vAlign w:val="bottom"/>
          </w:tcPr>
          <w:p w14:paraId="226B588E" w14:textId="3B2BD515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37.99%</w:t>
            </w:r>
          </w:p>
        </w:tc>
        <w:tc>
          <w:tcPr>
            <w:tcW w:w="1803" w:type="dxa"/>
            <w:vAlign w:val="bottom"/>
          </w:tcPr>
          <w:p w14:paraId="0B310B31" w14:textId="16F1DD43" w:rsidR="00291615" w:rsidRPr="00291615" w:rsidRDefault="00291615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56.96%</w:t>
            </w:r>
          </w:p>
        </w:tc>
      </w:tr>
    </w:tbl>
    <w:p w14:paraId="48EB58D7" w14:textId="53523D78" w:rsidR="00291615" w:rsidRDefault="00291615" w:rsidP="0017617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p w14:paraId="53DC1A54" w14:textId="638DBF4F" w:rsidR="00291615" w:rsidRPr="00291615" w:rsidRDefault="00291615" w:rsidP="00176176">
      <w:pPr>
        <w:rPr>
          <w:rFonts w:ascii="Calibri" w:hAnsi="Calibri" w:cs="Calibri"/>
          <w:color w:val="000000"/>
          <w:shd w:val="clear" w:color="auto" w:fill="FFFFFF"/>
        </w:rPr>
      </w:pPr>
      <w:r w:rsidRPr="00291615">
        <w:rPr>
          <w:rFonts w:ascii="Calibri" w:hAnsi="Calibri" w:cs="Calibri"/>
          <w:color w:val="000000"/>
          <w:shd w:val="clear" w:color="auto" w:fill="FFFFFF"/>
        </w:rPr>
        <w:t>Key points</w:t>
      </w:r>
    </w:p>
    <w:p w14:paraId="5E92DFB6" w14:textId="0D2B8CC9" w:rsidR="00291615" w:rsidRPr="00291615" w:rsidRDefault="00291615" w:rsidP="0029161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91615">
        <w:rPr>
          <w:rFonts w:ascii="Calibri" w:hAnsi="Calibri" w:cs="Calibri"/>
          <w:color w:val="000000"/>
          <w:shd w:val="clear" w:color="auto" w:fill="FFFFFF"/>
        </w:rPr>
        <w:t xml:space="preserve">We can see that, non-compliance is very less in below average populated areas. </w:t>
      </w:r>
    </w:p>
    <w:p w14:paraId="5AC4AAE6" w14:textId="3DF31311" w:rsidR="00291615" w:rsidRPr="00291615" w:rsidRDefault="00291615" w:rsidP="0029161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91615">
        <w:rPr>
          <w:rFonts w:ascii="Calibri" w:hAnsi="Calibri" w:cs="Calibri"/>
          <w:color w:val="000000"/>
          <w:shd w:val="clear" w:color="auto" w:fill="FFFFFF"/>
        </w:rPr>
        <w:t xml:space="preserve">On contrary company has non-compliance of 90 to 93# in below average populated areas. </w:t>
      </w:r>
    </w:p>
    <w:p w14:paraId="0DE90815" w14:textId="35DE5E1D" w:rsidR="00291615" w:rsidRPr="00291615" w:rsidRDefault="00291615" w:rsidP="00176176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hd w:val="clear" w:color="auto" w:fill="FFFFFF"/>
        </w:rPr>
      </w:pPr>
      <w:r w:rsidRPr="00291615">
        <w:rPr>
          <w:rFonts w:ascii="Calibri" w:hAnsi="Calibri" w:cs="Calibri"/>
          <w:color w:val="000000"/>
          <w:shd w:val="clear" w:color="auto" w:fill="FFFFFF"/>
        </w:rPr>
        <w:t>We can also see that trend is same across above and high populated areas.</w:t>
      </w:r>
    </w:p>
    <w:p w14:paraId="5433420C" w14:textId="77777777" w:rsidR="00291615" w:rsidRDefault="00291615" w:rsidP="0017617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p w14:paraId="03CF2FC4" w14:textId="17F7BEB6" w:rsidR="00291615" w:rsidRDefault="00291615" w:rsidP="0017617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P</w:t>
      </w:r>
      <w:r w:rsidRPr="00176176"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 xml:space="preserve">roportion of lines based on the </w:t>
      </w:r>
      <w: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  <w:t>network type</w:t>
      </w:r>
    </w:p>
    <w:p w14:paraId="165C128D" w14:textId="77777777" w:rsidR="00291615" w:rsidRDefault="00291615" w:rsidP="00176176">
      <w:pPr>
        <w:rPr>
          <w:rFonts w:ascii="Calibri" w:hAnsi="Calibri" w:cs="Calibri"/>
          <w:b/>
          <w:bCs/>
          <w:color w:val="000000"/>
          <w:sz w:val="36"/>
          <w:szCs w:val="36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5778B" w:rsidRPr="001A1A5A" w14:paraId="0C5BC234" w14:textId="77777777" w:rsidTr="00A91527">
        <w:tc>
          <w:tcPr>
            <w:tcW w:w="1803" w:type="dxa"/>
          </w:tcPr>
          <w:p w14:paraId="2DBB2894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ANS</w:t>
            </w:r>
          </w:p>
        </w:tc>
        <w:tc>
          <w:tcPr>
            <w:tcW w:w="1803" w:type="dxa"/>
          </w:tcPr>
          <w:p w14:paraId="0010759C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127C8BDC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4F0E3484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</w:tr>
      <w:tr w:rsidR="00F5778B" w:rsidRPr="001A1A5A" w14:paraId="76530625" w14:textId="77777777" w:rsidTr="00371F30">
        <w:tc>
          <w:tcPr>
            <w:tcW w:w="1803" w:type="dxa"/>
          </w:tcPr>
          <w:p w14:paraId="1ED3E3E1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 /limit</w:t>
            </w:r>
          </w:p>
        </w:tc>
        <w:tc>
          <w:tcPr>
            <w:tcW w:w="1803" w:type="dxa"/>
          </w:tcPr>
          <w:p w14:paraId="41D9E4E9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5F2FA4FF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41D9A91F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5639E5F9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063867E3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3CF62E8E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</w:tr>
      <w:tr w:rsidR="00F5778B" w:rsidRPr="001A1A5A" w14:paraId="0DFB1007" w14:textId="77777777" w:rsidTr="00371F30">
        <w:tc>
          <w:tcPr>
            <w:tcW w:w="1803" w:type="dxa"/>
          </w:tcPr>
          <w:p w14:paraId="6A1FC1BC" w14:textId="77777777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lastRenderedPageBreak/>
              <w:t>Lower Limit</w:t>
            </w:r>
          </w:p>
        </w:tc>
        <w:tc>
          <w:tcPr>
            <w:tcW w:w="1803" w:type="dxa"/>
            <w:vAlign w:val="bottom"/>
          </w:tcPr>
          <w:p w14:paraId="5F5832B8" w14:textId="779B63E2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15.46%</w:t>
            </w:r>
          </w:p>
        </w:tc>
        <w:tc>
          <w:tcPr>
            <w:tcW w:w="1803" w:type="dxa"/>
            <w:vAlign w:val="bottom"/>
          </w:tcPr>
          <w:p w14:paraId="559EAC7C" w14:textId="70C06013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 w:rsidRPr="00F5778B">
              <w:rPr>
                <w:rFonts w:ascii="Arial" w:hAnsi="Arial" w:cs="Arial"/>
                <w:b/>
                <w:bCs/>
                <w:sz w:val="20"/>
                <w:szCs w:val="20"/>
              </w:rPr>
              <w:t>5.96%</w:t>
            </w:r>
          </w:p>
        </w:tc>
        <w:tc>
          <w:tcPr>
            <w:tcW w:w="1803" w:type="dxa"/>
            <w:vAlign w:val="bottom"/>
          </w:tcPr>
          <w:p w14:paraId="434C039D" w14:textId="4330B9DE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 w:rsidRPr="00F5778B">
              <w:rPr>
                <w:rFonts w:ascii="Arial" w:hAnsi="Arial" w:cs="Arial"/>
                <w:b/>
                <w:bCs/>
                <w:sz w:val="20"/>
                <w:szCs w:val="20"/>
              </w:rPr>
              <w:t>25.72%</w:t>
            </w:r>
          </w:p>
        </w:tc>
      </w:tr>
      <w:tr w:rsidR="00F5778B" w:rsidRPr="001A1A5A" w14:paraId="5FF08EAC" w14:textId="77777777" w:rsidTr="00371F30">
        <w:tc>
          <w:tcPr>
            <w:tcW w:w="1803" w:type="dxa"/>
          </w:tcPr>
          <w:p w14:paraId="73A28CF2" w14:textId="77777777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3E0606CB" w14:textId="1AB36E01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18.21%</w:t>
            </w:r>
          </w:p>
        </w:tc>
        <w:tc>
          <w:tcPr>
            <w:tcW w:w="1803" w:type="dxa"/>
            <w:vAlign w:val="bottom"/>
          </w:tcPr>
          <w:p w14:paraId="083F5C5C" w14:textId="263A2D0A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 w:rsidRPr="00F5778B">
              <w:rPr>
                <w:rFonts w:ascii="Arial" w:hAnsi="Arial" w:cs="Arial"/>
                <w:b/>
                <w:bCs/>
                <w:sz w:val="20"/>
                <w:szCs w:val="20"/>
              </w:rPr>
              <w:t>7.24%</w:t>
            </w:r>
          </w:p>
        </w:tc>
        <w:tc>
          <w:tcPr>
            <w:tcW w:w="1803" w:type="dxa"/>
            <w:vAlign w:val="bottom"/>
          </w:tcPr>
          <w:p w14:paraId="01C6FB42" w14:textId="751DF3FB" w:rsidR="00F5778B" w:rsidRPr="001A1A5A" w:rsidRDefault="00F5778B" w:rsidP="00F5778B">
            <w:pPr>
              <w:rPr>
                <w:rFonts w:asciiTheme="minorHAnsi" w:hAnsiTheme="minorHAnsi" w:cstheme="minorHAnsi"/>
              </w:rPr>
            </w:pPr>
            <w:r w:rsidRPr="00F5778B">
              <w:rPr>
                <w:rFonts w:ascii="Arial" w:hAnsi="Arial" w:cs="Arial"/>
                <w:b/>
                <w:bCs/>
                <w:sz w:val="20"/>
                <w:szCs w:val="20"/>
              </w:rPr>
              <w:t>33.69%</w:t>
            </w:r>
          </w:p>
        </w:tc>
      </w:tr>
    </w:tbl>
    <w:p w14:paraId="20149B34" w14:textId="77777777" w:rsidR="00176176" w:rsidRPr="00176176" w:rsidRDefault="00176176" w:rsidP="00176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5778B" w:rsidRPr="001A1A5A" w14:paraId="21D2AE3F" w14:textId="77777777" w:rsidTr="008003B6">
        <w:tc>
          <w:tcPr>
            <w:tcW w:w="1803" w:type="dxa"/>
          </w:tcPr>
          <w:p w14:paraId="6A88359E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CP</w:t>
            </w:r>
          </w:p>
        </w:tc>
        <w:tc>
          <w:tcPr>
            <w:tcW w:w="1803" w:type="dxa"/>
          </w:tcPr>
          <w:p w14:paraId="067DD7FA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24D342AD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57B1AACE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</w:tr>
      <w:tr w:rsidR="00F5778B" w:rsidRPr="001A1A5A" w14:paraId="5547E110" w14:textId="77777777" w:rsidTr="00371F30">
        <w:tc>
          <w:tcPr>
            <w:tcW w:w="1803" w:type="dxa"/>
          </w:tcPr>
          <w:p w14:paraId="2A7369E0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 /limit</w:t>
            </w:r>
          </w:p>
        </w:tc>
        <w:tc>
          <w:tcPr>
            <w:tcW w:w="1803" w:type="dxa"/>
          </w:tcPr>
          <w:p w14:paraId="28B178B0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3B6FC843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4A628164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400AA502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736902BC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1E9ACB4D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</w:tr>
      <w:tr w:rsidR="00F5778B" w:rsidRPr="001A1A5A" w14:paraId="76BDA20D" w14:textId="77777777" w:rsidTr="00371F30">
        <w:tc>
          <w:tcPr>
            <w:tcW w:w="1803" w:type="dxa"/>
          </w:tcPr>
          <w:p w14:paraId="4192027F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Lower Limit</w:t>
            </w:r>
          </w:p>
        </w:tc>
        <w:tc>
          <w:tcPr>
            <w:tcW w:w="1803" w:type="dxa"/>
            <w:vAlign w:val="bottom"/>
          </w:tcPr>
          <w:p w14:paraId="19769A41" w14:textId="01742969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73.99%</w:t>
            </w:r>
          </w:p>
        </w:tc>
        <w:tc>
          <w:tcPr>
            <w:tcW w:w="1803" w:type="dxa"/>
            <w:vMerge w:val="restart"/>
            <w:vAlign w:val="bottom"/>
          </w:tcPr>
          <w:p w14:paraId="76087A77" w14:textId="6A30FE8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CLT violation</w:t>
            </w:r>
          </w:p>
        </w:tc>
        <w:tc>
          <w:tcPr>
            <w:tcW w:w="1803" w:type="dxa"/>
            <w:vAlign w:val="bottom"/>
          </w:tcPr>
          <w:p w14:paraId="3E4F12AE" w14:textId="07C441AD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27.11%</w:t>
            </w:r>
          </w:p>
        </w:tc>
      </w:tr>
      <w:tr w:rsidR="00F5778B" w:rsidRPr="001A1A5A" w14:paraId="5EB74A43" w14:textId="77777777" w:rsidTr="00371F30">
        <w:tc>
          <w:tcPr>
            <w:tcW w:w="1803" w:type="dxa"/>
          </w:tcPr>
          <w:p w14:paraId="63FEC488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3FC68054" w14:textId="479E8C26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81.07%</w:t>
            </w:r>
          </w:p>
        </w:tc>
        <w:tc>
          <w:tcPr>
            <w:tcW w:w="1803" w:type="dxa"/>
            <w:vMerge/>
            <w:vAlign w:val="bottom"/>
          </w:tcPr>
          <w:p w14:paraId="3D35F813" w14:textId="35C93E22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  <w:vAlign w:val="bottom"/>
          </w:tcPr>
          <w:p w14:paraId="5A7AB769" w14:textId="2E6086C0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43.75%</w:t>
            </w:r>
          </w:p>
        </w:tc>
      </w:tr>
    </w:tbl>
    <w:p w14:paraId="2ABAEC86" w14:textId="37828351" w:rsidR="00176176" w:rsidRDefault="00176176" w:rsidP="00176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5778B" w:rsidRPr="001A1A5A" w14:paraId="0D3DA1EA" w14:textId="77777777" w:rsidTr="00371F30">
        <w:tc>
          <w:tcPr>
            <w:tcW w:w="1803" w:type="dxa"/>
          </w:tcPr>
          <w:p w14:paraId="56DFFB40" w14:textId="415CF324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PC</w:t>
            </w:r>
          </w:p>
        </w:tc>
        <w:tc>
          <w:tcPr>
            <w:tcW w:w="1803" w:type="dxa"/>
          </w:tcPr>
          <w:p w14:paraId="69B6BCDC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2278325E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78310FF2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</w:tr>
      <w:tr w:rsidR="00F5778B" w:rsidRPr="001A1A5A" w14:paraId="311DF540" w14:textId="77777777" w:rsidTr="00371F30">
        <w:tc>
          <w:tcPr>
            <w:tcW w:w="1803" w:type="dxa"/>
          </w:tcPr>
          <w:p w14:paraId="1079502C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 /limit</w:t>
            </w:r>
          </w:p>
        </w:tc>
        <w:tc>
          <w:tcPr>
            <w:tcW w:w="1803" w:type="dxa"/>
          </w:tcPr>
          <w:p w14:paraId="19056A60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7FCE95CD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3355CAC4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7D508D40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1647DE77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5E2E4BC7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</w:tr>
      <w:tr w:rsidR="00F5778B" w:rsidRPr="001A1A5A" w14:paraId="6FC4E3D9" w14:textId="77777777" w:rsidTr="00371F30">
        <w:tc>
          <w:tcPr>
            <w:tcW w:w="1803" w:type="dxa"/>
          </w:tcPr>
          <w:p w14:paraId="65565790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Lower Limit</w:t>
            </w:r>
          </w:p>
        </w:tc>
        <w:tc>
          <w:tcPr>
            <w:tcW w:w="1803" w:type="dxa"/>
            <w:vAlign w:val="bottom"/>
          </w:tcPr>
          <w:p w14:paraId="3C6A1BCF" w14:textId="0439367F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9.74%</w:t>
            </w:r>
          </w:p>
        </w:tc>
        <w:tc>
          <w:tcPr>
            <w:tcW w:w="1803" w:type="dxa"/>
            <w:vAlign w:val="bottom"/>
          </w:tcPr>
          <w:p w14:paraId="4DB9AEA3" w14:textId="5DF8BE35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7.53%</w:t>
            </w:r>
          </w:p>
        </w:tc>
        <w:tc>
          <w:tcPr>
            <w:tcW w:w="1803" w:type="dxa"/>
            <w:vAlign w:val="bottom"/>
          </w:tcPr>
          <w:p w14:paraId="676D8645" w14:textId="72C33E5D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12.82%</w:t>
            </w:r>
          </w:p>
        </w:tc>
      </w:tr>
      <w:tr w:rsidR="00F5778B" w:rsidRPr="001A1A5A" w14:paraId="6CA45B80" w14:textId="77777777" w:rsidTr="00371F30">
        <w:tc>
          <w:tcPr>
            <w:tcW w:w="1803" w:type="dxa"/>
          </w:tcPr>
          <w:p w14:paraId="6F65F36A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353825D1" w14:textId="7E3A8D13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11.87%</w:t>
            </w:r>
          </w:p>
        </w:tc>
        <w:tc>
          <w:tcPr>
            <w:tcW w:w="1803" w:type="dxa"/>
            <w:vAlign w:val="bottom"/>
          </w:tcPr>
          <w:p w14:paraId="460F8397" w14:textId="1DFAAF1B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8.80%</w:t>
            </w:r>
          </w:p>
        </w:tc>
        <w:tc>
          <w:tcPr>
            <w:tcW w:w="1803" w:type="dxa"/>
            <w:vAlign w:val="bottom"/>
          </w:tcPr>
          <w:p w14:paraId="5C380854" w14:textId="029CE5CF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18.78%</w:t>
            </w:r>
          </w:p>
        </w:tc>
      </w:tr>
    </w:tbl>
    <w:p w14:paraId="24F49AB6" w14:textId="0A5F722C" w:rsidR="00F5778B" w:rsidRDefault="00F5778B" w:rsidP="0017617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</w:tblGrid>
      <w:tr w:rsidR="00F5778B" w:rsidRPr="001A1A5A" w14:paraId="0FAFFF72" w14:textId="77777777" w:rsidTr="00371F30">
        <w:tc>
          <w:tcPr>
            <w:tcW w:w="1803" w:type="dxa"/>
          </w:tcPr>
          <w:p w14:paraId="77D9077C" w14:textId="465F703E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000000"/>
                <w:shd w:val="clear" w:color="auto" w:fill="FFFFFF"/>
              </w:rPr>
              <w:t>UE</w:t>
            </w:r>
          </w:p>
        </w:tc>
        <w:tc>
          <w:tcPr>
            <w:tcW w:w="1803" w:type="dxa"/>
          </w:tcPr>
          <w:p w14:paraId="5C011D8D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31D78DA7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  <w:tc>
          <w:tcPr>
            <w:tcW w:w="1803" w:type="dxa"/>
          </w:tcPr>
          <w:p w14:paraId="35621AEE" w14:textId="77777777" w:rsidR="00F5778B" w:rsidRDefault="00F5778B" w:rsidP="00371F30">
            <w:pPr>
              <w:rPr>
                <w:rFonts w:cstheme="minorHAnsi"/>
                <w:b/>
                <w:bCs/>
                <w:color w:val="000000"/>
                <w:shd w:val="clear" w:color="auto" w:fill="FFFFFF"/>
              </w:rPr>
            </w:pPr>
          </w:p>
        </w:tc>
      </w:tr>
      <w:tr w:rsidR="00F5778B" w:rsidRPr="001A1A5A" w14:paraId="1BF67498" w14:textId="77777777" w:rsidTr="00371F30">
        <w:tc>
          <w:tcPr>
            <w:tcW w:w="1803" w:type="dxa"/>
          </w:tcPr>
          <w:p w14:paraId="6DE769DD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Population category /limit</w:t>
            </w:r>
          </w:p>
        </w:tc>
        <w:tc>
          <w:tcPr>
            <w:tcW w:w="1803" w:type="dxa"/>
          </w:tcPr>
          <w:p w14:paraId="61D53EFD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Above Average</w:t>
            </w:r>
          </w:p>
          <w:p w14:paraId="4CDE6BEB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0BDEE174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Below Average</w:t>
            </w:r>
          </w:p>
          <w:p w14:paraId="007BD2C5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803" w:type="dxa"/>
          </w:tcPr>
          <w:p w14:paraId="295188D0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  <w:b/>
                <w:bCs/>
                <w:color w:val="000000"/>
                <w:shd w:val="clear" w:color="auto" w:fill="FFFFFF"/>
              </w:rPr>
              <w:t>High Populated Areas</w:t>
            </w:r>
          </w:p>
          <w:p w14:paraId="37FA64B6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</w:p>
        </w:tc>
      </w:tr>
      <w:tr w:rsidR="00F5778B" w:rsidRPr="001A1A5A" w14:paraId="274807D8" w14:textId="77777777" w:rsidTr="00371F30">
        <w:tc>
          <w:tcPr>
            <w:tcW w:w="1803" w:type="dxa"/>
          </w:tcPr>
          <w:p w14:paraId="58E3BE8A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Lower Limit</w:t>
            </w:r>
          </w:p>
        </w:tc>
        <w:tc>
          <w:tcPr>
            <w:tcW w:w="1803" w:type="dxa"/>
            <w:vAlign w:val="bottom"/>
          </w:tcPr>
          <w:p w14:paraId="34118D60" w14:textId="1B603F0F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17.69%</w:t>
            </w:r>
          </w:p>
        </w:tc>
        <w:tc>
          <w:tcPr>
            <w:tcW w:w="1803" w:type="dxa"/>
            <w:vAlign w:val="bottom"/>
          </w:tcPr>
          <w:p w14:paraId="20695C2A" w14:textId="66E9FAE7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15.22%</w:t>
            </w:r>
          </w:p>
        </w:tc>
        <w:tc>
          <w:tcPr>
            <w:tcW w:w="1803" w:type="dxa"/>
            <w:vAlign w:val="bottom"/>
          </w:tcPr>
          <w:p w14:paraId="05018B42" w14:textId="4B366349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9.49%</w:t>
            </w:r>
          </w:p>
        </w:tc>
      </w:tr>
      <w:tr w:rsidR="00F5778B" w:rsidRPr="001A1A5A" w14:paraId="3C8BD783" w14:textId="77777777" w:rsidTr="00371F30">
        <w:tc>
          <w:tcPr>
            <w:tcW w:w="1803" w:type="dxa"/>
          </w:tcPr>
          <w:p w14:paraId="1161AB09" w14:textId="77777777" w:rsidR="00F5778B" w:rsidRPr="001A1A5A" w:rsidRDefault="00F5778B" w:rsidP="00371F30">
            <w:pPr>
              <w:rPr>
                <w:rFonts w:asciiTheme="minorHAnsi" w:hAnsiTheme="minorHAnsi" w:cstheme="minorHAnsi"/>
              </w:rPr>
            </w:pPr>
            <w:r w:rsidRPr="001A1A5A">
              <w:rPr>
                <w:rFonts w:asciiTheme="minorHAnsi" w:hAnsiTheme="minorHAnsi" w:cstheme="minorHAnsi"/>
              </w:rPr>
              <w:t>Upper Limit</w:t>
            </w:r>
          </w:p>
        </w:tc>
        <w:tc>
          <w:tcPr>
            <w:tcW w:w="1803" w:type="dxa"/>
            <w:vAlign w:val="bottom"/>
          </w:tcPr>
          <w:p w14:paraId="6AEB2945" w14:textId="026EADDB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20.19%</w:t>
            </w:r>
          </w:p>
        </w:tc>
        <w:tc>
          <w:tcPr>
            <w:tcW w:w="1803" w:type="dxa"/>
            <w:vAlign w:val="bottom"/>
          </w:tcPr>
          <w:p w14:paraId="5A9B3453" w14:textId="1D8CDDF2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18.04%</w:t>
            </w:r>
          </w:p>
        </w:tc>
        <w:tc>
          <w:tcPr>
            <w:tcW w:w="1803" w:type="dxa"/>
            <w:vAlign w:val="bottom"/>
          </w:tcPr>
          <w:p w14:paraId="0F334286" w14:textId="27477D33" w:rsidR="00F5778B" w:rsidRPr="00F5778B" w:rsidRDefault="00F5778B" w:rsidP="00371F3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14.29%</w:t>
            </w:r>
          </w:p>
        </w:tc>
      </w:tr>
    </w:tbl>
    <w:p w14:paraId="0AABB204" w14:textId="6471D747" w:rsidR="00F5778B" w:rsidRDefault="00F5778B" w:rsidP="00176176"/>
    <w:p w14:paraId="7E5CB6F9" w14:textId="5A1840F6" w:rsidR="00291615" w:rsidRDefault="00291615" w:rsidP="00176176">
      <w:r>
        <w:t>Key Findings</w:t>
      </w:r>
    </w:p>
    <w:p w14:paraId="6F80F37F" w14:textId="65407B2B" w:rsidR="00291615" w:rsidRDefault="00291615" w:rsidP="00176176"/>
    <w:p w14:paraId="75C2198D" w14:textId="1D5FCF28" w:rsidR="00291615" w:rsidRDefault="00291615" w:rsidP="00291615">
      <w:pPr>
        <w:pStyle w:val="ListParagraph"/>
        <w:numPr>
          <w:ilvl w:val="0"/>
          <w:numId w:val="3"/>
        </w:numPr>
      </w:pPr>
      <w:r>
        <w:t>Here we can see mixed trend of non-compliance in each of the network type. But in most of the cases the non-compliance is less in below average populated areas.</w:t>
      </w:r>
    </w:p>
    <w:p w14:paraId="3F84DD1D" w14:textId="67238064" w:rsidR="00291615" w:rsidRDefault="00291615" w:rsidP="00176176"/>
    <w:p w14:paraId="58017AE2" w14:textId="4BD401EC" w:rsidR="00291615" w:rsidRDefault="00291615" w:rsidP="00176176"/>
    <w:p w14:paraId="1F5AA210" w14:textId="730805CB" w:rsidR="00291615" w:rsidRDefault="00291615" w:rsidP="00176176"/>
    <w:p w14:paraId="15D32F9D" w14:textId="77777777" w:rsidR="00291615" w:rsidRDefault="00291615" w:rsidP="00176176"/>
    <w:sectPr w:rsidR="00291615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F0F6B" w14:textId="77777777" w:rsidR="00A47920" w:rsidRDefault="00A47920" w:rsidP="00291615">
      <w:r>
        <w:separator/>
      </w:r>
    </w:p>
  </w:endnote>
  <w:endnote w:type="continuationSeparator" w:id="0">
    <w:p w14:paraId="0953D9B3" w14:textId="77777777" w:rsidR="00A47920" w:rsidRDefault="00A47920" w:rsidP="002916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AABE0" w14:textId="6F770A33" w:rsidR="00291615" w:rsidRDefault="00291615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D2190" w14:textId="77777777" w:rsidR="00A47920" w:rsidRDefault="00A47920" w:rsidP="00291615">
      <w:r>
        <w:separator/>
      </w:r>
    </w:p>
  </w:footnote>
  <w:footnote w:type="continuationSeparator" w:id="0">
    <w:p w14:paraId="7AD1AF1E" w14:textId="77777777" w:rsidR="00A47920" w:rsidRDefault="00A47920" w:rsidP="002916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7F5C28" w14:textId="50F32D6F" w:rsidR="00291615" w:rsidRPr="00291615" w:rsidRDefault="00291615">
    <w:pPr>
      <w:pStyle w:val="Header"/>
      <w:rPr>
        <w:lang w:val="en-AU"/>
      </w:rPr>
    </w:pPr>
    <w:r>
      <w:rPr>
        <w:lang w:val="en-AU"/>
      </w:rPr>
      <w:t>D2I - Deakin Energy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B5190"/>
    <w:multiLevelType w:val="hybridMultilevel"/>
    <w:tmpl w:val="99DE4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B70718"/>
    <w:multiLevelType w:val="hybridMultilevel"/>
    <w:tmpl w:val="CAC8E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997463"/>
    <w:multiLevelType w:val="hybridMultilevel"/>
    <w:tmpl w:val="97DE8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5A"/>
    <w:rsid w:val="00176176"/>
    <w:rsid w:val="001A1A5A"/>
    <w:rsid w:val="00291615"/>
    <w:rsid w:val="00A47920"/>
    <w:rsid w:val="00F5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14460"/>
  <w15:chartTrackingRefBased/>
  <w15:docId w15:val="{91A89EC8-D9EA-4545-856B-69136B423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78B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1A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61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615"/>
    <w:rPr>
      <w:rFonts w:ascii="Times New Roman" w:eastAsia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2916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615"/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7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5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4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97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306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POOJITH THUMMALA</dc:creator>
  <cp:keywords/>
  <dc:description/>
  <cp:lastModifiedBy>POOJITH THUMMALA</cp:lastModifiedBy>
  <cp:revision>5</cp:revision>
  <dcterms:created xsi:type="dcterms:W3CDTF">2021-05-15T16:01:00Z</dcterms:created>
  <dcterms:modified xsi:type="dcterms:W3CDTF">2021-05-15T16:45:00Z</dcterms:modified>
</cp:coreProperties>
</file>