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t>1.  HTML: Estructura y Componentes</w:t>
      </w:r>
    </w:p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t>El HTML define la interfaz y es responsable de cargar las librerías necesarias.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5629"/>
      </w:tblGrid>
      <w:tr w:rsidR="00167C53" w:rsidRPr="00167C53" w:rsidTr="00167C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Bloque/Elemento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Función Puntual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&lt;!DOCTYPE...&gt; a &lt;head&gt;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Define el documento y su codificación.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&lt;script </w:t>
            </w:r>
            <w:proofErr w:type="spellStart"/>
            <w:r w:rsidRPr="00167C53">
              <w:rPr>
                <w:b/>
                <w:bCs/>
              </w:rPr>
              <w:t>src</w:t>
            </w:r>
            <w:proofErr w:type="spellEnd"/>
            <w:r w:rsidRPr="00167C53">
              <w:rPr>
                <w:b/>
                <w:bCs/>
              </w:rPr>
              <w:t>="chart.js"&gt;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Carga la librería principal de Chart.js para dibujar gráficos.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&lt;script </w:t>
            </w:r>
            <w:proofErr w:type="spellStart"/>
            <w:r w:rsidRPr="00167C53">
              <w:rPr>
                <w:b/>
                <w:bCs/>
              </w:rPr>
              <w:t>src</w:t>
            </w:r>
            <w:proofErr w:type="spellEnd"/>
            <w:r w:rsidRPr="00167C53">
              <w:rPr>
                <w:b/>
                <w:bCs/>
              </w:rPr>
              <w:t>="...datalabels@2"&gt;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Carga el plugin de etiquetas que muestra los valores numéricos en gráficos de Pastel/Donut.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</w:t>
            </w:r>
            <w:proofErr w:type="spellStart"/>
            <w:r w:rsidRPr="00167C53">
              <w:rPr>
                <w:b/>
                <w:bCs/>
              </w:rPr>
              <w:t>style</w:t>
            </w:r>
            <w:proofErr w:type="spellEnd"/>
            <w:r w:rsidRPr="00167C53">
              <w:rPr>
                <w:b/>
                <w:bCs/>
              </w:rPr>
              <w:t>&gt;...&lt;/</w:t>
            </w:r>
            <w:proofErr w:type="spellStart"/>
            <w:r w:rsidRPr="00167C53">
              <w:rPr>
                <w:b/>
                <w:bCs/>
              </w:rPr>
              <w:t>style</w:t>
            </w:r>
            <w:proofErr w:type="spellEnd"/>
            <w:r w:rsidRPr="00167C53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Contiene todos los estilos CSS de la aplicación (colores, </w:t>
            </w:r>
            <w:proofErr w:type="spellStart"/>
            <w:r w:rsidRPr="00167C53">
              <w:rPr>
                <w:b/>
                <w:bCs/>
              </w:rPr>
              <w:t>layout</w:t>
            </w:r>
            <w:proofErr w:type="spellEnd"/>
            <w:r w:rsidRPr="00167C53">
              <w:rPr>
                <w:b/>
                <w:bCs/>
              </w:rPr>
              <w:t>, etc.).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&lt;input </w:t>
            </w:r>
            <w:proofErr w:type="spellStart"/>
            <w:r w:rsidRPr="00167C53">
              <w:rPr>
                <w:b/>
                <w:bCs/>
              </w:rPr>
              <w:t>type</w:t>
            </w:r>
            <w:proofErr w:type="spellEnd"/>
            <w:r w:rsidRPr="00167C53">
              <w:rPr>
                <w:b/>
                <w:bCs/>
              </w:rPr>
              <w:t>="file" id="</w:t>
            </w:r>
            <w:proofErr w:type="spellStart"/>
            <w:r w:rsidRPr="00167C53">
              <w:rPr>
                <w:b/>
                <w:bCs/>
              </w:rPr>
              <w:t>fileInput</w:t>
            </w:r>
            <w:proofErr w:type="spellEnd"/>
            <w:r w:rsidRPr="00167C53">
              <w:rPr>
                <w:b/>
                <w:bCs/>
              </w:rPr>
              <w:t>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Permite al usuario seleccionar el archivo CSV local.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</w:t>
            </w:r>
            <w:proofErr w:type="spellStart"/>
            <w:r w:rsidRPr="00167C53">
              <w:rPr>
                <w:b/>
                <w:bCs/>
              </w:rPr>
              <w:t>div</w:t>
            </w:r>
            <w:proofErr w:type="spellEnd"/>
            <w:r w:rsidRPr="00167C53">
              <w:rPr>
                <w:b/>
                <w:bCs/>
              </w:rPr>
              <w:t xml:space="preserve"> id="</w:t>
            </w:r>
            <w:proofErr w:type="spellStart"/>
            <w:r w:rsidRPr="00167C53">
              <w:rPr>
                <w:b/>
                <w:bCs/>
              </w:rPr>
              <w:t>dataSelectGroup</w:t>
            </w:r>
            <w:proofErr w:type="spellEnd"/>
            <w:r w:rsidRPr="00167C53">
              <w:rPr>
                <w:b/>
                <w:bCs/>
              </w:rPr>
              <w:t>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Contenedor que se muestra solo después de cargar un archivo. Contiene el selector de columnas.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</w:t>
            </w:r>
            <w:proofErr w:type="spellStart"/>
            <w:r w:rsidRPr="00167C53">
              <w:rPr>
                <w:b/>
                <w:bCs/>
              </w:rPr>
              <w:t>select</w:t>
            </w:r>
            <w:proofErr w:type="spellEnd"/>
            <w:r w:rsidRPr="00167C53">
              <w:rPr>
                <w:b/>
                <w:bCs/>
              </w:rPr>
              <w:t xml:space="preserve"> id="</w:t>
            </w:r>
            <w:proofErr w:type="spellStart"/>
            <w:r w:rsidRPr="00167C53">
              <w:rPr>
                <w:b/>
                <w:bCs/>
              </w:rPr>
              <w:t>dataColumnSelect</w:t>
            </w:r>
            <w:proofErr w:type="spellEnd"/>
            <w:r w:rsidRPr="00167C53">
              <w:rPr>
                <w:b/>
                <w:bCs/>
              </w:rPr>
              <w:t>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Menú desplegable rellenado por JavaScript con los encabezados del CSV (ej., 'Ingresos').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</w:t>
            </w:r>
            <w:proofErr w:type="spellStart"/>
            <w:r w:rsidRPr="00167C53">
              <w:rPr>
                <w:b/>
                <w:bCs/>
              </w:rPr>
              <w:t>select</w:t>
            </w:r>
            <w:proofErr w:type="spellEnd"/>
            <w:r w:rsidRPr="00167C53">
              <w:rPr>
                <w:b/>
                <w:bCs/>
              </w:rPr>
              <w:t xml:space="preserve"> id="</w:t>
            </w:r>
            <w:proofErr w:type="spellStart"/>
            <w:r w:rsidRPr="00167C53">
              <w:rPr>
                <w:b/>
                <w:bCs/>
              </w:rPr>
              <w:t>chartType</w:t>
            </w:r>
            <w:proofErr w:type="spellEnd"/>
            <w:r w:rsidRPr="00167C53">
              <w:rPr>
                <w:b/>
                <w:bCs/>
              </w:rPr>
              <w:t>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Menú estático para seleccionar el tipo de gráfico deseado (barra, línea, pie, etc.).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</w:t>
            </w:r>
            <w:proofErr w:type="spellStart"/>
            <w:r w:rsidRPr="00167C53">
              <w:rPr>
                <w:b/>
                <w:bCs/>
              </w:rPr>
              <w:t>button</w:t>
            </w:r>
            <w:proofErr w:type="spellEnd"/>
            <w:r w:rsidRPr="00167C53">
              <w:rPr>
                <w:b/>
                <w:bCs/>
              </w:rPr>
              <w:t xml:space="preserve"> </w:t>
            </w:r>
            <w:proofErr w:type="spellStart"/>
            <w:r w:rsidRPr="00167C53">
              <w:rPr>
                <w:b/>
                <w:bCs/>
              </w:rPr>
              <w:t>onclick</w:t>
            </w:r>
            <w:proofErr w:type="spellEnd"/>
            <w:r w:rsidRPr="00167C53">
              <w:rPr>
                <w:b/>
                <w:bCs/>
              </w:rPr>
              <w:t>="</w:t>
            </w:r>
            <w:proofErr w:type="spellStart"/>
            <w:proofErr w:type="gramStart"/>
            <w:r w:rsidRPr="00167C53">
              <w:rPr>
                <w:b/>
                <w:bCs/>
              </w:rPr>
              <w:t>readAndPlotFile</w:t>
            </w:r>
            <w:proofErr w:type="spellEnd"/>
            <w:r w:rsidRPr="00167C53">
              <w:rPr>
                <w:b/>
                <w:bCs/>
              </w:rPr>
              <w:t>(</w:t>
            </w:r>
            <w:proofErr w:type="gramEnd"/>
            <w:r w:rsidRPr="00167C53">
              <w:rPr>
                <w:b/>
                <w:bCs/>
              </w:rPr>
              <w:t>)"&gt;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Botón que inicia el proceso de lectura del archivo CSV.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&lt;</w:t>
            </w:r>
            <w:proofErr w:type="spellStart"/>
            <w:r w:rsidRPr="00167C53">
              <w:rPr>
                <w:b/>
                <w:bCs/>
              </w:rPr>
              <w:t>canvas</w:t>
            </w:r>
            <w:proofErr w:type="spellEnd"/>
            <w:r w:rsidRPr="00167C53">
              <w:rPr>
                <w:b/>
                <w:bCs/>
              </w:rPr>
              <w:t xml:space="preserve"> id="</w:t>
            </w:r>
            <w:proofErr w:type="spellStart"/>
            <w:r w:rsidRPr="00167C53">
              <w:rPr>
                <w:b/>
                <w:bCs/>
              </w:rPr>
              <w:t>myChart</w:t>
            </w:r>
            <w:proofErr w:type="spellEnd"/>
            <w:r w:rsidRPr="00167C53">
              <w:rPr>
                <w:b/>
                <w:bCs/>
              </w:rPr>
              <w:t>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El lienzo donde Chart.js renderiza la visualización de datos.</w:t>
            </w:r>
          </w:p>
        </w:tc>
      </w:tr>
    </w:tbl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pict>
          <v:rect id="_x0000_i1087" style="width:0;height:1.5pt" o:hralign="center" o:hrstd="t" o:hr="t" fillcolor="#a0a0a0" stroked="f"/>
        </w:pict>
      </w:r>
    </w:p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t>2.  CSS: Apariencia y Diseño</w:t>
      </w:r>
    </w:p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t>El CSS dentro de la etiqueta &lt;</w:t>
      </w:r>
      <w:proofErr w:type="spellStart"/>
      <w:r w:rsidRPr="00167C53">
        <w:rPr>
          <w:b/>
          <w:bCs/>
        </w:rPr>
        <w:t>style</w:t>
      </w:r>
      <w:proofErr w:type="spellEnd"/>
      <w:r w:rsidRPr="00167C53">
        <w:rPr>
          <w:b/>
          <w:bCs/>
        </w:rPr>
        <w:t>&gt; controla cómo se ve la interfaz.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082"/>
      </w:tblGrid>
      <w:tr w:rsidR="00167C53" w:rsidRPr="00167C53" w:rsidTr="00167C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Función Puntual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.container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Centra el contenido y aplica un fondo blanco con sombra para agrupar todos los elementos.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gramStart"/>
            <w:r w:rsidRPr="00167C53">
              <w:rPr>
                <w:b/>
                <w:bCs/>
              </w:rPr>
              <w:t>.</w:t>
            </w:r>
            <w:proofErr w:type="spellStart"/>
            <w:r w:rsidRPr="00167C53">
              <w:rPr>
                <w:b/>
                <w:bCs/>
              </w:rPr>
              <w:t>controls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Usa </w:t>
            </w:r>
            <w:proofErr w:type="spellStart"/>
            <w:r w:rsidRPr="00167C53">
              <w:rPr>
                <w:b/>
                <w:bCs/>
              </w:rPr>
              <w:t>display</w:t>
            </w:r>
            <w:proofErr w:type="spellEnd"/>
            <w:r w:rsidRPr="00167C53">
              <w:rPr>
                <w:b/>
                <w:bCs/>
              </w:rPr>
              <w:t xml:space="preserve">: </w:t>
            </w:r>
            <w:proofErr w:type="spellStart"/>
            <w:r w:rsidRPr="00167C53">
              <w:rPr>
                <w:b/>
                <w:bCs/>
              </w:rPr>
              <w:t>flex</w:t>
            </w:r>
            <w:proofErr w:type="spellEnd"/>
            <w:r w:rsidRPr="00167C53">
              <w:rPr>
                <w:b/>
                <w:bCs/>
              </w:rPr>
              <w:t xml:space="preserve"> para organizar los inputs, selectores y el botón de manera responsiva y centrada en la parte superior.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#dataSelectGroup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Inicialmente tiene </w:t>
            </w:r>
            <w:proofErr w:type="spellStart"/>
            <w:r w:rsidRPr="00167C53">
              <w:rPr>
                <w:b/>
                <w:bCs/>
              </w:rPr>
              <w:t>display</w:t>
            </w:r>
            <w:proofErr w:type="spellEnd"/>
            <w:r w:rsidRPr="00167C53">
              <w:rPr>
                <w:b/>
                <w:bCs/>
              </w:rPr>
              <w:t xml:space="preserve">: </w:t>
            </w:r>
            <w:proofErr w:type="spellStart"/>
            <w:r w:rsidRPr="00167C53">
              <w:rPr>
                <w:b/>
                <w:bCs/>
              </w:rPr>
              <w:t>none</w:t>
            </w:r>
            <w:proofErr w:type="spellEnd"/>
            <w:r w:rsidRPr="00167C53">
              <w:rPr>
                <w:b/>
                <w:bCs/>
              </w:rPr>
              <w:t xml:space="preserve"> y es mostrado por JavaScript (</w:t>
            </w:r>
            <w:proofErr w:type="spellStart"/>
            <w:r w:rsidRPr="00167C53">
              <w:rPr>
                <w:b/>
                <w:bCs/>
              </w:rPr>
              <w:t>display</w:t>
            </w:r>
            <w:proofErr w:type="spellEnd"/>
            <w:r w:rsidRPr="00167C53">
              <w:rPr>
                <w:b/>
                <w:bCs/>
              </w:rPr>
              <w:t xml:space="preserve">: </w:t>
            </w:r>
            <w:proofErr w:type="spellStart"/>
            <w:r w:rsidRPr="00167C53">
              <w:rPr>
                <w:b/>
                <w:bCs/>
              </w:rPr>
              <w:t>flex</w:t>
            </w:r>
            <w:proofErr w:type="spellEnd"/>
            <w:r w:rsidRPr="00167C53">
              <w:rPr>
                <w:b/>
                <w:bCs/>
              </w:rPr>
              <w:t>) solo cuando el archivo se ha cargado con éxito.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gramStart"/>
            <w:r w:rsidRPr="00167C53">
              <w:rPr>
                <w:b/>
                <w:bCs/>
              </w:rPr>
              <w:lastRenderedPageBreak/>
              <w:t>.</w:t>
            </w:r>
            <w:proofErr w:type="spellStart"/>
            <w:r w:rsidRPr="00167C53">
              <w:rPr>
                <w:b/>
                <w:bCs/>
              </w:rPr>
              <w:t>controls</w:t>
            </w:r>
            <w:proofErr w:type="spellEnd"/>
            <w:proofErr w:type="gramEnd"/>
            <w:r w:rsidRPr="00167C53">
              <w:rPr>
                <w:b/>
                <w:bCs/>
              </w:rPr>
              <w:t xml:space="preserve"> </w:t>
            </w:r>
            <w:proofErr w:type="spellStart"/>
            <w:r w:rsidRPr="00167C53">
              <w:rPr>
                <w:b/>
                <w:bCs/>
              </w:rPr>
              <w:t>button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Define el estilo (color azul) y la transición del botón principal para la carga de datos.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#chartContainer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Fija el ancho y alto del contenedor del gráfico (450px) para garantizar que el lienzo (</w:t>
            </w:r>
            <w:proofErr w:type="spellStart"/>
            <w:r w:rsidRPr="00167C53">
              <w:rPr>
                <w:b/>
                <w:bCs/>
              </w:rPr>
              <w:t>canvas</w:t>
            </w:r>
            <w:proofErr w:type="spellEnd"/>
            <w:r w:rsidRPr="00167C53">
              <w:rPr>
                <w:b/>
                <w:bCs/>
              </w:rPr>
              <w:t>) se renderice correctamente.</w:t>
            </w:r>
          </w:p>
        </w:tc>
      </w:tr>
    </w:tbl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pict>
          <v:rect id="_x0000_i1088" style="width:0;height:1.5pt" o:hralign="center" o:hrstd="t" o:hr="t" fillcolor="#a0a0a0" stroked="f"/>
        </w:pict>
      </w:r>
    </w:p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t>3.  JavaScript: Lógica y Control</w:t>
      </w:r>
    </w:p>
    <w:p w:rsidR="00167C53" w:rsidRPr="00167C53" w:rsidRDefault="00167C53" w:rsidP="00167C53">
      <w:pPr>
        <w:rPr>
          <w:b/>
          <w:bCs/>
        </w:rPr>
      </w:pPr>
      <w:r w:rsidRPr="00167C53">
        <w:rPr>
          <w:b/>
          <w:bCs/>
        </w:rPr>
        <w:t>El JavaScript dentro de la etiqueta &lt;script&gt; es el motor que maneja los datos y la interacción.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017"/>
      </w:tblGrid>
      <w:tr w:rsidR="00167C53" w:rsidRPr="00167C53" w:rsidTr="00167C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Bloque/Función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Función Puntual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r w:rsidRPr="00167C53">
              <w:rPr>
                <w:b/>
                <w:bCs/>
              </w:rPr>
              <w:t>Chart.register</w:t>
            </w:r>
            <w:proofErr w:type="spellEnd"/>
            <w:r w:rsidRPr="00167C53">
              <w:rPr>
                <w:b/>
                <w:bCs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Activa el plugin de etiquetas de datos (</w:t>
            </w:r>
            <w:proofErr w:type="spellStart"/>
            <w:r w:rsidRPr="00167C53">
              <w:rPr>
                <w:b/>
                <w:bCs/>
              </w:rPr>
              <w:t>ChartDataLabels</w:t>
            </w:r>
            <w:proofErr w:type="spellEnd"/>
            <w:r w:rsidRPr="00167C53">
              <w:rPr>
                <w:b/>
                <w:bCs/>
              </w:rPr>
              <w:t>) para que Chart.js pueda usarlo.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r w:rsidRPr="00167C53">
              <w:rPr>
                <w:b/>
                <w:bCs/>
              </w:rPr>
              <w:t>myChart</w:t>
            </w:r>
            <w:proofErr w:type="spellEnd"/>
            <w:r w:rsidRPr="00167C53">
              <w:rPr>
                <w:b/>
                <w:bCs/>
              </w:rPr>
              <w:t xml:space="preserve">, </w:t>
            </w:r>
            <w:proofErr w:type="spellStart"/>
            <w:r w:rsidRPr="00167C53">
              <w:rPr>
                <w:b/>
                <w:bCs/>
              </w:rPr>
              <w:t>headers</w:t>
            </w:r>
            <w:proofErr w:type="spellEnd"/>
            <w:r w:rsidRPr="00167C53">
              <w:rPr>
                <w:b/>
                <w:bCs/>
              </w:rPr>
              <w:t xml:space="preserve">, </w:t>
            </w:r>
            <w:proofErr w:type="spellStart"/>
            <w:r w:rsidRPr="00167C53">
              <w:rPr>
                <w:b/>
                <w:bCs/>
              </w:rPr>
              <w:t>allParsedData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Variables de estado globales para guardar la instancia del gráfico, los encabezados y todos los datos procesados.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r w:rsidRPr="00167C53">
              <w:rPr>
                <w:b/>
                <w:bCs/>
              </w:rPr>
              <w:t>DOMContentLoaded</w:t>
            </w:r>
            <w:proofErr w:type="spellEnd"/>
            <w:r w:rsidRPr="00167C53">
              <w:rPr>
                <w:b/>
                <w:bCs/>
              </w:rPr>
              <w:t xml:space="preserve"> </w:t>
            </w:r>
            <w:proofErr w:type="spellStart"/>
            <w:r w:rsidRPr="00167C53">
              <w:rPr>
                <w:b/>
                <w:bCs/>
              </w:rPr>
              <w:t>listeners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Asigna manejadores de eventos a los selectores de </w:t>
            </w:r>
            <w:proofErr w:type="spellStart"/>
            <w:r w:rsidRPr="00167C53">
              <w:rPr>
                <w:b/>
                <w:bCs/>
              </w:rPr>
              <w:t>chartType</w:t>
            </w:r>
            <w:proofErr w:type="spellEnd"/>
            <w:r w:rsidRPr="00167C53">
              <w:rPr>
                <w:b/>
                <w:bCs/>
              </w:rPr>
              <w:t xml:space="preserve"> y </w:t>
            </w:r>
            <w:proofErr w:type="spellStart"/>
            <w:r w:rsidRPr="00167C53">
              <w:rPr>
                <w:b/>
                <w:bCs/>
              </w:rPr>
              <w:t>dataColumnSelect</w:t>
            </w:r>
            <w:proofErr w:type="spellEnd"/>
            <w:r w:rsidRPr="00167C53">
              <w:rPr>
                <w:b/>
                <w:bCs/>
              </w:rPr>
              <w:t xml:space="preserve"> para que llamen a </w:t>
            </w:r>
            <w:proofErr w:type="spellStart"/>
            <w:proofErr w:type="gramStart"/>
            <w:r w:rsidRPr="00167C53">
              <w:rPr>
                <w:b/>
                <w:bCs/>
              </w:rPr>
              <w:t>drawFromCurrentSelection</w:t>
            </w:r>
            <w:proofErr w:type="spellEnd"/>
            <w:r w:rsidRPr="00167C53">
              <w:rPr>
                <w:b/>
                <w:bCs/>
              </w:rPr>
              <w:t>(</w:t>
            </w:r>
            <w:proofErr w:type="gramEnd"/>
            <w:r w:rsidRPr="00167C53">
              <w:rPr>
                <w:b/>
                <w:bCs/>
              </w:rPr>
              <w:t>) cuando cambien.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proofErr w:type="gramStart"/>
            <w:r w:rsidRPr="00167C53">
              <w:rPr>
                <w:b/>
                <w:bCs/>
              </w:rPr>
              <w:t>readAndPlotFile</w:t>
            </w:r>
            <w:proofErr w:type="spellEnd"/>
            <w:r w:rsidRPr="00167C53">
              <w:rPr>
                <w:b/>
                <w:bCs/>
              </w:rPr>
              <w:t>(</w:t>
            </w:r>
            <w:proofErr w:type="gramEnd"/>
            <w:r w:rsidRPr="00167C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Lee el contenido del archivo seleccionado por el usuario usando </w:t>
            </w:r>
            <w:proofErr w:type="spellStart"/>
            <w:r w:rsidRPr="00167C53">
              <w:rPr>
                <w:b/>
                <w:bCs/>
              </w:rPr>
              <w:t>FileReader</w:t>
            </w:r>
            <w:proofErr w:type="spellEnd"/>
            <w:r w:rsidRPr="00167C53">
              <w:rPr>
                <w:b/>
                <w:bCs/>
              </w:rPr>
              <w:t xml:space="preserve"> y delega el procesamiento a </w:t>
            </w:r>
            <w:proofErr w:type="spellStart"/>
            <w:proofErr w:type="gramStart"/>
            <w:r w:rsidRPr="00167C53">
              <w:rPr>
                <w:b/>
                <w:bCs/>
              </w:rPr>
              <w:t>parseCSV</w:t>
            </w:r>
            <w:proofErr w:type="spellEnd"/>
            <w:r w:rsidRPr="00167C53">
              <w:rPr>
                <w:b/>
                <w:bCs/>
              </w:rPr>
              <w:t>(</w:t>
            </w:r>
            <w:proofErr w:type="gramEnd"/>
            <w:r w:rsidRPr="00167C53">
              <w:rPr>
                <w:b/>
                <w:bCs/>
              </w:rPr>
              <w:t>).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r w:rsidRPr="00167C53">
              <w:rPr>
                <w:b/>
                <w:bCs/>
              </w:rPr>
              <w:t>parseCSV</w:t>
            </w:r>
            <w:proofErr w:type="spellEnd"/>
            <w:r w:rsidRPr="00167C53">
              <w:rPr>
                <w:b/>
                <w:bCs/>
              </w:rPr>
              <w:t>(</w:t>
            </w:r>
            <w:proofErr w:type="spellStart"/>
            <w:r w:rsidRPr="00167C53">
              <w:rPr>
                <w:b/>
                <w:bCs/>
              </w:rPr>
              <w:t>text</w:t>
            </w:r>
            <w:proofErr w:type="spellEnd"/>
            <w:r w:rsidRPr="00167C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Procesamiento de datos brutos: Separa la primera línea como </w:t>
            </w:r>
            <w:proofErr w:type="spellStart"/>
            <w:r w:rsidRPr="00167C53">
              <w:rPr>
                <w:b/>
                <w:bCs/>
              </w:rPr>
              <w:t>headers</w:t>
            </w:r>
            <w:proofErr w:type="spellEnd"/>
            <w:r w:rsidRPr="00167C53">
              <w:rPr>
                <w:b/>
                <w:bCs/>
              </w:rPr>
              <w:t xml:space="preserve">. Itera sobre el resto de las líneas, las divide y valida que los valores numéricos sean correctos, guardando todo en </w:t>
            </w:r>
            <w:proofErr w:type="spellStart"/>
            <w:r w:rsidRPr="00167C53">
              <w:rPr>
                <w:b/>
                <w:bCs/>
              </w:rPr>
              <w:t>allParsedData</w:t>
            </w:r>
            <w:proofErr w:type="spellEnd"/>
            <w:r w:rsidRPr="00167C53">
              <w:rPr>
                <w:b/>
                <w:bCs/>
              </w:rPr>
              <w:t>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proofErr w:type="gramStart"/>
            <w:r w:rsidRPr="00167C53">
              <w:rPr>
                <w:b/>
                <w:bCs/>
              </w:rPr>
              <w:t>populateDataColumnSelect</w:t>
            </w:r>
            <w:proofErr w:type="spellEnd"/>
            <w:r w:rsidRPr="00167C53">
              <w:rPr>
                <w:b/>
                <w:bCs/>
              </w:rPr>
              <w:t>(</w:t>
            </w:r>
            <w:proofErr w:type="gramEnd"/>
            <w:r w:rsidRPr="00167C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Rellena dinámicamente el selector de columnas con los nombres de los encabezados (saltándose la primera columna, que es la etiqueta).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r w:rsidRPr="00167C53">
              <w:rPr>
                <w:b/>
                <w:bCs/>
              </w:rPr>
              <w:t>extractDataByColumn</w:t>
            </w:r>
            <w:proofErr w:type="spellEnd"/>
            <w:r w:rsidRPr="00167C53">
              <w:rPr>
                <w:b/>
                <w:bCs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 xml:space="preserve">Filtra los datos. Genera dos </w:t>
            </w:r>
            <w:proofErr w:type="spellStart"/>
            <w:r w:rsidRPr="00167C53">
              <w:rPr>
                <w:b/>
                <w:bCs/>
              </w:rPr>
              <w:t>arrays</w:t>
            </w:r>
            <w:proofErr w:type="spellEnd"/>
            <w:r w:rsidRPr="00167C53">
              <w:rPr>
                <w:b/>
                <w:bCs/>
              </w:rPr>
              <w:t xml:space="preserve">: </w:t>
            </w:r>
            <w:proofErr w:type="spellStart"/>
            <w:r w:rsidRPr="00167C53">
              <w:rPr>
                <w:b/>
                <w:bCs/>
              </w:rPr>
              <w:t>labels</w:t>
            </w:r>
            <w:proofErr w:type="spellEnd"/>
            <w:r w:rsidRPr="00167C53">
              <w:rPr>
                <w:b/>
                <w:bCs/>
              </w:rPr>
              <w:t xml:space="preserve"> (siempre de la Columna 0) y data (de la columna numérica seleccionada).</w:t>
            </w:r>
          </w:p>
        </w:tc>
      </w:tr>
      <w:tr w:rsidR="00167C53" w:rsidRPr="00167C53" w:rsidTr="00167C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proofErr w:type="spellStart"/>
            <w:r w:rsidRPr="00167C53">
              <w:rPr>
                <w:b/>
                <w:bCs/>
              </w:rPr>
              <w:t>drawChart</w:t>
            </w:r>
            <w:proofErr w:type="spellEnd"/>
            <w:r w:rsidRPr="00167C53">
              <w:rPr>
                <w:b/>
                <w:bCs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67C53" w:rsidRPr="00167C53" w:rsidRDefault="00167C53" w:rsidP="00167C53">
            <w:pPr>
              <w:rPr>
                <w:b/>
                <w:bCs/>
              </w:rPr>
            </w:pPr>
            <w:r w:rsidRPr="00167C53">
              <w:rPr>
                <w:b/>
                <w:bCs/>
              </w:rPr>
              <w:t>Renderiza el gráfico: Destruye el gráfico anterior (</w:t>
            </w:r>
            <w:proofErr w:type="spellStart"/>
            <w:r w:rsidRPr="00167C53">
              <w:rPr>
                <w:b/>
                <w:bCs/>
              </w:rPr>
              <w:t>myChart.destroy</w:t>
            </w:r>
            <w:proofErr w:type="spellEnd"/>
            <w:r w:rsidRPr="00167C53">
              <w:rPr>
                <w:b/>
                <w:bCs/>
              </w:rPr>
              <w:t xml:space="preserve">()), establece la configuración de colores y las opciones (título, ejes, y la configuración del plugin </w:t>
            </w:r>
            <w:proofErr w:type="spellStart"/>
            <w:r w:rsidRPr="00167C53">
              <w:rPr>
                <w:b/>
                <w:bCs/>
              </w:rPr>
              <w:t>datalabels</w:t>
            </w:r>
            <w:proofErr w:type="spellEnd"/>
            <w:r w:rsidRPr="00167C53">
              <w:rPr>
                <w:b/>
                <w:bCs/>
              </w:rPr>
              <w:t>) y, finalmente, crea la nueva instancia de Chart.</w:t>
            </w:r>
          </w:p>
        </w:tc>
      </w:tr>
    </w:tbl>
    <w:p w:rsidR="00160A61" w:rsidRPr="00167C53" w:rsidRDefault="00160A61" w:rsidP="00167C53"/>
    <w:sectPr w:rsidR="00160A61" w:rsidRPr="00167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B47DF"/>
    <w:multiLevelType w:val="multilevel"/>
    <w:tmpl w:val="D76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798D"/>
    <w:multiLevelType w:val="multilevel"/>
    <w:tmpl w:val="B6B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C0999"/>
    <w:multiLevelType w:val="multilevel"/>
    <w:tmpl w:val="CB6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A17E3"/>
    <w:multiLevelType w:val="multilevel"/>
    <w:tmpl w:val="274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E78C3"/>
    <w:multiLevelType w:val="multilevel"/>
    <w:tmpl w:val="490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67901">
    <w:abstractNumId w:val="4"/>
  </w:num>
  <w:num w:numId="2" w16cid:durableId="1857382890">
    <w:abstractNumId w:val="2"/>
  </w:num>
  <w:num w:numId="3" w16cid:durableId="658197615">
    <w:abstractNumId w:val="3"/>
  </w:num>
  <w:num w:numId="4" w16cid:durableId="1184899578">
    <w:abstractNumId w:val="0"/>
  </w:num>
  <w:num w:numId="5" w16cid:durableId="36968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34"/>
    <w:rsid w:val="00160A61"/>
    <w:rsid w:val="00167C53"/>
    <w:rsid w:val="00262B10"/>
    <w:rsid w:val="00413D34"/>
    <w:rsid w:val="00757C4A"/>
    <w:rsid w:val="00C9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EFCA"/>
  <w15:chartTrackingRefBased/>
  <w15:docId w15:val="{EA4C5CDA-24EE-43E0-95EA-DF31B636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0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4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2025-11-26T02:20:00Z</dcterms:created>
  <dcterms:modified xsi:type="dcterms:W3CDTF">2025-11-26T03:20:00Z</dcterms:modified>
</cp:coreProperties>
</file>