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126" w:rsidRDefault="009E34A3">
      <w:pPr>
        <w:jc w:val="center"/>
        <w:rPr>
          <w:rFonts w:hint="eastAsia"/>
        </w:rPr>
      </w:pPr>
      <w:r>
        <w:rPr>
          <w:b/>
          <w:color w:val="1F4E79"/>
          <w:sz w:val="44"/>
        </w:rPr>
        <w:t>Calculations and Formulas</w:t>
      </w:r>
    </w:p>
    <w:p w:rsidR="005B6126" w:rsidRDefault="009E34A3">
      <w:pPr>
        <w:jc w:val="center"/>
        <w:rPr>
          <w:rFonts w:hint="eastAsia"/>
        </w:rPr>
      </w:pPr>
      <w:r>
        <w:rPr>
          <w:i/>
        </w:rPr>
        <w:t>Documented Excel formulas, KPI calculations, and analysis measures</w:t>
      </w:r>
    </w:p>
    <w:p w:rsidR="005B6126" w:rsidRDefault="009E34A3">
      <w:pPr>
        <w:jc w:val="center"/>
        <w:rPr>
          <w:rFonts w:hint="eastAsia"/>
        </w:rPr>
      </w:pPr>
      <w:r>
        <w:rPr>
          <w:sz w:val="18"/>
        </w:rPr>
        <w:t>Coffee Shop Sales Analysis | Microsoft Excel | Data period: 1 January–30 June 2023</w:t>
      </w:r>
    </w:p>
    <w:p w:rsidR="005B6126" w:rsidRDefault="005B6126">
      <w:pPr>
        <w:rPr>
          <w:rFonts w:hint="eastAsia"/>
        </w:rPr>
      </w:pP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>
        <w:t>1</w:t>
      </w:r>
      <w:r w:rsidRPr="009E34A3">
        <w:rPr>
          <w:rFonts w:ascii="Arial" w:hAnsi="Arial" w:cs="Arial"/>
          <w:sz w:val="24"/>
          <w:szCs w:val="24"/>
        </w:rPr>
        <w:t>. Calculated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0"/>
        <w:gridCol w:w="4371"/>
        <w:gridCol w:w="4433"/>
      </w:tblGrid>
      <w:tr w:rsidR="005B6126" w:rsidRPr="009E34A3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Column</w:t>
            </w:r>
          </w:p>
        </w:tc>
        <w:tc>
          <w:tcPr>
            <w:tcW w:w="403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Excel formula documented</w:t>
            </w:r>
          </w:p>
        </w:tc>
        <w:tc>
          <w:tcPr>
            <w:tcW w:w="475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Purpose / result</w:t>
            </w:r>
          </w:p>
        </w:tc>
      </w:tr>
      <w:tr w:rsidR="005B6126" w:rsidRPr="009E34A3">
        <w:trPr>
          <w:jc w:val="center"/>
        </w:trPr>
        <w:tc>
          <w:tcPr>
            <w:tcW w:w="144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Day</w:t>
            </w:r>
          </w:p>
        </w:tc>
        <w:tc>
          <w:tcPr>
            <w:tcW w:w="40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=TEXT(TransactionDate,"dddd")</w:t>
            </w:r>
          </w:p>
        </w:tc>
        <w:tc>
          <w:tcPr>
            <w:tcW w:w="475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Returns the weekday name for TransactionDate (e.g., Sunday).</w:t>
            </w:r>
          </w:p>
        </w:tc>
      </w:tr>
      <w:tr w:rsidR="005B6126" w:rsidRPr="009E34A3">
        <w:trPr>
          <w:jc w:val="center"/>
        </w:trPr>
        <w:tc>
          <w:tcPr>
            <w:tcW w:w="144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Month</w:t>
            </w:r>
          </w:p>
        </w:tc>
        <w:tc>
          <w:tcPr>
            <w:tcW w:w="40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=TEXT(TransactionDate,"mmmm")</w:t>
            </w:r>
          </w:p>
        </w:tc>
        <w:tc>
          <w:tcPr>
            <w:tcW w:w="475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Returns the full month name (e.g., January).</w:t>
            </w:r>
          </w:p>
        </w:tc>
      </w:tr>
      <w:tr w:rsidR="005B6126" w:rsidRPr="009E34A3">
        <w:trPr>
          <w:jc w:val="center"/>
        </w:trPr>
        <w:tc>
          <w:tcPr>
            <w:tcW w:w="144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Hour</w:t>
            </w:r>
          </w:p>
        </w:tc>
        <w:tc>
          <w:tcPr>
            <w:tcW w:w="40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=TEXT(TransactionTime,"h AM/PM")</w:t>
            </w:r>
          </w:p>
        </w:tc>
        <w:tc>
          <w:tcPr>
            <w:tcW w:w="475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Returns an hour label (e.g., 7 AM).</w:t>
            </w:r>
          </w:p>
        </w:tc>
      </w:tr>
      <w:tr w:rsidR="005B6126" w:rsidRPr="009E34A3">
        <w:trPr>
          <w:jc w:val="center"/>
        </w:trPr>
        <w:tc>
          <w:tcPr>
            <w:tcW w:w="144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</w:t>
            </w:r>
          </w:p>
        </w:tc>
        <w:tc>
          <w:tcPr>
            <w:tcW w:w="40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=PRODUCT(UnitPrice,TransactionQty)</w:t>
            </w:r>
          </w:p>
        </w:tc>
        <w:tc>
          <w:tcPr>
            <w:tcW w:w="475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Calculates sale-line revenue by multiplying unit price by quantity.</w:t>
            </w:r>
          </w:p>
        </w:tc>
      </w:tr>
    </w:tbl>
    <w:p w:rsidR="005B6126" w:rsidRPr="009E34A3" w:rsidRDefault="005B6126">
      <w:pPr>
        <w:rPr>
          <w:rFonts w:ascii="Arial" w:hAnsi="Arial" w:cs="Arial"/>
          <w:sz w:val="24"/>
          <w:szCs w:val="24"/>
        </w:rPr>
      </w:pP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 w:rsidRPr="009E34A3">
        <w:rPr>
          <w:rFonts w:ascii="Arial" w:hAnsi="Arial" w:cs="Arial"/>
          <w:sz w:val="24"/>
          <w:szCs w:val="24"/>
        </w:rPr>
        <w:t>2. Exploratory and validation formulas/checks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4852"/>
        <w:gridCol w:w="3446"/>
      </w:tblGrid>
      <w:tr w:rsidR="005B6126" w:rsidRPr="009E34A3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Check</w:t>
            </w:r>
          </w:p>
        </w:tc>
        <w:tc>
          <w:tcPr>
            <w:tcW w:w="367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Formula / method</w:t>
            </w:r>
          </w:p>
        </w:tc>
        <w:tc>
          <w:tcPr>
            <w:tcW w:w="4464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Documented result and purpose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Count raw columns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=COUNTA(A1:K1)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Returns the </w:t>
            </w:r>
            <w:r w:rsidRPr="009E34A3">
              <w:rPr>
                <w:rFonts w:ascii="Arial" w:hAnsi="Arial" w:cs="Arial"/>
                <w:sz w:val="24"/>
                <w:szCs w:val="24"/>
              </w:rPr>
              <w:t>number of non-empty header cells; confirmed 11 raw columns.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Minimum transaction quantity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=MIN(Coffee_Shop_Sales[TransactionQty])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Returned 1; checks for zero or negative quantities.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Minimum unit price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=MIN(Coffee_Shop_Sales[UnitPrice])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Returned 0.8; check</w:t>
            </w:r>
            <w:r w:rsidRPr="009E34A3">
              <w:rPr>
                <w:rFonts w:ascii="Arial" w:hAnsi="Arial" w:cs="Arial"/>
                <w:sz w:val="24"/>
                <w:szCs w:val="24"/>
              </w:rPr>
              <w:t>s for zero or negative prices.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Duplicate transaction IDs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Data tab &gt; Remove Duplicates / duplicate check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0 duplicates reported; TransactionId is expected to be unique.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Blank/error check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Filter each column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 blank cells or error values reported.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Row-count reconciliation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raw and cleaned row counts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Both contain 149,116 rows.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row check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Revenue with UnitPrice × TransactionQty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Maximum difference reported: $0.00.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PivotTable reconciliation</w:t>
            </w:r>
          </w:p>
        </w:tc>
        <w:tc>
          <w:tcPr>
            <w:tcW w:w="36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Compare grand totals across analysis </w:t>
            </w:r>
            <w:r w:rsidRPr="009E34A3">
              <w:rPr>
                <w:rFonts w:ascii="Arial" w:hAnsi="Arial" w:cs="Arial"/>
                <w:sz w:val="24"/>
                <w:szCs w:val="24"/>
              </w:rPr>
              <w:t>PivotTables</w:t>
            </w:r>
          </w:p>
        </w:tc>
        <w:tc>
          <w:tcPr>
            <w:tcW w:w="446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Each analysis reconciles to total revenue of $698,812.33.</w:t>
            </w:r>
          </w:p>
        </w:tc>
      </w:tr>
    </w:tbl>
    <w:p w:rsidR="005B6126" w:rsidRPr="009E34A3" w:rsidRDefault="005B6126">
      <w:pPr>
        <w:rPr>
          <w:rFonts w:ascii="Arial" w:hAnsi="Arial" w:cs="Arial"/>
          <w:sz w:val="24"/>
          <w:szCs w:val="24"/>
        </w:rPr>
      </w:pP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 w:rsidRPr="009E34A3">
        <w:rPr>
          <w:rFonts w:ascii="Arial" w:hAnsi="Arial" w:cs="Arial"/>
          <w:sz w:val="24"/>
          <w:szCs w:val="24"/>
        </w:rPr>
        <w:t>3. KPI 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00"/>
        <w:gridCol w:w="1872"/>
        <w:gridCol w:w="1800"/>
      </w:tblGrid>
      <w:tr w:rsidR="005B6126" w:rsidRPr="009E34A3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KPI</w:t>
            </w:r>
          </w:p>
        </w:tc>
        <w:tc>
          <w:tcPr>
            <w:tcW w:w="3600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Calculation described in the source</w:t>
            </w:r>
          </w:p>
        </w:tc>
        <w:tc>
          <w:tcPr>
            <w:tcW w:w="187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Reported value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Dashboard?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Total Revenue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Sum of Revenue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$698,812.33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lastRenderedPageBreak/>
              <w:t>Total Units Sold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Sum of TransactionQty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214,470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Store Locations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Distinct count of StoreLocation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Product Categories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Distinct count of ProductCategory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Yes; labelled “Product Type” in the documented dashboard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Total Transactions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Count of TransactionId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149,116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Average Transaction Value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Pr="009E34A3">
              <w:rPr>
                <w:rFonts w:ascii="Arial" w:hAnsi="Arial" w:cs="Arial"/>
                <w:sz w:val="24"/>
                <w:szCs w:val="24"/>
              </w:rPr>
              <w:t>Revenue ÷ transactions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$4.69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Average Units per Transaction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Total units ÷ transactions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1.44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Average Daily Revenue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Total revenue ÷ 181 trading days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$3,860.84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5B6126" w:rsidRPr="009E34A3">
        <w:trPr>
          <w:jc w:val="center"/>
        </w:trPr>
        <w:tc>
          <w:tcPr>
            <w:tcW w:w="223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Product Types / Products</w:t>
            </w:r>
          </w:p>
        </w:tc>
        <w:tc>
          <w:tcPr>
            <w:tcW w:w="36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Distinct counts of ProductType / ProductId</w:t>
            </w:r>
          </w:p>
        </w:tc>
        <w:tc>
          <w:tcPr>
            <w:tcW w:w="187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29 / 80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</w:tbl>
    <w:p w:rsidR="005B6126" w:rsidRPr="009E34A3" w:rsidRDefault="005B6126">
      <w:pPr>
        <w:rPr>
          <w:rFonts w:ascii="Arial" w:hAnsi="Arial" w:cs="Arial"/>
          <w:sz w:val="24"/>
          <w:szCs w:val="24"/>
        </w:rPr>
      </w:pP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 w:rsidRPr="009E34A3">
        <w:rPr>
          <w:rFonts w:ascii="Arial" w:hAnsi="Arial" w:cs="Arial"/>
          <w:sz w:val="24"/>
          <w:szCs w:val="24"/>
        </w:rPr>
        <w:t xml:space="preserve">4. </w:t>
      </w:r>
      <w:r w:rsidRPr="009E34A3">
        <w:rPr>
          <w:rFonts w:ascii="Arial" w:hAnsi="Arial" w:cs="Arial"/>
          <w:sz w:val="24"/>
          <w:szCs w:val="24"/>
        </w:rPr>
        <w:t>Analysis measures and calculation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5112"/>
        <w:gridCol w:w="2304"/>
      </w:tblGrid>
      <w:tr w:rsidR="005B6126" w:rsidRPr="009E34A3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Measure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Calculation logic described</w:t>
            </w:r>
          </w:p>
        </w:tc>
        <w:tc>
          <w:tcPr>
            <w:tcW w:w="2304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Use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by segment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Sum Revenue grouped by store, category, product type, month, weekday or hour using PivotTables.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contribution across business dimensions.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Units by </w:t>
            </w:r>
            <w:r w:rsidRPr="009E34A3">
              <w:rPr>
                <w:rFonts w:ascii="Arial" w:hAnsi="Arial" w:cs="Arial"/>
                <w:sz w:val="24"/>
                <w:szCs w:val="24"/>
              </w:rPr>
              <w:t>segment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Sum TransactionQty for each segment where relevant.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unit volume.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Transactions by segment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Count TransactionId for each segment where relevant.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transaction volume.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share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Segment revenue ÷ total revenue × 100%.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Express a segm</w:t>
            </w:r>
            <w:r w:rsidRPr="009E34A3">
              <w:rPr>
                <w:rFonts w:ascii="Arial" w:hAnsi="Arial" w:cs="Arial"/>
                <w:sz w:val="24"/>
                <w:szCs w:val="24"/>
              </w:rPr>
              <w:t>ent as a percentage of overall revenue.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Average transaction value by store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Store revenue ÷ store transaction count.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average sale-line value by store.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Month-on-month change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(Current month revenue − previous month revenue) ÷ previous month revenue </w:t>
            </w:r>
            <w:r w:rsidRPr="009E34A3">
              <w:rPr>
                <w:rFonts w:ascii="Arial" w:hAnsi="Arial" w:cs="Arial"/>
                <w:sz w:val="24"/>
                <w:szCs w:val="24"/>
              </w:rPr>
              <w:t>× 100%.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Measure monthly revenue movement.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Quarter comparison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(Q2 revenue − Q1 revenue) ÷ Q1 revenue × 100%.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Compare Q2 with Q1.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Daily average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Period revenue ÷ number of trading days in the period.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Normalize revenue for differences in period length.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Rank</w:t>
            </w:r>
            <w:r w:rsidRPr="009E34A3">
              <w:rPr>
                <w:rFonts w:ascii="Arial" w:hAnsi="Arial" w:cs="Arial"/>
                <w:sz w:val="24"/>
                <w:szCs w:val="24"/>
              </w:rPr>
              <w:t>ing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Order product types or other segments by revenue.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Identify top and bottom performers.</w:t>
            </w:r>
          </w:p>
        </w:tc>
      </w:tr>
      <w:tr w:rsidR="005B6126" w:rsidRPr="009E34A3">
        <w:trPr>
          <w:jc w:val="center"/>
        </w:trPr>
        <w:tc>
          <w:tcPr>
            <w:tcW w:w="2088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Distinct counts</w:t>
            </w:r>
          </w:p>
        </w:tc>
        <w:tc>
          <w:tcPr>
            <w:tcW w:w="5112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Distinct count in PivotTables added to the Excel Data Model.</w:t>
            </w:r>
          </w:p>
        </w:tc>
        <w:tc>
          <w:tcPr>
            <w:tcW w:w="2304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Count unique store locations and product categories.</w:t>
            </w:r>
          </w:p>
        </w:tc>
      </w:tr>
    </w:tbl>
    <w:p w:rsidR="005B6126" w:rsidRPr="009E34A3" w:rsidRDefault="005B6126">
      <w:pPr>
        <w:rPr>
          <w:rFonts w:ascii="Arial" w:hAnsi="Arial" w:cs="Arial"/>
          <w:sz w:val="24"/>
          <w:szCs w:val="24"/>
        </w:rPr>
      </w:pP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 w:rsidRPr="009E34A3">
        <w:rPr>
          <w:rFonts w:ascii="Arial" w:hAnsi="Arial" w:cs="Arial"/>
          <w:sz w:val="24"/>
          <w:szCs w:val="24"/>
        </w:rPr>
        <w:lastRenderedPageBreak/>
        <w:t>5. Reported headline 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5760"/>
        <w:gridCol w:w="1800"/>
      </w:tblGrid>
      <w:tr w:rsidR="005B6126" w:rsidRPr="009E34A3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Calculation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Values / method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b/>
                <w:sz w:val="24"/>
                <w:szCs w:val="24"/>
              </w:rPr>
              <w:t>Reported result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June vs January revenue change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($166,485.88 − $81,677.74) ÷ $81,677.74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+103.8%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Q2 vs Q1 revenue change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($442,154.72 − $256,657.61) ÷ $256,657.61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+72.3%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Q1 revenue share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$256,657.61 ÷ $698,812.33</w:t>
            </w:r>
            <w:r w:rsidRPr="009E34A3">
              <w:rPr>
                <w:rFonts w:ascii="Arial" w:hAnsi="Arial" w:cs="Arial"/>
                <w:sz w:val="24"/>
                <w:szCs w:val="24"/>
              </w:rPr>
              <w:t xml:space="preserve">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36.7%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Q2 revenue share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$442,154.72 ÷ $698,812.33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63.3%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Average daily revenue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$698,812.33 ÷ 181 days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$3,860.84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Coffee + Tea revenue share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($269,952.45 + $196,405.95) ÷ $698,812.33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66.7%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Top four product types' revenue share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Combined revenue of top four product types ÷ total revenue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44.5%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from 7–10 AM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in the 7 AM, 8 AM, 9 AM and 10 AM hours ÷ total revenue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45.8%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Revenue from 8–10 AM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 xml:space="preserve">Revenue in the 8 AM, 9 AM and 10 AM hours ÷ total revenue × </w:t>
            </w:r>
            <w:r w:rsidRPr="009E34A3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36.7%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8 PM revenue share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$2,935.64 ÷ $698,812.33 × 100%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0.42%</w:t>
            </w:r>
          </w:p>
        </w:tc>
      </w:tr>
      <w:tr w:rsidR="005B6126" w:rsidRPr="009E34A3">
        <w:trPr>
          <w:jc w:val="center"/>
        </w:trPr>
        <w:tc>
          <w:tcPr>
            <w:tcW w:w="2376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Store revenue spread</w:t>
            </w:r>
          </w:p>
        </w:tc>
        <w:tc>
          <w:tcPr>
            <w:tcW w:w="576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Highest store revenue − lowest store revenue</w:t>
            </w:r>
          </w:p>
        </w:tc>
        <w:tc>
          <w:tcPr>
            <w:tcW w:w="1800" w:type="dxa"/>
            <w:vAlign w:val="center"/>
          </w:tcPr>
          <w:p w:rsidR="005B6126" w:rsidRPr="009E34A3" w:rsidRDefault="009E34A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E34A3">
              <w:rPr>
                <w:rFonts w:ascii="Arial" w:hAnsi="Arial" w:cs="Arial"/>
                <w:sz w:val="24"/>
                <w:szCs w:val="24"/>
              </w:rPr>
              <w:t>$6,453.92 (about 2.8% of the top store revenue, as described)</w:t>
            </w:r>
          </w:p>
        </w:tc>
      </w:tr>
    </w:tbl>
    <w:p w:rsidR="005B6126" w:rsidRPr="009E34A3" w:rsidRDefault="009E34A3" w:rsidP="009E34A3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9E34A3">
        <w:rPr>
          <w:rFonts w:ascii="Arial" w:hAnsi="Arial" w:cs="Arial"/>
          <w:sz w:val="24"/>
          <w:szCs w:val="24"/>
        </w:rPr>
        <w:t>.</w:t>
      </w:r>
    </w:p>
    <w:p w:rsidR="005B6126" w:rsidRPr="009E34A3" w:rsidRDefault="009E34A3">
      <w:pPr>
        <w:pStyle w:val="Heading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bookmarkStart w:id="0" w:name="_GoBack"/>
      <w:bookmarkEnd w:id="0"/>
      <w:r w:rsidRPr="009E34A3">
        <w:rPr>
          <w:rFonts w:ascii="Arial" w:hAnsi="Arial" w:cs="Arial"/>
          <w:sz w:val="24"/>
          <w:szCs w:val="24"/>
        </w:rPr>
        <w:t>. Important limitations</w:t>
      </w:r>
    </w:p>
    <w:p w:rsidR="005B6126" w:rsidRDefault="009E34A3">
      <w:pPr>
        <w:rPr>
          <w:rFonts w:hint="eastAsia"/>
        </w:rPr>
      </w:pPr>
      <w:r w:rsidRPr="009E34A3">
        <w:rPr>
          <w:rFonts w:ascii="Arial" w:hAnsi="Arial" w:cs="Arial"/>
          <w:sz w:val="24"/>
          <w:szCs w:val="24"/>
        </w:rPr>
        <w:t>The analysis is descriptive and covers January–June 2023 only. Cost and margin data are unavailable, so profitability is not calcu</w:t>
      </w:r>
      <w:r w:rsidRPr="009E34A3">
        <w:rPr>
          <w:rFonts w:ascii="Arial" w:hAnsi="Arial" w:cs="Arial"/>
          <w:sz w:val="24"/>
          <w:szCs w:val="24"/>
        </w:rPr>
        <w:t>lated. There is no customer identifier or employee field, and each transaction ID is a single sale line. A true year-on-year comparison and reliable full-year forecast are outside the documented scope</w:t>
      </w:r>
      <w:r>
        <w:t>.</w:t>
      </w:r>
    </w:p>
    <w:sectPr w:rsidR="005B612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126"/>
    <w:rsid w:val="009E34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EF2B7"/>
  <w14:defaultImageDpi w14:val="300"/>
  <w15:docId w15:val="{8EEDB25F-BDAF-4B55-B563-0947DD48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56FDE-6DC2-495E-95B8-DACE9ED8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2026-10-23T14:38:00Z</dcterms:created>
  <dcterms:modified xsi:type="dcterms:W3CDTF">2026-10-23T14:38:00Z</dcterms:modified>
  <cp:category/>
</cp:coreProperties>
</file>