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4E79"/>
          <w:sz w:val="34"/>
          <w:szCs w:val="34"/>
        </w:rPr>
        <w:t xml:space="preserve">KT — Response to VNPT RFI #6</w:t>
      </w:r>
    </w:p>
    <w:p>
      <w:pPr>
        <w:spacing w:after="40"/>
      </w:pPr>
      <w:r>
        <w:rPr>
          <w:b/>
          <w:bCs/>
          <w:color w:val="1F4E79"/>
          <w:sz w:val="26"/>
          <w:szCs w:val="26"/>
        </w:rPr>
        <w:t xml:space="preserve">Logistics, Supply Chain &amp; Quality Assurance (SLA)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WS1 · Annex C · CONFIDENTIAL — Draft for joint review</w:t>
      </w:r>
    </w:p>
    <w:p>
      <w:pPr>
        <w:spacing w:after="120"/>
      </w:pPr>
      <w:r>
        <w:t xml:space="preserve">KT confirms readiness to support end-to-end device supply, importation, certification, and after-sales for the premium lineup (8K STB, Soundbar), under a back-to-back model with our OEM partners and in full compliance with Vietnamese regulations. The framework below defines the process. Quantitative SLA targets and commercial terms marked [ ] are finalized jointly and fixed in the SLA/contract, backed by OEM data and legal review.</w:t>
      </w:r>
    </w:p>
    <w:p>
      <w:pPr>
        <w:pStyle w:val="Heading1"/>
      </w:pPr>
      <w:r>
        <w:t xml:space="preserve">1. Supply Chain &amp; Regulatory Compliance</w:t>
      </w:r>
    </w:p>
    <w:p>
      <w:pPr>
        <w:pStyle w:val="Heading2"/>
      </w:pPr>
      <w:r>
        <w:t xml:space="preserve">1.1 Customs Clearance &amp; Importation</w:t>
      </w:r>
    </w:p>
    <w:p>
      <w:pPr>
        <w:spacing w:after="120"/>
      </w:pPr>
      <w:r>
        <w:t xml:space="preserve">KT proposes VNPT (or a VNPT-designated local distributor) as Importer of Record (IOR), leveraging the local entity, import license, and input-VAT recovery; KT delivers under agreed Incoterms. Key parameters to confirm pre-shipment with a joint customs broker: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Incoterms:</w:t>
      </w:r>
      <w:r>
        <w:t xml:space="preserve"> [CIF / DAP] Hai Phong or Hanoi — defining freight, insurance, and risk-transfer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Classification &amp; duties:</w:t>
      </w:r>
      <w:r>
        <w:t xml:space="preserve"> HS code [8528 STB / 8518 Soundbar]; applicable import duty + 10% import VAT. The Korea–Vietnam FTA may reduce duty via Certificate of Origin (CO Form VK/AK).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Document set:</w:t>
      </w:r>
      <w:r>
        <w:t xml:space="preserve"> commercial invoice, packing list, CO, bill of lading, and all conformity certificates.</w:t>
      </w:r>
    </w:p>
    <w:p>
      <w:pPr>
        <w:pStyle w:val="Heading2"/>
      </w:pPr>
      <w:r>
        <w:t xml:space="preserve">1.2 Warehousing &amp; Storage</w:t>
      </w:r>
    </w:p>
    <w:p>
      <w:pPr>
        <w:spacing w:after="120"/>
      </w:pPr>
      <w:r>
        <w:t xml:space="preserve">Local warehousing by VNPT/distributor near deployment regions. KT provides the storage specification (temperature/humidity limits, ESD/anti-static handling), FIFO rotation, and per-unit serial tracking. Safety stock = [ ] weeks of demand plus an AFR-based spare allowance; holding cost and insurance per Incoterms and the storage agreement.</w:t>
      </w:r>
    </w:p>
    <w:p>
      <w:pPr>
        <w:pStyle w:val="Heading2"/>
      </w:pPr>
      <w:r>
        <w:t xml:space="preserve">1.3 Regulatory Testing &amp; MIC Certification</w:t>
      </w:r>
    </w:p>
    <w:p>
      <w:pPr>
        <w:spacing w:after="120"/>
      </w:pPr>
      <w:r>
        <w:t xml:space="preserve">MIC type-approval (ICT/RF) is a mandatory gate before commercial deployment. KT supplies device technical files and existing international test reports (CE/FCC, etc.) as the basis, provides test samples, and supports local testing. Where a local applicant/holder is required, VNPT/local partner acts as certificate holder with KT as technical sponsor. Certification runs as a parallel track (MIC ICT + Google); sample needs and timeline are locked early as they gate the pilot (Jan–Mar 2027).</w:t>
      </w:r>
    </w:p>
    <w:p>
      <w:pPr>
        <w:pStyle w:val="Heading1"/>
      </w:pPr>
      <w:r>
        <w:t xml:space="preserve">2. After-Sales Services</w:t>
      </w:r>
    </w:p>
    <w:p>
      <w:pPr>
        <w:spacing w:after="120"/>
      </w:pPr>
      <w:r>
        <w:t xml:space="preserve">KT proposes a tiered after-sales model: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Scope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VNPT call center / field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Triage, DOA swap, customer handling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Local authorized service center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Board-level repair, component replacement, refurbishment — KT provides training, repair manuals, diagnostic tools, spare-parts list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L3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KT / OEM depot &amp; engineering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Complex / escalated failures and root-cause analysis</w:t>
            </w:r>
          </w:p>
        </w:tc>
      </w:tr>
    </w:tbl>
    <w:p>
      <w:pPr>
        <w:spacing w:after="120" w:before="120"/>
      </w:pPr>
      <w:r>
        <w:rPr>
          <w:b/>
          <w:bCs/>
        </w:rPr>
        <w:t xml:space="preserve">Workflow:</w:t>
      </w:r>
      <w:r>
        <w:t xml:space="preserve"> Fault report → RMA issuance → L1 triage (DOA → advance replacement within [ ] days) → L2 repair/replace → reverse logistics for faulty units → spare-parts replenishment.</w:t>
      </w:r>
    </w:p>
    <w:p>
      <w:pPr>
        <w:spacing w:after="120"/>
      </w:pPr>
      <w:r>
        <w:t xml:space="preserve">Warranty: proposed [12–24] months from activation (coverage/exclusions per warranty terms); spare parts supplied as an initial kit plus AFR-driven replenishment. KT's warranty/AS commitments to VNPT mirror the OEM warranty to KT (back-to-back).</w:t>
      </w:r>
    </w:p>
    <w:p>
      <w:pPr>
        <w:pStyle w:val="Heading1"/>
      </w:pPr>
      <w:r>
        <w:t xml:space="preserve">3. Quality Commitments (SLA)</w:t>
      </w:r>
    </w:p>
    <w:p>
      <w:pPr>
        <w:pStyle w:val="Heading2"/>
      </w:pPr>
      <w:r>
        <w:t xml:space="preserve">3.1 Annual Failure Rate (AFR)</w:t>
      </w:r>
    </w:p>
    <w:p>
      <w:pPr>
        <w:spacing w:after="120"/>
      </w:pPr>
      <w:r>
        <w:t xml:space="preserve">AFR is a contractual target per premium SKU, measured as (field returns ÷ active installed base), annualized over a defined window, with monthly reporting and a joint quality review. Industry reference for premium STBs is in the low single digits; soundbars are typically lower. Targets are finalized against OEM qualification and field-reliability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860"/>
        <w:gridCol w:w="17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SKU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AFR target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Measurement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Reporting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8K STB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[≤ X%]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returns ÷ active base, annualized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Soundbar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[≤ Y%]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field returns ÷ active base, annualized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Monthly</w:t>
            </w:r>
          </w:p>
        </w:tc>
      </w:tr>
    </w:tbl>
    <w:p>
      <w:pPr>
        <w:pStyle w:val="Heading2"/>
      </w:pPr>
      <w:r>
        <w:t xml:space="preserve">3.2 Epidemic (Mass) Failure Policy</w:t>
      </w:r>
    </w:p>
    <w:p>
      <w:pPr>
        <w:spacing w:after="120"/>
      </w:pPr>
      <w:r>
        <w:t xml:space="preserve">An Epidemic Failure is field failure from a single common root cause exceeding the agreed threshold.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Definition (proposed)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Threshold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Cumulative failure rate within a rolling [ ]-month window for a given model/batch exceeding the greater of (a) [N]% of deployed units, or (b) [k]× the agreed AFR.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Mechanism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 → joint root-cause analysis (8D) within [ ] days → remedy by cause: software/firmware → OTA fix; localized component defect → targeted batch replacement; systemic/safety hardware defect → recall.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</w:rPr>
              <w:t xml:space="preserve">Cost allocation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Replacement / compensation / recall follows back-to-back OEM liability; remedies, caps, and timelines defined in the SLA/contract.</w:t>
            </w:r>
          </w:p>
        </w:tc>
      </w:tr>
    </w:tbl>
    <w:p>
      <w:pPr>
        <w:pStyle w:val="Heading1"/>
      </w:pPr>
      <w:r>
        <w:t xml:space="preserve">Next Steps</w:t>
      </w:r>
    </w:p>
    <w:p>
      <w:pPr>
        <w:spacing w:after="120"/>
      </w:pPr>
      <w:r>
        <w:t xml:space="preserve">KT proposes a joint working session to fix the [ ] items — Incoterms/IOR, certification timeline, warranty terms, AFR targets, Epidemic thresholds and cost allocation — for formalization in the SLA and supply/warranty agreement. All quantitative targets are subject to OEM confirmation and legal review.</w:t>
      </w:r>
    </w:p>
    <w:p>
      <w:pPr>
        <w:pBdr>
          <w:top w:val="single" w:color="1F4E79" w:sz="6" w:space="6"/>
        </w:pBdr>
        <w:spacing w:before="160"/>
      </w:pPr>
      <w:r>
        <w:rPr>
          <w:i/>
          <w:iCs/>
          <w:color w:val="666666"/>
          <w:sz w:val="16"/>
          <w:szCs w:val="16"/>
        </w:rPr>
        <w:t xml:space="preserve">Disclaimer: All figures and rates herein are illustrative placeholders. Final values are subject to OEM reliability data; customs treatment to a licensed broker; SLA/warranty and liability clauses to legal counsel.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RFI #6 Response · Annex C · CONFIDENTIAL · Figures illustrative — subject to OEM confirmation &amp; legal review   |   </w:t>
    </w:r>
    <w:r>
      <w:rPr>
        <w:color w:val="666666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KT × VNPT/MyTV — WS1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Arial" w:cs="Arial" w:eastAsia="Arial" w:hAnsi="Arial"/>
      <w:b/>
      <w:bCs/>
      <w:color w:val="1F4E7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2026-06-07T13:08:11.175Z</dcterms:created>
  <dcterms:modified xsi:type="dcterms:W3CDTF">2026-06-07T13:08:11.175Z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