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</w:tcPr>
          <w:p>
            <w:r>
              <w:rPr>
                <w:rFonts w:ascii="宋体" w:hAnsi="宋体" w:eastAsia="宋体"/>
                <w:b/>
                <w:color w:val="000000"/>
                <w:sz w:val="36"/>
              </w:rPr>
              <w:t xml:space="preserve">     一、建筑业活动</w:t>
            </w:r>
          </w:p>
        </w:tc>
        <w:tc>
          <w:tcPr>
            <w:tcW w:type="dxa" w:w="6120"/>
          </w:tcPr>
          <w:p/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水泥磨机开工率下降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水泥出货率上升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水泥磨机开工率下降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水泥出货率上升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水泥价格指数全国下降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挖掘机工程量下降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水泥价格指数全国下降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挖掘机工程量下降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螺纹表观消费上升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价格指数普钢螺纹下降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螺纹表观消费上升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价格指数普钢螺纹下降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全国建筑钢材成交量（周均）下降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线螺采购量上海上升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全国建筑钢材成交量（周均）下降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线螺采购量上海上升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4"/>
        </w:trPr>
        <w:tc>
          <w:tcPr>
            <w:tcW w:type="dxa" w:w="6120"/>
          </w:tcPr>
          <w:p/>
        </w:tc>
        <w:tc>
          <w:tcPr>
            <w:tcW w:type="dxa" w:w="6120"/>
          </w:tcPr>
          <w:p/>
        </w:tc>
      </w:tr>
      <w:tr>
        <w:tc>
          <w:tcPr>
            <w:tcW w:type="dxa" w:w="6120"/>
            <w:vAlign w:val="bottom"/>
          </w:tcPr>
          <w:p>
            <w:r>
              <w:rPr>
                <w:rFonts w:ascii="宋体" w:hAnsi="宋体" w:eastAsia="宋体"/>
                <w:b/>
                <w:color w:val="000000"/>
                <w:sz w:val="36"/>
              </w:rPr>
              <w:t xml:space="preserve">     二、工业品价格</w:t>
            </w:r>
          </w:p>
        </w:tc>
        <w:tc>
          <w:tcPr>
            <w:tcW w:type="dxa" w:w="6120"/>
          </w:tcPr>
          <w:p/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CRB现货指数综合上升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CRB现货指数同比上升、环比下降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B现货指数综合上升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B现货指数同比上升、环比下降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生产资料价格指数上升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生产资料价格指数同比上升、环比下降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生产资料价格指数上升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生产资料价格指数同比上升、环比下降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中国大宗商品价格指数总指数上升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大宗商品价格指数（总指数）同比上升、环比下降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中国大宗商品价格指数总指数上升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大宗商品价格指数（总指数）同比上升、环比下降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现货价原油英国布伦特Dtd下降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中国大宗商品价格指数矿产类上升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现货价原油英国布伦特Dtd下降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中国大宗商品价格指数矿产类上升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中国大宗商品价格指数钢铁类上升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中国大宗商品价格指数有色类上升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中国大宗商品价格指数钢铁类上升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中国大宗商品价格指数有色类上升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6120"/>
          </w:tcPr>
          <w:p/>
        </w:tc>
        <w:tc>
          <w:tcPr>
            <w:tcW w:type="dxa" w:w="6120"/>
          </w:tcPr>
          <w:p/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中国化工产品价格指数(CCPI)下降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水泥价格全国下降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中国化工产品价格指数(CCPI)下降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水泥价格指数全国下降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铜现货上升、期货上升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塑料现货下降、期货下降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铜现货上升、期货上升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塑料现货下降、期货下降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94"/>
        </w:trP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动力煤现货下降、期货上升</w:t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  <w:vAlign w:val="bottom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玻璃现货上升、期货上升</w:t>
            </w:r>
          </w:p>
        </w:tc>
      </w:tr>
      <w:tr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动力煤现货下降、期货上升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>
              <w:left w:sz="3" w:val="single" w:color="#C0D9D9" w:space="0"/>
              <w:top w:sz="3" w:val="single" w:color="#C0D9D9" w:space="0"/>
              <w:right w:sz="3" w:val="single" w:color="#C0D9D9" w:space="0"/>
              <w:bottom w:sz="3" w:val="single" w:color="#C0D9D9" w:space="0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4023360" cy="1920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玻璃现货上升、期货上升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0" w:bottom="14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