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Smartphone-Based Sit-to-Stand Power Assessment for Frailty Risk Screening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Project Category: </w:t>
      </w:r>
      <w:r>
        <w:rPr>
          <w:sz w:val="22"/>
          <w:szCs w:val="22"/>
        </w:rPr>
        <w:t xml:space="preserve">Application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Team Member: </w:t>
      </w:r>
      <w:r>
        <w:rPr>
          <w:sz w:val="22"/>
          <w:szCs w:val="22"/>
        </w:rPr>
        <w:t xml:space="preserve">Ozair Ismail (06966695)</w:t>
      </w:r>
    </w:p>
    <w:p>
      <w:pPr>
        <w:pStyle w:val="Heading2"/>
      </w:pPr>
      <w:r>
        <w:t xml:space="preserve">Motivation</w:t>
      </w:r>
    </w:p>
    <w:p>
      <w:pPr>
        <w:spacing w:after="120"/>
      </w:pPr>
      <w:r>
        <w:rPr>
          <w:sz w:val="22"/>
          <w:szCs w:val="22"/>
        </w:rPr>
        <w:t xml:space="preserve">Frailty affects approximately 10% of adults over 65 and is the strongest predictor of falls, hospitalization, and loss of independence. The 30-second chair stand test (30s CST) is a clinically validated assessment of lower-limb function, but traditional administration only counts repetitions using a stopwatch. Research demonstrates that sensor-derived parameters — peak acceleration, angular velocity, and movement variability — differentiate frailty levels even when repetition counts are identical (Millor et al., 2013). We aim to build a smartphone application that transforms the standard chair stand test into a comprehensive frailty screening tool by combining ML-based repetition detection with clinically validated movement quality indicators.</w:t>
      </w:r>
    </w:p>
    <w:p>
      <w:pPr>
        <w:spacing w:after="200"/>
      </w:pPr>
      <w:r>
        <w:rPr>
          <w:sz w:val="22"/>
          <w:szCs w:val="22"/>
        </w:rPr>
        <w:t xml:space="preserve">The input to our system is raw triaxial accelerometer and gyroscope data (6 channels at 50Hz) from a waist-mounted smartphone. We use a Random Forest classifier, a Logistic Regression classifier, and a threshold-based baseline to output a binary prediction per time window: sit-to-stand (1) or other activity (0). Consecutive positive windows are then clustered into discrete rep events, and per-rep features are extracted for clinical assessment.</w:t>
      </w:r>
    </w:p>
    <w:p>
      <w:pPr>
        <w:pStyle w:val="Heading2"/>
      </w:pPr>
      <w:r>
        <w:t xml:space="preserve">Dataset</w:t>
      </w:r>
    </w:p>
    <w:p>
      <w:pPr>
        <w:spacing w:after="120"/>
      </w:pPr>
      <w:r>
        <w:rPr>
          <w:sz w:val="22"/>
          <w:szCs w:val="22"/>
        </w:rPr>
        <w:t xml:space="preserve">We train and evaluate on the UCI HAPT dataset (Reyes-Ortiz et al., 2015), which contains raw inertial signals from 30 participants (ages 19–48) wearing a waist-mounted Samsung Galaxy S II. The dataset includes 12 activity classes; we frame the task as binary classification: sit-to-stand (activity ID 8) vs. everything else.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Preprocessing: </w:t>
      </w:r>
      <w:r>
        <w:rPr>
          <w:sz w:val="22"/>
          <w:szCs w:val="22"/>
        </w:rPr>
        <w:t xml:space="preserve">Raw signals are segmented into 2.56-second windows (128 samples at 50Hz) with 50% overlap. Each window is labeled by majority vote — if &gt;50% of samples belong to one activity, the window gets that label. We initially used an 80% purity threshold (per standard practice for removing ambiguous boundary windows), but analysis showed this was too aggressive: 16% of sit-to-stand segments (10/62) were shorter than the 103 samples needed to ever reach 80% purity within a 128-sample window, and 3 subjects lost all positive windows entirely. Lowering to 50% recovered these segments while maintaining that windows are labeled by their dominant activity.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Feature extraction: </w:t>
      </w:r>
      <w:r>
        <w:rPr>
          <w:sz w:val="22"/>
          <w:szCs w:val="22"/>
        </w:rPr>
        <w:t xml:space="preserve">For each window, we compute acceleration and gyroscope magnitude (orientation-independent L2 norms), yielding 8 channels (ax, ay, az, gx, gy, gz, accel_mag, gyro_mag). We compute 6 summary statistics per channel (mean, std, min, max, range, energy), producing 48 features per window.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Final dataset: </w:t>
      </w:r>
      <w:r>
        <w:rPr>
          <w:sz w:val="22"/>
          <w:szCs w:val="22"/>
        </w:rPr>
        <w:t xml:space="preserve">17,453 windows total — 126 sit-to-stand (0.72%) and 17,327 other (99.28%). All 30 subjects have at least one positive window. For external validation, we use SisFall (Sucerquia et al., 2017): 15 elderly subjects (ages 60–75), activities D07 (slow sit-to-stand) and D08 (fast sit-to-stand), 149 trials total. SisFall signals were converted to matching units and resampled from 200Hz to 50Hz.</w:t>
      </w:r>
    </w:p>
    <w:p>
      <w:pPr>
        <w:pStyle w:val="Heading2"/>
      </w:pPr>
      <w:r>
        <w:t xml:space="preserve">Method</w:t>
      </w:r>
    </w:p>
    <w:p>
      <w:pPr>
        <w:spacing w:after="120"/>
      </w:pPr>
      <w:r>
        <w:rPr>
          <w:sz w:val="22"/>
          <w:szCs w:val="22"/>
        </w:rPr>
        <w:t xml:space="preserve">We compare three approaches representing a spectrum of model complexity: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Threshold Baseline (no ML): </w:t>
      </w:r>
      <w:r>
        <w:rPr>
          <w:sz w:val="22"/>
          <w:szCs w:val="22"/>
        </w:rPr>
        <w:t xml:space="preserve">Predicts sit-to-stand if both accel_mag_max and accel_mag_range exceed thresholds found via grid search on training data. This represents what could be built without ML — simple rules on two hand-picked features.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Logistic Regression: </w:t>
      </w:r>
      <w:r>
        <w:rPr>
          <w:sz w:val="22"/>
          <w:szCs w:val="22"/>
        </w:rPr>
        <w:t xml:space="preserve">Linear classifier on all 48 features with class_weight=‘balanced’ and StandardScaler. Captures linear feature combinations but cannot model nonlinear interactions.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Random Forest: </w:t>
      </w:r>
      <w:r>
        <w:rPr>
          <w:sz w:val="22"/>
          <w:szCs w:val="22"/>
        </w:rPr>
        <w:t xml:space="preserve">Ensemble of 100 decision trees on all 48 features with class_weight=‘balanced’. Can learn nonlinear feature interactions (e.g., “high acceleration AND high gyroscope = sit-to-stand, but high acceleration AND low gyroscope = walking”).</w:t>
      </w:r>
    </w:p>
    <w:p>
      <w:pPr>
        <w:spacing w:after="200"/>
      </w:pPr>
      <w:r>
        <w:rPr>
          <w:sz w:val="22"/>
          <w:szCs w:val="22"/>
        </w:rPr>
        <w:t xml:space="preserve">All models are evaluated using 30-fold Leave-One-Subject-Out Cross-Validation (LOSO-CV), which ensures no data from the test subject appears in training. We report precision, recall, F1, and PR-AUC for the sit-to-stand class.</w:t>
      </w:r>
    </w:p>
    <w:p>
      <w:pPr>
        <w:pStyle w:val="Heading2"/>
      </w:pPr>
      <w:r>
        <w:t xml:space="preserve">Preliminary Experiments and Results</w:t>
      </w:r>
    </w:p>
    <w:p>
      <w:pPr>
        <w:pStyle w:val="Heading3"/>
      </w:pPr>
      <w:r>
        <w:t xml:space="preserve">Experiment 1: Internal Validation (LOSO-CV on UCI HAPT)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Window-level results (mean ± std across 30 folds):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PR-AUC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Baseline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0.011 ± 0.002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0.933 ± 0.135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0.022 ± 0.004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0.186 ± 0.070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0.933 ± 0.117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0.305 ± 0.096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0.675 ± 0.148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0.778 ± 0.377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0.454 ± 0.283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0.554 ± 0.301</w:t>
            </w:r>
          </w:p>
        </w:tc>
        <w:tc>
          <w:tcPr>
            <w:tcW w:type="dxa" w:w="1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0.742 ± 0.212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Random Forest achieves the best F1 (0.554) and PR-AUC (0.742). The pooled confusion matrix shows only 5 false positives across all folds, all of which were SITTING windows — the activity immediately preceding sit-to-stand, whose boundary windows share similar sensor patterns.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Event-level results: </w:t>
      </w:r>
      <w:r>
        <w:rPr>
          <w:sz w:val="22"/>
          <w:szCs w:val="22"/>
        </w:rPr>
        <w:t xml:space="preserve">We convert window predictions into discrete events via post-processing (merging nearby positive clusters, filtering short clusters). We found that post-processing interacts differently with each model: strict filtering (minimum 2-window duration, smoothing) works for noisy models but destroys Random Forest’s sparse, high-confidence predictions. With minimal post-processing (single positive window counts as an event), Random Forest achieves: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 Count MAE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Precision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Recall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F1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Baseline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0.823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0.387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0.217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0.645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Random Forest with minimal post-processing achieves a mean absolute error of 0.60 reps — 20 of 30 subjects receive an exact rep count.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Feature importance: </w:t>
      </w:r>
      <w:r>
        <w:rPr>
          <w:sz w:val="22"/>
          <w:szCs w:val="22"/>
        </w:rPr>
        <w:t xml:space="preserve">The top feature is gx_energy (gyroscope x-axis), and 5 of the top 10 features are gyroscope-based (54% of total Gini importance). This aligns with Millor et al.’s finding that angular velocity peaks are the strongest frailty differentiator.</w:t>
      </w:r>
    </w:p>
    <w:p>
      <w:pPr>
        <w:pStyle w:val="Heading3"/>
      </w:pPr>
      <w:r>
        <w:t xml:space="preserve">Experiment 2: External Validation (SisFall Elderly)</w:t>
      </w:r>
    </w:p>
    <w:p>
      <w:pPr>
        <w:spacing w:after="120"/>
      </w:pPr>
      <w:r>
        <w:rPr>
          <w:sz w:val="22"/>
          <w:szCs w:val="22"/>
        </w:rPr>
        <w:t xml:space="preserve">We trained final models on all 30 UCI HAPT subjects and tested on 149 SisFall elderly trials without retraining: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3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Recall (all)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Recall (D07 slow)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Recall (D08 fast)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Baseline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0.919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Random Forest completely fails on external data — zero detections across all 1,192 windows. It learned UCI HAPT-specific decision boundaries so tightly that elderly kinematics from different sensors fall entirely outside them. Logistic Regression generalizes well (92.6% recall), and the threshold baseline generalizes best (96.0%). This is a textbook bias-variance tradeoff: the model with the strongest internal performance (RF) overfits to the training domain, while simpler models with weaker in-distribution performance transfer better to unseen populations.</w:t>
      </w:r>
    </w:p>
    <w:p>
      <w:pPr>
        <w:pStyle w:val="Heading3"/>
      </w:pPr>
      <w:r>
        <w:t xml:space="preserve">Experiment 3: Feature Ablation (Accelerometer-Only vs. 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Set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 Event F1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LR Event F1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 + Gyro (48 features)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0.755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0.217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 only (24 features)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0.341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Removing gyroscope features cuts RF event F1 from 0.755 to 0.341, confirming the feature importance finding. This has practical implications: datasets and devices without gyroscope will see substantially degraded performance.</w:t>
      </w:r>
    </w:p>
    <w:p>
      <w:pPr>
        <w:pStyle w:val="Heading2"/>
      </w:pPr>
      <w:r>
        <w:t xml:space="preserve">Next Steps</w:t>
      </w:r>
    </w:p>
    <w:p>
      <w:pPr>
        <w:spacing w:after="120"/>
      </w:pPr>
      <w:r>
        <w:rPr>
          <w:sz w:val="22"/>
          <w:szCs w:val="22"/>
        </w:rPr>
        <w:t xml:space="preserve">For the final report, we will complete the following: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Quality assessment layer: </w:t>
      </w:r>
      <w:r>
        <w:rPr>
          <w:sz w:val="22"/>
          <w:szCs w:val="22"/>
        </w:rPr>
        <w:t xml:space="preserve">Extract six clinically meaningful per-rep features from detected rep boundaries — peak dynamic acceleration magnitude (weakness), relative muscle power via the adapted Alcázar equation (weakness), time-per-rep (slowness), peak gyroscope magnitude (slowness), coefficient of variation (exhaustion), and fatigue slope (fatigability). Each feature maps to a Fried frailty dimension and is compared against published reference thresholds. This layer is entirely rule-based, not ML.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Three-tier output: </w:t>
      </w:r>
      <w:r>
        <w:rPr>
          <w:sz w:val="22"/>
          <w:szCs w:val="22"/>
        </w:rPr>
        <w:t xml:space="preserve">Present rep count (Tier 1), relative power score (Tier 2), and movement quality flags (Tier 3) — demonstrating that the system captures pre-frailty indicators invisible to rep count alone.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3. Full discussion </w:t>
      </w:r>
      <w:r>
        <w:rPr>
          <w:sz w:val="22"/>
          <w:szCs w:val="22"/>
        </w:rPr>
        <w:t xml:space="preserve">of the generalization findings, clinical implications, and limitations.</w:t>
      </w:r>
    </w:p>
    <w:p>
      <w:pPr>
        <w:pStyle w:val="Heading2"/>
      </w:pPr>
      <w:r>
        <w:t xml:space="preserve">Contributions</w:t>
      </w:r>
    </w:p>
    <w:p>
      <w:pPr>
        <w:spacing w:after="200"/>
      </w:pPr>
      <w:r>
        <w:rPr>
          <w:sz w:val="22"/>
          <w:szCs w:val="22"/>
        </w:rPr>
        <w:t xml:space="preserve">This is a solo project. All work — data processing, feature engineering, model implementation, evaluation, and writing — was performed by Ozair Ismail.</w:t>
      </w:r>
    </w:p>
    <w:p>
      <w:pPr>
        <w:pStyle w:val="Heading2"/>
      </w:pPr>
      <w:r>
        <w:t xml:space="preserve">References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Alcázar, J., et al. (2021). </w:t>
      </w:r>
      <w:r>
        <w:rPr>
          <w:rFonts w:ascii="Arial" w:cs="Arial" w:eastAsia="Arial" w:hAnsi="Arial"/>
          <w:sz w:val="20"/>
          <w:szCs w:val="20"/>
        </w:rPr>
        <w:t xml:space="preserve">Relative sit-to-stand power: aging trajectories, functionally relevant cut-off points, and normative data in a large European cohort.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Journal of Cachexia, Sarcopenia and Muscle</w:t>
      </w:r>
      <w:r>
        <w:rPr>
          <w:rFonts w:ascii="Arial" w:cs="Arial" w:eastAsia="Arial" w:hAnsi="Arial"/>
          <w:sz w:val="20"/>
          <w:szCs w:val="20"/>
        </w:rPr>
        <w:t xml:space="preserve">, 12(4), 1013–1028.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Galán-Mercant, A., &amp; Cuesta-Vargas, A. I. (2014). </w:t>
      </w:r>
      <w:r>
        <w:rPr>
          <w:rFonts w:ascii="Arial" w:cs="Arial" w:eastAsia="Arial" w:hAnsi="Arial"/>
          <w:sz w:val="20"/>
          <w:szCs w:val="20"/>
        </w:rPr>
        <w:t xml:space="preserve">Mobile Romberg test assessment (mRomberg).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BMC Research Notes</w:t>
      </w:r>
      <w:r>
        <w:rPr>
          <w:rFonts w:ascii="Arial" w:cs="Arial" w:eastAsia="Arial" w:hAnsi="Arial"/>
          <w:sz w:val="20"/>
          <w:szCs w:val="20"/>
        </w:rPr>
        <w:t xml:space="preserve">, 7, 640.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Millor, N., Lecumberri, P., Gómez, M., Martínez-Ramírez, A., &amp; Izquierdo, M. (2013). </w:t>
      </w:r>
      <w:r>
        <w:rPr>
          <w:rFonts w:ascii="Arial" w:cs="Arial" w:eastAsia="Arial" w:hAnsi="Arial"/>
          <w:sz w:val="20"/>
          <w:szCs w:val="20"/>
        </w:rPr>
        <w:t xml:space="preserve">An evaluation of the 30-s chair stand test in older adults: frailty detection based on kinematic parameters from a single inertial unit.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Journal of NeuroEngineering and Rehabilitation</w:t>
      </w:r>
      <w:r>
        <w:rPr>
          <w:rFonts w:ascii="Arial" w:cs="Arial" w:eastAsia="Arial" w:hAnsi="Arial"/>
          <w:sz w:val="20"/>
          <w:szCs w:val="20"/>
        </w:rPr>
        <w:t xml:space="preserve">, 10, 86.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Park, C., et al. (2021). </w:t>
      </w:r>
      <w:r>
        <w:rPr>
          <w:rFonts w:ascii="Arial" w:cs="Arial" w:eastAsia="Arial" w:hAnsi="Arial"/>
          <w:sz w:val="20"/>
          <w:szCs w:val="20"/>
        </w:rPr>
        <w:t xml:space="preserve">Optimal sensor-based frailty phenotype assessment using wearable inertial sensors.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IEEE Journal of Biomedical and Health Informatics</w:t>
      </w:r>
      <w:r>
        <w:rPr>
          <w:rFonts w:ascii="Arial" w:cs="Arial" w:eastAsia="Arial" w:hAnsi="Arial"/>
          <w:sz w:val="20"/>
          <w:szCs w:val="20"/>
        </w:rPr>
        <w:t xml:space="preserve">, 25(8), 3057–3067.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Reyes-Ortiz, J. L., Oneto, L., Samà, A., Parra, X., &amp; Anguita, D. (2015). </w:t>
      </w:r>
      <w:r>
        <w:rPr>
          <w:rFonts w:ascii="Arial" w:cs="Arial" w:eastAsia="Arial" w:hAnsi="Arial"/>
          <w:sz w:val="20"/>
          <w:szCs w:val="20"/>
        </w:rPr>
        <w:t xml:space="preserve">Transition-aware human activity recognition using smartphones.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Neurocomputing</w:t>
      </w:r>
      <w:r>
        <w:rPr>
          <w:rFonts w:ascii="Arial" w:cs="Arial" w:eastAsia="Arial" w:hAnsi="Arial"/>
          <w:sz w:val="20"/>
          <w:szCs w:val="20"/>
        </w:rPr>
        <w:t xml:space="preserve">, 171, 754–767.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Sucerquia, A., López, J. D., &amp; Vargas-Bonilla, J. F. (2017). </w:t>
      </w:r>
      <w:r>
        <w:rPr>
          <w:rFonts w:ascii="Arial" w:cs="Arial" w:eastAsia="Arial" w:hAnsi="Arial"/>
          <w:sz w:val="20"/>
          <w:szCs w:val="20"/>
        </w:rPr>
        <w:t xml:space="preserve">SisFall: A fall and movement dataset.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Sensors</w:t>
      </w:r>
      <w:r>
        <w:rPr>
          <w:rFonts w:ascii="Arial" w:cs="Arial" w:eastAsia="Arial" w:hAnsi="Arial"/>
          <w:sz w:val="20"/>
          <w:szCs w:val="20"/>
        </w:rPr>
        <w:t xml:space="preserve">, 17(1), 198.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Van Lummel, R. C., et al. (2016). </w:t>
      </w:r>
      <w:r>
        <w:rPr>
          <w:rFonts w:ascii="Arial" w:cs="Arial" w:eastAsia="Arial" w:hAnsi="Arial"/>
          <w:sz w:val="20"/>
          <w:szCs w:val="20"/>
        </w:rPr>
        <w:t xml:space="preserve">The instrumented sit-to-stand test (iSTS) has greater clinical relevance than the manually recorded sit-to-stand test in older adults.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PLoS ONE</w:t>
      </w:r>
      <w:r>
        <w:rPr>
          <w:rFonts w:ascii="Arial" w:cs="Arial" w:eastAsia="Arial" w:hAnsi="Arial"/>
          <w:sz w:val="20"/>
          <w:szCs w:val="20"/>
        </w:rPr>
        <w:t xml:space="preserve">, 11(7), e0157968.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2026-02-17T00:31:38.946Z</dcterms:created>
  <dcterms:modified xsi:type="dcterms:W3CDTF">2026-02-17T00:31:38.947Z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