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4715" w14:textId="77777777" w:rsidR="00E20515" w:rsidRDefault="00E20515" w:rsidP="00E20515">
      <w:pPr>
        <w:pStyle w:val="font-claude-response-body"/>
      </w:pPr>
      <w:r>
        <w:t xml:space="preserve">[1] L. P. Fried, C. M. Tangen, J. Walston, A. B. Newman, C. Hirsch, J. Gottdiener, </w:t>
      </w:r>
      <w:r>
        <w:rPr>
          <w:rStyle w:val="Emphasis"/>
          <w:rFonts w:eastAsiaTheme="majorEastAsia"/>
        </w:rPr>
        <w:t>et al.</w:t>
      </w:r>
      <w:r>
        <w:t xml:space="preserve">, "Frailty in older adults: Evidence for a phenotype," </w:t>
      </w:r>
      <w:r>
        <w:rPr>
          <w:rStyle w:val="Emphasis"/>
          <w:rFonts w:eastAsiaTheme="majorEastAsia"/>
        </w:rPr>
        <w:t>J. Gerontol. A Biol. Sci. Med. Sci.</w:t>
      </w:r>
      <w:r>
        <w:t>, vol. 56, no. 3, pp. M146–M156, 2001.</w:t>
      </w:r>
    </w:p>
    <w:p w14:paraId="62FAD661" w14:textId="77777777" w:rsidR="00E20515" w:rsidRDefault="00E20515" w:rsidP="00E20515">
      <w:pPr>
        <w:pStyle w:val="font-claude-response-body"/>
      </w:pPr>
      <w:r>
        <w:t xml:space="preserve">[2] N. Millor, P. Lecumberri, M. Gómez, A. Martínez-Ramírez, and M. Izquierdo, "An evaluation of the 30-s chair stand test in older adults: Frailty detection based on kinematic parameters from a single inertial unit," </w:t>
      </w:r>
      <w:r>
        <w:rPr>
          <w:rStyle w:val="Emphasis"/>
          <w:rFonts w:eastAsiaTheme="majorEastAsia"/>
        </w:rPr>
        <w:t>J. NeuroEng. Rehabil.</w:t>
      </w:r>
      <w:r>
        <w:t>, vol. 10, p. 86, 2013.</w:t>
      </w:r>
    </w:p>
    <w:p w14:paraId="4BFF3AB4" w14:textId="77777777" w:rsidR="00E20515" w:rsidRDefault="00E20515" w:rsidP="00E20515">
      <w:pPr>
        <w:pStyle w:val="font-claude-response-body"/>
      </w:pPr>
      <w:r>
        <w:t xml:space="preserve">[3] J. Alcázar </w:t>
      </w:r>
      <w:r>
        <w:rPr>
          <w:rStyle w:val="Emphasis"/>
          <w:rFonts w:eastAsiaTheme="majorEastAsia"/>
        </w:rPr>
        <w:t>et al.</w:t>
      </w:r>
      <w:r>
        <w:t xml:space="preserve">, "Relative sit-to-stand power: Aging trajectories, functionally relevant cut-off points, and normative data in a large European cohort," </w:t>
      </w:r>
      <w:r>
        <w:rPr>
          <w:rStyle w:val="Emphasis"/>
          <w:rFonts w:eastAsiaTheme="majorEastAsia"/>
        </w:rPr>
        <w:t>J. Cachexia Sarcopenia Muscle</w:t>
      </w:r>
      <w:r>
        <w:t>, vol. 12, no. 4, pp. 1013–1028, 2021.</w:t>
      </w:r>
    </w:p>
    <w:p w14:paraId="197BE1B6" w14:textId="77777777" w:rsidR="00E20515" w:rsidRDefault="00E20515" w:rsidP="00E20515">
      <w:pPr>
        <w:pStyle w:val="font-claude-response-body"/>
      </w:pPr>
      <w:r>
        <w:t xml:space="preserve">[4] A. Galán-Mercant and A. I. Cuesta-Vargas, "Clinical frailty syndrome assessment using inertial sensors embedded in smartphones," </w:t>
      </w:r>
      <w:r>
        <w:rPr>
          <w:rStyle w:val="Emphasis"/>
          <w:rFonts w:eastAsiaTheme="majorEastAsia"/>
        </w:rPr>
        <w:t>Physiol. Meas.</w:t>
      </w:r>
      <w:r>
        <w:t>, vol. 35, no. 10, pp. 2157–2170, 2014.</w:t>
      </w:r>
    </w:p>
    <w:p w14:paraId="408EC02F" w14:textId="77777777" w:rsidR="00E20515" w:rsidRDefault="00E20515" w:rsidP="00E20515">
      <w:pPr>
        <w:pStyle w:val="font-claude-response-body"/>
      </w:pPr>
      <w:r>
        <w:t xml:space="preserve">[5] R. C. Van Lummel </w:t>
      </w:r>
      <w:r>
        <w:rPr>
          <w:rStyle w:val="Emphasis"/>
          <w:rFonts w:eastAsiaTheme="majorEastAsia"/>
        </w:rPr>
        <w:t>et al.</w:t>
      </w:r>
      <w:r>
        <w:t xml:space="preserve">, "The instrumented sit-to-stand test has greater clinical relevance than the manually recorded sit-to-stand test in older adults," </w:t>
      </w:r>
      <w:r>
        <w:rPr>
          <w:rStyle w:val="Emphasis"/>
          <w:rFonts w:eastAsiaTheme="majorEastAsia"/>
        </w:rPr>
        <w:t>PLoS ONE</w:t>
      </w:r>
      <w:r>
        <w:t>, vol. 11, no. 7, e0157968, 2016.</w:t>
      </w:r>
    </w:p>
    <w:p w14:paraId="3F6FA656" w14:textId="77777777" w:rsidR="00E20515" w:rsidRDefault="00E20515" w:rsidP="00E20515">
      <w:pPr>
        <w:pStyle w:val="font-claude-response-body"/>
      </w:pPr>
      <w:r>
        <w:t xml:space="preserve">[6] A. Galán-Mercant and A. I. Cuesta-Vargas, "Mobile Romberg test assessment," </w:t>
      </w:r>
      <w:r>
        <w:rPr>
          <w:rStyle w:val="Emphasis"/>
          <w:rFonts w:eastAsiaTheme="majorEastAsia"/>
        </w:rPr>
        <w:t>BMC Res. Notes</w:t>
      </w:r>
      <w:r>
        <w:t>, vol. 7, p. 640, 2014.</w:t>
      </w:r>
    </w:p>
    <w:p w14:paraId="394D1439" w14:textId="0212F68C" w:rsidR="00E20515" w:rsidRDefault="00E20515" w:rsidP="00E20515">
      <w:pPr>
        <w:pStyle w:val="font-claude-response-body"/>
      </w:pPr>
      <w:r>
        <w:t xml:space="preserve">[7] A. Sher, M. Rashid, A. Lotfi, F. Povina, and O. Akanyeti, "Cycle metrics and strategy detection for automated chair sit-to-stand test analysis employing a single smartphone," </w:t>
      </w:r>
      <w:r>
        <w:rPr>
          <w:rStyle w:val="Emphasis"/>
          <w:rFonts w:eastAsiaTheme="majorEastAsia"/>
        </w:rPr>
        <w:t>Ann. Biomed. Eng.</w:t>
      </w:r>
      <w:r>
        <w:t>, Dec. 2025, doi: 10.1007/s10439-025-03943-4.</w:t>
      </w:r>
    </w:p>
    <w:p w14:paraId="5D0DA686" w14:textId="77777777" w:rsidR="00E20515" w:rsidRDefault="00E20515" w:rsidP="00E20515">
      <w:pPr>
        <w:pStyle w:val="font-claude-response-body"/>
      </w:pPr>
      <w:r>
        <w:t xml:space="preserve">[8] C. Park </w:t>
      </w:r>
      <w:r>
        <w:rPr>
          <w:rStyle w:val="Emphasis"/>
          <w:rFonts w:eastAsiaTheme="majorEastAsia"/>
        </w:rPr>
        <w:t>et al.</w:t>
      </w:r>
      <w:r>
        <w:t xml:space="preserve">, "Optimal sensor-based frailty phenotype assessment using wearable sensors," </w:t>
      </w:r>
      <w:r>
        <w:rPr>
          <w:rStyle w:val="Emphasis"/>
          <w:rFonts w:eastAsiaTheme="majorEastAsia"/>
        </w:rPr>
        <w:t>IEEE J. Biomed. Health Inform.</w:t>
      </w:r>
      <w:r>
        <w:t>, vol. 25, no. 8, pp. 3057–3067, 2021.</w:t>
      </w:r>
    </w:p>
    <w:p w14:paraId="6FBA3805" w14:textId="77777777" w:rsidR="00E20515" w:rsidRDefault="00E20515" w:rsidP="00E20515">
      <w:pPr>
        <w:pStyle w:val="font-claude-response-body"/>
      </w:pPr>
      <w:r>
        <w:t xml:space="preserve">[9] J. L. Reyes-Ortiz </w:t>
      </w:r>
      <w:r>
        <w:rPr>
          <w:rStyle w:val="Emphasis"/>
          <w:rFonts w:eastAsiaTheme="majorEastAsia"/>
        </w:rPr>
        <w:t>et al.</w:t>
      </w:r>
      <w:r>
        <w:t xml:space="preserve">, "Transition-aware human activity recognition using smartphones," </w:t>
      </w:r>
      <w:r>
        <w:rPr>
          <w:rStyle w:val="Emphasis"/>
          <w:rFonts w:eastAsiaTheme="majorEastAsia"/>
        </w:rPr>
        <w:t>Neurocomputing</w:t>
      </w:r>
      <w:r>
        <w:t>, vol. 171, pp. 754–767, 2015.</w:t>
      </w:r>
    </w:p>
    <w:p w14:paraId="560413BF" w14:textId="77777777" w:rsidR="00E20515" w:rsidRDefault="00E20515" w:rsidP="00E20515">
      <w:pPr>
        <w:pStyle w:val="font-claude-response-body"/>
      </w:pPr>
      <w:r>
        <w:t xml:space="preserve">[10] A. Sucerquia, J. D. López, and J. F. Vargas-Bonilla, "SisFall: A fall and movement dataset," </w:t>
      </w:r>
      <w:r>
        <w:rPr>
          <w:rStyle w:val="Emphasis"/>
          <w:rFonts w:eastAsiaTheme="majorEastAsia"/>
        </w:rPr>
        <w:t>Sensors</w:t>
      </w:r>
      <w:r>
        <w:t>, vol. 17, no. 1, p. 198, 2017.</w:t>
      </w:r>
    </w:p>
    <w:p w14:paraId="6625A25D" w14:textId="77777777" w:rsidR="00F642EE" w:rsidRDefault="00F642EE"/>
    <w:sectPr w:rsidR="00F64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EE"/>
    <w:rsid w:val="000C11B5"/>
    <w:rsid w:val="00286DB1"/>
    <w:rsid w:val="003944EF"/>
    <w:rsid w:val="00832BEC"/>
    <w:rsid w:val="00C60596"/>
    <w:rsid w:val="00E20515"/>
    <w:rsid w:val="00E5633C"/>
    <w:rsid w:val="00F642EE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5E5B0"/>
  <w15:chartTrackingRefBased/>
  <w15:docId w15:val="{8B65D7FF-3730-464C-9133-88CA5ECA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E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2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2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2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2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4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2E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642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42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Ozair Ismail</dc:creator>
  <cp:keywords/>
  <dc:description/>
  <cp:lastModifiedBy>Ozair Ismail</cp:lastModifiedBy>
  <cp:revision>7</cp:revision>
  <dcterms:created xsi:type="dcterms:W3CDTF">2026-02-18T20:32:00Z</dcterms:created>
  <dcterms:modified xsi:type="dcterms:W3CDTF">2026-02-19T01:30:00Z</dcterms:modified>
</cp:coreProperties>
</file>