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B4C7E"/>
          <w:sz w:val="36"/>
          <w:szCs w:val="36"/>
        </w:rPr>
        <w:t xml:space="preserve">Part 2: Quality Assessment Layer</w:t>
      </w:r>
    </w:p>
    <w:p>
      <w:pPr>
        <w:spacing w:after="400"/>
        <w:jc w:val="center"/>
      </w:pPr>
      <w:r>
        <w:rPr>
          <w:rFonts w:ascii="Arial" w:cs="Arial" w:eastAsia="Arial" w:hAnsi="Arial"/>
          <w:i/>
          <w:iCs/>
          <w:color w:val="666666"/>
          <w:sz w:val="24"/>
          <w:szCs w:val="24"/>
        </w:rPr>
        <w:t xml:space="preserve">What It Does, What It Found, and What It Means</w:t>
      </w:r>
    </w:p>
    <w:p>
      <w:pPr>
        <w:pStyle w:val="Heading1"/>
        <w:spacing w:before="300" w:after="150"/>
      </w:pPr>
      <w:r>
        <w:rPr>
          <w:rFonts w:ascii="Arial" w:cs="Arial" w:eastAsia="Arial" w:hAnsi="Arial"/>
        </w:rPr>
        <w:t xml:space="preserve">1. What Is Part 2?</w:t>
      </w:r>
    </w:p>
    <w:p>
      <w:pPr>
        <w:spacing w:after="150" w:line="276"/>
      </w:pPr>
      <w:r>
        <w:rPr>
          <w:rFonts w:ascii="Arial" w:cs="Arial" w:eastAsia="Arial" w:hAnsi="Arial"/>
          <w:sz w:val="22"/>
          <w:szCs w:val="22"/>
        </w:rPr>
        <w:t xml:space="preserve">Part 2 is completely separate from the machine learning in Part 1. There is no ML here at all. Instead, Part 2 is a set of rules and formulas that take the rep boundaries detected by Part 1 and extract clinically meaningful measurements from the raw sensor data within those boundaries.</w:t>
      </w:r>
    </w:p>
    <w:p>
      <w:pPr>
        <w:spacing w:after="150" w:line="276"/>
      </w:pPr>
      <w:r>
        <w:rPr>
          <w:rFonts w:ascii="Arial" w:cs="Arial" w:eastAsia="Arial" w:hAnsi="Arial"/>
          <w:b/>
          <w:bCs/>
          <w:sz w:val="22"/>
          <w:szCs w:val="22"/>
        </w:rPr>
        <w:t xml:space="preserve">Think of it this way: </w:t>
      </w:r>
      <w:r>
        <w:rPr>
          <w:rFonts w:ascii="Arial" w:cs="Arial" w:eastAsia="Arial" w:hAnsi="Arial"/>
          <w:sz w:val="22"/>
          <w:szCs w:val="22"/>
        </w:rPr>
        <w:t xml:space="preserve">Part 1 answers the question </w:t>
      </w:r>
      <w:r>
        <w:rPr>
          <w:rFonts w:ascii="Arial" w:cs="Arial" w:eastAsia="Arial" w:hAnsi="Arial"/>
          <w:i/>
          <w:iCs/>
          <w:sz w:val="22"/>
          <w:szCs w:val="22"/>
        </w:rPr>
        <w:t xml:space="preserve">"where did each sit-to-stand happen?" </w:t>
      </w:r>
      <w:r>
        <w:rPr>
          <w:rFonts w:ascii="Arial" w:cs="Arial" w:eastAsia="Arial" w:hAnsi="Arial"/>
          <w:sz w:val="22"/>
          <w:szCs w:val="22"/>
        </w:rPr>
        <w:t xml:space="preserve">Part 2 answers </w:t>
      </w:r>
      <w:r>
        <w:rPr>
          <w:rFonts w:ascii="Arial" w:cs="Arial" w:eastAsia="Arial" w:hAnsi="Arial"/>
          <w:i/>
          <w:iCs/>
          <w:sz w:val="22"/>
          <w:szCs w:val="22"/>
        </w:rPr>
        <w:t xml:space="preserve">"how well did the person perform each sit-to-stand?"</w:t>
      </w:r>
    </w:p>
    <w:p>
      <w:pPr>
        <w:spacing w:after="150" w:line="276"/>
      </w:pPr>
      <w:r>
        <w:rPr>
          <w:rFonts w:ascii="Arial" w:cs="Arial" w:eastAsia="Arial" w:hAnsi="Arial"/>
          <w:sz w:val="22"/>
          <w:szCs w:val="22"/>
        </w:rPr>
        <w:t xml:space="preserve">Each measurement is mapped to a specific dimension of the Fried frailty phenotype (the clinical gold standard for frailty diagnosis) and compared against published reference values from research studies. The output is educational and descriptive — it flags where a person’s performance falls relative to published ranges, but it does not diagnose frailty.</w:t>
      </w:r>
    </w:p>
    <w:p>
      <w:pPr>
        <w:pStyle w:val="Heading1"/>
        <w:spacing w:before="300" w:after="150"/>
      </w:pPr>
      <w:r>
        <w:rPr>
          <w:rFonts w:ascii="Arial" w:cs="Arial" w:eastAsia="Arial" w:hAnsi="Arial"/>
        </w:rPr>
        <w:t xml:space="preserve">2. The Six Indicators</w:t>
      </w:r>
    </w:p>
    <w:p>
      <w:pPr>
        <w:spacing w:after="150" w:line="276"/>
      </w:pPr>
      <w:r>
        <w:rPr>
          <w:rFonts w:ascii="Arial" w:cs="Arial" w:eastAsia="Arial" w:hAnsi="Arial"/>
          <w:sz w:val="22"/>
          <w:szCs w:val="22"/>
        </w:rPr>
        <w:t xml:space="preserve">Part 2 extracts six features from each detected rep, organized by the frailty dimension they assess.</w:t>
      </w:r>
    </w:p>
    <w:p>
      <w:pPr>
        <w:pStyle w:val="Heading2"/>
        <w:spacing w:before="300" w:after="150"/>
      </w:pPr>
      <w:r>
        <w:rPr>
          <w:rFonts w:ascii="Arial" w:cs="Arial" w:eastAsia="Arial" w:hAnsi="Arial"/>
        </w:rPr>
        <w:t xml:space="preserve">Weakness (Fried Dimension: Reduced Muscle Strength)</w:t>
      </w:r>
    </w:p>
    <w:p>
      <w:pPr>
        <w:spacing w:after="150" w:line="276"/>
      </w:pPr>
      <w:r>
        <w:rPr>
          <w:rFonts w:ascii="Arial" w:cs="Arial" w:eastAsia="Arial" w:hAnsi="Arial"/>
          <w:b/>
          <w:bCs/>
          <w:sz w:val="22"/>
          <w:szCs w:val="22"/>
        </w:rPr>
        <w:t xml:space="preserve">Indicator 1: Peak Dynamic Acceleration Magnitude. </w:t>
      </w:r>
      <w:r>
        <w:rPr>
          <w:rFonts w:ascii="Arial" w:cs="Arial" w:eastAsia="Arial" w:hAnsi="Arial"/>
          <w:sz w:val="22"/>
          <w:szCs w:val="22"/>
        </w:rPr>
        <w:t xml:space="preserve">For each rep, we find the highest acceleration during the transition after removing gravity. Gravity is removed using a high-pass Butterworth filter at 0.3Hz (matching UCI HAPT’s own preprocessing), leaving only the acceleration caused by body movement. We then compute the magnitude: sqrt(filtered_ax² + filtered_ay² + filtered_az²). This is orientation-independent — it doesn’t matter how the phone is tilted in the waistband.</w:t>
      </w:r>
    </w:p>
    <w:p>
      <w:pPr>
        <w:spacing w:after="150" w:line="276"/>
      </w:pPr>
      <w:r>
        <w:rPr>
          <w:rFonts w:ascii="Arial" w:cs="Arial" w:eastAsia="Arial" w:hAnsi="Arial"/>
          <w:b/>
          <w:bCs/>
          <w:sz w:val="22"/>
          <w:szCs w:val="22"/>
        </w:rPr>
        <w:t xml:space="preserve">What it tells you: </w:t>
      </w:r>
      <w:r>
        <w:rPr>
          <w:rFonts w:ascii="Arial" w:cs="Arial" w:eastAsia="Arial" w:hAnsi="Arial"/>
          <w:sz w:val="22"/>
          <w:szCs w:val="22"/>
        </w:rPr>
        <w:t xml:space="preserve">Higher peak acceleration means more forceful movement. A person who pushes up strongly from the chair produces a bigger acceleration spike than someone who struggles to rise. Galán-Mercant &amp; Cuesta-Vargas (2013/2014) found that frail elderly produced peaks around 2.7 m/s² while non-frail elderly produced around 8.5 m/s² using an iPhone at the waist.</w:t>
      </w:r>
    </w:p>
    <w:p>
      <w:pPr>
        <w:spacing w:after="150" w:line="276"/>
      </w:pPr>
      <w:r>
        <w:rPr>
          <w:rFonts w:ascii="Arial" w:cs="Arial" w:eastAsia="Arial" w:hAnsi="Arial"/>
          <w:b/>
          <w:bCs/>
          <w:sz w:val="22"/>
          <w:szCs w:val="22"/>
        </w:rPr>
        <w:t xml:space="preserve">Indicator 2: Relative Muscle Power (Adapted Alcázar Equation). </w:t>
      </w:r>
      <w:r>
        <w:rPr>
          <w:rFonts w:ascii="Arial" w:cs="Arial" w:eastAsia="Arial" w:hAnsi="Arial"/>
          <w:sz w:val="22"/>
          <w:szCs w:val="22"/>
        </w:rPr>
        <w:t xml:space="preserve">This uses a validated biomechanical formula that estimates how much power per kilogram of body weight a person generates during sit-to-stand: Power (W/kg) = [0.9 × 9.81 × (height × 0.5 − chair_height)] / (time_per_rep × 0.5). The formula was originally validated on the 5-rep sit-to-stand test by Alcázar et al. (2021). We adapt it for the 30-second chair stand test by using mean time-per-rep instead of total 5-rep time. This adaptation is reasonable because the core relationship — power is inversely proportional to movement time — holds regardless of protocol. However, the published normative cut-off points were derived from the 5-rep version, so our comparison is approximate.</w:t>
      </w:r>
    </w:p>
    <w:p>
      <w:pPr>
        <w:spacing w:after="150" w:line="276"/>
      </w:pPr>
      <w:r>
        <w:rPr>
          <w:rFonts w:ascii="Arial" w:cs="Arial" w:eastAsia="Arial" w:hAnsi="Arial"/>
          <w:b/>
          <w:bCs/>
          <w:sz w:val="22"/>
          <w:szCs w:val="22"/>
        </w:rPr>
        <w:t xml:space="preserve">What it tells you: </w:t>
      </w:r>
      <w:r>
        <w:rPr>
          <w:rFonts w:ascii="Arial" w:cs="Arial" w:eastAsia="Arial" w:hAnsi="Arial"/>
          <w:sz w:val="22"/>
          <w:szCs w:val="22"/>
        </w:rPr>
        <w:t xml:space="preserve">Two people can complete the same number of reps but have very different power output if one moves faster than the other. Power captures this difference. Alcázar et al. published age- and sex-stratified normative values, allowing comparison against expected ranges for a given demographic.</w:t>
      </w:r>
    </w:p>
    <w:p>
      <w:pPr>
        <w:pStyle w:val="Heading2"/>
        <w:spacing w:before="300" w:after="150"/>
      </w:pPr>
      <w:r>
        <w:rPr>
          <w:rFonts w:ascii="Arial" w:cs="Arial" w:eastAsia="Arial" w:hAnsi="Arial"/>
        </w:rPr>
        <w:t xml:space="preserve">Slowness (Fried Dimension: Reduced Walking Speed)</w:t>
      </w:r>
    </w:p>
    <w:p>
      <w:pPr>
        <w:spacing w:after="150" w:line="276"/>
      </w:pPr>
      <w:r>
        <w:rPr>
          <w:rFonts w:ascii="Arial" w:cs="Arial" w:eastAsia="Arial" w:hAnsi="Arial"/>
          <w:b/>
          <w:bCs/>
          <w:sz w:val="22"/>
          <w:szCs w:val="22"/>
        </w:rPr>
        <w:t xml:space="preserve">Indicator 3: Time-Per-Rep. </w:t>
      </w:r>
      <w:r>
        <w:rPr>
          <w:rFonts w:ascii="Arial" w:cs="Arial" w:eastAsia="Arial" w:hAnsi="Arial"/>
          <w:sz w:val="22"/>
          <w:szCs w:val="22"/>
        </w:rPr>
        <w:t xml:space="preserve">The simplest indicator — how long each rep takes in seconds, computed directly from the rep boundaries (end_sample − start_sample, divided by sampling rate). Longer time means slower movement.</w:t>
      </w:r>
    </w:p>
    <w:p>
      <w:pPr>
        <w:spacing w:after="150" w:line="276"/>
      </w:pPr>
      <w:r>
        <w:rPr>
          <w:rFonts w:ascii="Arial" w:cs="Arial" w:eastAsia="Arial" w:hAnsi="Arial"/>
          <w:b/>
          <w:bCs/>
          <w:sz w:val="22"/>
          <w:szCs w:val="22"/>
        </w:rPr>
        <w:t xml:space="preserve">What it tells you: </w:t>
      </w:r>
      <w:r>
        <w:rPr>
          <w:rFonts w:ascii="Arial" w:cs="Arial" w:eastAsia="Arial" w:hAnsi="Arial"/>
          <w:sz w:val="22"/>
          <w:szCs w:val="22"/>
        </w:rPr>
        <w:t xml:space="preserve">This is the raw measurement that feeds into the power equation. On its own, it captures movement speed. In a 30-second test with many reps, tracking time-per-rep across the session reveals whether the person slows down (fatigue) or maintains pace.</w:t>
      </w:r>
    </w:p>
    <w:p>
      <w:pPr>
        <w:spacing w:after="150" w:line="276"/>
      </w:pPr>
      <w:r>
        <w:rPr>
          <w:rFonts w:ascii="Arial" w:cs="Arial" w:eastAsia="Arial" w:hAnsi="Arial"/>
          <w:b/>
          <w:bCs/>
          <w:sz w:val="22"/>
          <w:szCs w:val="22"/>
        </w:rPr>
        <w:t xml:space="preserve">Indicator 4: Peak Gyroscope Magnitude. </w:t>
      </w:r>
      <w:r>
        <w:rPr>
          <w:rFonts w:ascii="Arial" w:cs="Arial" w:eastAsia="Arial" w:hAnsi="Arial"/>
          <w:sz w:val="22"/>
          <w:szCs w:val="22"/>
        </w:rPr>
        <w:t xml:space="preserve">For each rep, we find the highest rotational velocity: max(sqrt(gx² + gy² + gz²)). This captures how quickly the trunk rotates during the sit-to-stand transition — the forward lean and upward rise involve significant trunk rotation.</w:t>
      </w:r>
    </w:p>
    <w:p>
      <w:pPr>
        <w:spacing w:after="150" w:line="276"/>
      </w:pPr>
      <w:r>
        <w:rPr>
          <w:rFonts w:ascii="Arial" w:cs="Arial" w:eastAsia="Arial" w:hAnsi="Arial"/>
          <w:b/>
          <w:bCs/>
          <w:sz w:val="22"/>
          <w:szCs w:val="22"/>
        </w:rPr>
        <w:t xml:space="preserve">What it tells you: </w:t>
      </w:r>
      <w:r>
        <w:rPr>
          <w:rFonts w:ascii="Arial" w:cs="Arial" w:eastAsia="Arial" w:hAnsi="Arial"/>
          <w:sz w:val="22"/>
          <w:szCs w:val="22"/>
        </w:rPr>
        <w:t xml:space="preserve">Millor et al. (2013) found that angular velocity peaks during the stand-up phase were the single strongest differentiator across frailty levels (p &lt; 0.001) using a single lumbar sensor. Frailer individuals rotate more slowly because they lack the muscle power for rapid trunk extension. Our feature importance analysis in Part 1 independently confirmed this — gyroscope x-axis energy was the single most important feature for detecting sit-to-stand events.</w:t>
      </w:r>
    </w:p>
    <w:p>
      <w:pPr>
        <w:pStyle w:val="Heading2"/>
        <w:spacing w:before="300" w:after="150"/>
      </w:pPr>
      <w:r>
        <w:rPr>
          <w:rFonts w:ascii="Arial" w:cs="Arial" w:eastAsia="Arial" w:hAnsi="Arial"/>
        </w:rPr>
        <w:t xml:space="preserve">Exhaustion (Fried Dimension: Self-Reported Fatigue)</w:t>
      </w:r>
    </w:p>
    <w:p>
      <w:pPr>
        <w:spacing w:after="150" w:line="276"/>
      </w:pPr>
      <w:r>
        <w:rPr>
          <w:rFonts w:ascii="Arial" w:cs="Arial" w:eastAsia="Arial" w:hAnsi="Arial"/>
          <w:b/>
          <w:bCs/>
          <w:sz w:val="22"/>
          <w:szCs w:val="22"/>
        </w:rPr>
        <w:t xml:space="preserve">Indicator 5: Coefficient of Variation (CV). </w:t>
      </w:r>
      <w:r>
        <w:rPr>
          <w:rFonts w:ascii="Arial" w:cs="Arial" w:eastAsia="Arial" w:hAnsi="Arial"/>
          <w:sz w:val="22"/>
          <w:szCs w:val="22"/>
        </w:rPr>
        <w:t xml:space="preserve">For any per-rep metric (e.g., peak acceleration), compute CV = std(values) / mean(values) across all reps in the session. High CV means inconsistent performance — some reps are strong, others are weak.</w:t>
      </w:r>
    </w:p>
    <w:p>
      <w:pPr>
        <w:spacing w:after="150" w:line="276"/>
      </w:pPr>
      <w:r>
        <w:rPr>
          <w:rFonts w:ascii="Arial" w:cs="Arial" w:eastAsia="Arial" w:hAnsi="Arial"/>
          <w:b/>
          <w:bCs/>
          <w:sz w:val="22"/>
          <w:szCs w:val="22"/>
        </w:rPr>
        <w:t xml:space="preserve">What it tells you: </w:t>
      </w:r>
      <w:r>
        <w:rPr>
          <w:rFonts w:ascii="Arial" w:cs="Arial" w:eastAsia="Arial" w:hAnsi="Arial"/>
          <w:sz w:val="22"/>
          <w:szCs w:val="22"/>
        </w:rPr>
        <w:t xml:space="preserve">Park et al. (2021) found that CV of vertical power range was significantly higher in the pre-frail/frail group compared to robust elderly. Inconsistency across reps signals fatigue or neuromuscular instability. In a 30-second test with 10–20 reps, CV is statistically stable. With only 2–3 reps (as in UCI HAPT), CV is unreliable — this is a limitation of our demonstration dataset.</w:t>
      </w:r>
    </w:p>
    <w:p>
      <w:pPr>
        <w:spacing w:after="150" w:line="276"/>
      </w:pPr>
      <w:r>
        <w:rPr>
          <w:rFonts w:ascii="Arial" w:cs="Arial" w:eastAsia="Arial" w:hAnsi="Arial"/>
          <w:b/>
          <w:bCs/>
          <w:sz w:val="22"/>
          <w:szCs w:val="22"/>
        </w:rPr>
        <w:t xml:space="preserve">Indicator 6: Fatigue Slope. </w:t>
      </w:r>
      <w:r>
        <w:rPr>
          <w:rFonts w:ascii="Arial" w:cs="Arial" w:eastAsia="Arial" w:hAnsi="Arial"/>
          <w:sz w:val="22"/>
          <w:szCs w:val="22"/>
        </w:rPr>
        <w:t xml:space="preserve">Plot any per-rep metric against rep number (1st, 2nd, 3rd...) and fit a linear regression line. The slope tells you whether performance is declining across the session. A negative slope means later reps are weaker than earlier reps — the person is fatiguing.</w:t>
      </w:r>
    </w:p>
    <w:p>
      <w:pPr>
        <w:spacing w:after="150" w:line="276"/>
      </w:pPr>
      <w:r>
        <w:rPr>
          <w:rFonts w:ascii="Arial" w:cs="Arial" w:eastAsia="Arial" w:hAnsi="Arial"/>
          <w:b/>
          <w:bCs/>
          <w:sz w:val="22"/>
          <w:szCs w:val="22"/>
        </w:rPr>
        <w:t xml:space="preserve">What it tells you: </w:t>
      </w:r>
      <w:r>
        <w:rPr>
          <w:rFonts w:ascii="Arial" w:cs="Arial" w:eastAsia="Arial" w:hAnsi="Arial"/>
          <w:sz w:val="22"/>
          <w:szCs w:val="22"/>
        </w:rPr>
        <w:t xml:space="preserve">This is the most novel indicator in the project. Schwenk/Lindemann found a mean velocity decrease of −0.0037 m/s per repetition in older women, with 10%, 15%, and 20% fatigue thresholds at approximately 8, 14, and 21 reps respectively. A stopwatch cannot capture this — it only gives you total reps and total time. The fatigue slope reveals the trajectory of performance within the test, which is invisible to traditional assessment. Note: no published threshold exists for smartphone-derived fatigue slope during the 30-second CST, so this indicator is exploratory.</w:t>
      </w:r>
    </w:p>
    <w:p>
      <w:pPr>
        <w:pStyle w:val="Heading1"/>
        <w:spacing w:before="300" w:after="150"/>
      </w:pPr>
      <w:r>
        <w:rPr>
          <w:rFonts w:ascii="Arial" w:cs="Arial" w:eastAsia="Arial" w:hAnsi="Arial"/>
        </w:rPr>
        <w:t xml:space="preserve">3. The Three-Tier Output</w:t>
      </w:r>
    </w:p>
    <w:p>
      <w:pPr>
        <w:spacing w:after="150" w:line="276"/>
      </w:pPr>
      <w:r>
        <w:rPr>
          <w:rFonts w:ascii="Arial" w:cs="Arial" w:eastAsia="Arial" w:hAnsi="Arial"/>
          <w:sz w:val="22"/>
          <w:szCs w:val="22"/>
        </w:rPr>
        <w:t xml:space="preserve">The quality assessment layer produces three levels of output, each adding information beyond what a stopwatch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Provides</w:t>
            </w:r>
          </w:p>
        </w:tc>
        <w:tc>
          <w:tcPr>
            <w:tcW w:type="dxa" w:w="48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Clinical Value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Tier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Rep Count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The standard clinical measure. What a stopwatch gives you. Compared against normative ranges by age and sex (Jones et al., 1999).</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bCs/>
                <w:sz w:val="20"/>
                <w:szCs w:val="20"/>
              </w:rPr>
              <w:t xml:space="preserve">Tier 2</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Relative Power Score</w:t>
            </w:r>
          </w:p>
        </w:tc>
        <w:tc>
          <w:tcPr>
            <w:tcW w:type="dxa" w:w="4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Goes beyond rep count. Two people with 12 reps can have different power scores if one moves faster. Uses the adapted Alcázar equation, flagged against age/sex normative cut-off points.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Tier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Movement Quality Flags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Individual flags for peak acceleration (weakness), peak gyro (slowness), CV (exhaustion), and fatigue slope (fatigability). Each aligned with a Fried frailty dimension and a published reference.</w:t>
            </w:r>
          </w:p>
        </w:tc>
      </w:tr>
    </w:tbl>
    <w:p>
      <w:pPr>
        <w:spacing w:after="200"/>
      </w:pPr>
    </w:p>
    <w:p>
      <w:pPr>
        <w:pStyle w:val="Heading1"/>
        <w:spacing w:before="300" w:after="150"/>
      </w:pPr>
      <w:r>
        <w:rPr>
          <w:rFonts w:ascii="Arial" w:cs="Arial" w:eastAsia="Arial" w:hAnsi="Arial"/>
        </w:rPr>
        <w:t xml:space="preserve">4. What the Results Showed</w:t>
      </w:r>
    </w:p>
    <w:p>
      <w:pPr>
        <w:pStyle w:val="Heading2"/>
        <w:spacing w:before="300" w:after="150"/>
      </w:pPr>
      <w:r>
        <w:rPr>
          <w:rFonts w:ascii="Arial" w:cs="Arial" w:eastAsia="Arial" w:hAnsi="Arial"/>
        </w:rPr>
        <w:t xml:space="preserve">4.1 UCI HAPT Subjects (Young Adults, Ages 19–48)</w:t>
      </w:r>
    </w:p>
    <w:p>
      <w:pPr>
        <w:spacing w:after="150" w:line="276"/>
      </w:pPr>
      <w:r>
        <w:rPr>
          <w:rFonts w:ascii="Arial" w:cs="Arial" w:eastAsia="Arial" w:hAnsi="Arial"/>
          <w:sz w:val="22"/>
          <w:szCs w:val="22"/>
        </w:rPr>
        <w:t xml:space="preserve">We ran the quality assessment pipeline on all 62 sit-to-stand segments from the 30 UCI HAPT subjects. All extracted values fell within expected physiological ranges, confirming the pipeline works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65"/>
        <w:gridCol w:w="1565"/>
        <w:gridCol w:w="1565"/>
        <w:gridCol w:w="1565"/>
      </w:tblGrid>
      <w:tr>
        <w:tc>
          <w:tcPr>
            <w:tcW w:type="dxa" w:w="31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565"/>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w:t>
            </w:r>
          </w:p>
        </w:tc>
        <w:tc>
          <w:tcPr>
            <w:tcW w:type="dxa" w:w="1565"/>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w:t>
            </w:r>
          </w:p>
        </w:tc>
        <w:tc>
          <w:tcPr>
            <w:tcW w:type="dxa" w:w="1565"/>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w:t>
            </w:r>
          </w:p>
        </w:tc>
        <w:tc>
          <w:tcPr>
            <w:tcW w:type="dxa" w:w="1565"/>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Peak dynamic accel (m/s²)</w:t>
            </w:r>
          </w:p>
        </w:tc>
        <w:tc>
          <w:tcPr>
            <w:tcW w:type="dxa" w:w="156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2.07</w:t>
            </w:r>
          </w:p>
        </w:tc>
        <w:tc>
          <w:tcPr>
            <w:tcW w:type="dxa" w:w="156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9.06</w:t>
            </w:r>
          </w:p>
        </w:tc>
        <w:tc>
          <w:tcPr>
            <w:tcW w:type="dxa" w:w="156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4.54</w:t>
            </w:r>
          </w:p>
        </w:tc>
        <w:tc>
          <w:tcPr>
            <w:tcW w:type="dxa" w:w="156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E7D32"/>
                <w:sz w:val="20"/>
                <w:szCs w:val="20"/>
              </w:rPr>
              <w:t xml:space="preserve">1–15 ✓</w:t>
            </w:r>
          </w:p>
        </w:tc>
      </w:tr>
      <w:tr>
        <w:tc>
          <w:tcPr>
            <w:tcW w:type="dxa" w:w="3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Time per rep (s)</w:t>
            </w:r>
          </w:p>
        </w:tc>
        <w:tc>
          <w:tcPr>
            <w:tcW w:type="dxa" w:w="1565"/>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1.48</w:t>
            </w:r>
          </w:p>
        </w:tc>
        <w:tc>
          <w:tcPr>
            <w:tcW w:type="dxa" w:w="1565"/>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3.66</w:t>
            </w:r>
          </w:p>
        </w:tc>
        <w:tc>
          <w:tcPr>
            <w:tcW w:type="dxa" w:w="1565"/>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2.59</w:t>
            </w:r>
          </w:p>
        </w:tc>
        <w:tc>
          <w:tcPr>
            <w:tcW w:type="dxa" w:w="1565"/>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color w:val="2E7D32"/>
                <w:sz w:val="20"/>
                <w:szCs w:val="20"/>
              </w:rPr>
              <w:t xml:space="preserve">1–5 ✓</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Peak gyro magnitude (rad/s)</w:t>
            </w:r>
          </w:p>
        </w:tc>
        <w:tc>
          <w:tcPr>
            <w:tcW w:type="dxa" w:w="156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1.01</w:t>
            </w:r>
          </w:p>
        </w:tc>
        <w:tc>
          <w:tcPr>
            <w:tcW w:type="dxa" w:w="156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4.92</w:t>
            </w:r>
          </w:p>
        </w:tc>
        <w:tc>
          <w:tcPr>
            <w:tcW w:type="dxa" w:w="156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2.07</w:t>
            </w:r>
          </w:p>
        </w:tc>
        <w:tc>
          <w:tcPr>
            <w:tcW w:type="dxa" w:w="156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E7D32"/>
                <w:sz w:val="20"/>
                <w:szCs w:val="20"/>
              </w:rPr>
              <w:t xml:space="preserve">0.5–10 ✓</w:t>
            </w:r>
          </w:p>
        </w:tc>
      </w:tr>
      <w:tr>
        <w:tc>
          <w:tcPr>
            <w:tcW w:type="dxa" w:w="3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Relative power (W/kg)</w:t>
            </w:r>
          </w:p>
        </w:tc>
        <w:tc>
          <w:tcPr>
            <w:tcW w:type="dxa" w:w="1565"/>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1.88</w:t>
            </w:r>
          </w:p>
        </w:tc>
        <w:tc>
          <w:tcPr>
            <w:tcW w:type="dxa" w:w="1565"/>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4.65</w:t>
            </w:r>
          </w:p>
        </w:tc>
        <w:tc>
          <w:tcPr>
            <w:tcW w:type="dxa" w:w="1565"/>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2.79</w:t>
            </w:r>
          </w:p>
        </w:tc>
        <w:tc>
          <w:tcPr>
            <w:tcW w:type="dxa" w:w="1565"/>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color w:val="2E7D32"/>
                <w:sz w:val="20"/>
                <w:szCs w:val="20"/>
              </w:rPr>
              <w:t xml:space="preserve">0.5–5 ✓</w:t>
            </w:r>
          </w:p>
        </w:tc>
      </w:tr>
    </w:tbl>
    <w:p>
      <w:pPr>
        <w:spacing w:after="200"/>
      </w:pPr>
    </w:p>
    <w:p>
      <w:pPr>
        <w:spacing w:after="150" w:line="276"/>
      </w:pPr>
      <w:r>
        <w:rPr>
          <w:rFonts w:ascii="Arial" w:cs="Arial" w:eastAsia="Arial" w:hAnsi="Arial"/>
          <w:b/>
          <w:bCs/>
          <w:sz w:val="22"/>
          <w:szCs w:val="22"/>
        </w:rPr>
        <w:t xml:space="preserve">Biomechanical validation: </w:t>
      </w:r>
      <w:r>
        <w:rPr>
          <w:rFonts w:ascii="Arial" w:cs="Arial" w:eastAsia="Arial" w:hAnsi="Arial"/>
          <w:sz w:val="22"/>
          <w:szCs w:val="22"/>
        </w:rPr>
        <w:t xml:space="preserve">The correlation between mean time-per-rep and mean peak acceleration across subjects was r = −0.399 (p = 0.029). This confirms the expected relationship: subjects who stand up faster produce higher acceleration peaks. The pipeline is measuring real biomechanical differences between individuals.</w:t>
      </w:r>
    </w:p>
    <w:p>
      <w:pPr>
        <w:pStyle w:val="Heading2"/>
        <w:spacing w:before="300" w:after="150"/>
      </w:pPr>
      <w:r>
        <w:rPr>
          <w:rFonts w:ascii="Arial" w:cs="Arial" w:eastAsia="Arial" w:hAnsi="Arial"/>
        </w:rPr>
        <w:t xml:space="preserve">4.2 Threshold Comparison Results</w:t>
      </w:r>
    </w:p>
    <w:p>
      <w:pPr>
        <w:spacing w:after="150" w:line="276"/>
      </w:pPr>
      <w:r>
        <w:rPr>
          <w:rFonts w:ascii="Arial" w:cs="Arial" w:eastAsia="Arial" w:hAnsi="Arial"/>
          <w:sz w:val="22"/>
          <w:szCs w:val="22"/>
        </w:rPr>
        <w:t xml:space="preserve">When we compared each subject’s values against published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Indicator</w:t>
            </w:r>
          </w:p>
        </w:tc>
        <w:tc>
          <w:tcPr>
            <w:tcW w:type="dxa" w:w="312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Peak acceleration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All 30 subjects: Intermediate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 one reached the non-frail threshold (8.5 m/s²) or the frail threshold (2.7 m/s²). Expected — the thresholds are for vertical axis only; our magnitude measure is different.</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Power</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29 within range, 1 below</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Subject 18 had power of 1.92 W/kg (below 2.0 threshold). Young adults should almost all be within range.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CV (exhaustion)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23 stable, 7 flagged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 subjects showed CV &gt; 0.30. Note: with only 2–3 reps, these values are not statistically reliable. The flags demonstrate the pipeline, not real exhaustion.</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Fatigue slope</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19 stable, 11 declining</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11 subjects showed negative slopes. Same caveat: a regression through 2–3 points is unreliable. Would be meaningful with 10+ reps from a 30-second test.</w:t>
            </w:r>
          </w:p>
        </w:tc>
      </w:tr>
    </w:tbl>
    <w:p>
      <w:pPr>
        <w:spacing w:after="200"/>
      </w:pPr>
    </w:p>
    <w:p>
      <w:pPr>
        <w:pStyle w:val="Heading2"/>
        <w:spacing w:before="300" w:after="150"/>
      </w:pPr>
      <w:r>
        <w:rPr>
          <w:rFonts w:ascii="Arial" w:cs="Arial" w:eastAsia="Arial" w:hAnsi="Arial"/>
        </w:rPr>
        <w:t xml:space="preserve">4.3 Subject Profiles</w:t>
      </w:r>
    </w:p>
    <w:p>
      <w:pPr>
        <w:spacing w:after="150" w:line="276"/>
      </w:pPr>
      <w:r>
        <w:rPr>
          <w:rFonts w:ascii="Arial" w:cs="Arial" w:eastAsia="Arial" w:hAnsi="Arial"/>
          <w:b/>
          <w:bCs/>
          <w:sz w:val="22"/>
          <w:szCs w:val="22"/>
        </w:rPr>
        <w:t xml:space="preserve">Subject 17 (most concerning profile): </w:t>
      </w:r>
      <w:r>
        <w:rPr>
          <w:rFonts w:ascii="Arial" w:cs="Arial" w:eastAsia="Arial" w:hAnsi="Arial"/>
          <w:sz w:val="22"/>
          <w:szCs w:val="22"/>
        </w:rPr>
        <w:t xml:space="preserve">Peak acceleration of 2.80 m/s² (near the frail threshold of 2.7), CV of 0.37 (above the exhaustion threshold of 0.30), and a declining fatigue slope of −1.46. Despite being a young adult, this subject’s movement quality indicators are the weakest in the cohort. In a clinical context with a 30-second test, this profile would warrant further assessment.</w:t>
      </w:r>
    </w:p>
    <w:p>
      <w:pPr>
        <w:spacing w:after="150" w:line="276"/>
      </w:pPr>
      <w:r>
        <w:rPr>
          <w:rFonts w:ascii="Arial" w:cs="Arial" w:eastAsia="Arial" w:hAnsi="Arial"/>
          <w:b/>
          <w:bCs/>
          <w:sz w:val="22"/>
          <w:szCs w:val="22"/>
        </w:rPr>
        <w:t xml:space="preserve">Subject 10 (strongest profile): </w:t>
      </w:r>
      <w:r>
        <w:rPr>
          <w:rFonts w:ascii="Arial" w:cs="Arial" w:eastAsia="Arial" w:hAnsi="Arial"/>
          <w:sz w:val="22"/>
          <w:szCs w:val="22"/>
        </w:rPr>
        <w:t xml:space="preserve">Peak acceleration of 6.99 m/s², stable CV, stable fatigue slope. All quality flags clear except the expected “intermediate” acceleration classification (due to the magnitude vs. vertical axis mismatch).</w:t>
      </w:r>
    </w:p>
    <w:p>
      <w:pPr>
        <w:pStyle w:val="Heading2"/>
        <w:spacing w:before="300" w:after="150"/>
      </w:pPr>
      <w:r>
        <w:rPr>
          <w:rFonts w:ascii="Arial" w:cs="Arial" w:eastAsia="Arial" w:hAnsi="Arial"/>
        </w:rPr>
        <w:t xml:space="preserve">4.4 SisFall Comparison: Young vs. Elderly</w:t>
      </w:r>
    </w:p>
    <w:p>
      <w:pPr>
        <w:spacing w:after="150" w:line="276"/>
      </w:pPr>
      <w:r>
        <w:rPr>
          <w:rFonts w:ascii="Arial" w:cs="Arial" w:eastAsia="Arial" w:hAnsi="Arial"/>
          <w:sz w:val="22"/>
          <w:szCs w:val="22"/>
        </w:rPr>
        <w:t xml:space="preserve">We ran the same pipeline on SisFall’s elderly subjects (ages 60–75) and compared against UCI HAPT’s young adults. The results were more nuanced than 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UCI HAPT (young)</w:t>
            </w:r>
          </w:p>
        </w:tc>
        <w:tc>
          <w:tcPr>
            <w:tcW w:type="dxa" w:w="2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SisFall D07 (slow)</w:t>
            </w:r>
          </w:p>
        </w:tc>
        <w:tc>
          <w:tcPr>
            <w:tcW w:type="dxa" w:w="21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SisFall D08 (fast)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Peak accel (m/s²)</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4.54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4.76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12.41</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Peak gyro (rad/s)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2.07</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1.69</w:t>
            </w:r>
          </w:p>
        </w:tc>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3.80</w:t>
            </w:r>
          </w:p>
        </w:tc>
      </w:tr>
    </w:tbl>
    <w:p>
      <w:pPr>
        <w:spacing w:after="200"/>
      </w:pPr>
    </w:p>
    <w:p>
      <w:pPr>
        <w:spacing w:after="150" w:line="276"/>
      </w:pPr>
      <w:r>
        <w:rPr>
          <w:rFonts w:ascii="Arial" w:cs="Arial" w:eastAsia="Arial" w:hAnsi="Arial"/>
          <w:b/>
          <w:bCs/>
          <w:sz w:val="22"/>
          <w:szCs w:val="22"/>
        </w:rPr>
        <w:t xml:space="preserve">Key finding: </w:t>
      </w:r>
      <w:r>
        <w:rPr>
          <w:rFonts w:ascii="Arial" w:cs="Arial" w:eastAsia="Arial" w:hAnsi="Arial"/>
          <w:sz w:val="22"/>
          <w:szCs w:val="22"/>
        </w:rPr>
        <w:t xml:space="preserve">The initial expectation was that elderly subjects would show lower acceleration and gyroscope values. But the D08 (fast) trials, where elderly subjects were instructed to stand up quickly, actually produced higher peaks than UCI HAPT’s young adults at natural pace. Only when comparing D07 (slow, deliberate pace) against UCI HAPT (natural pace) do the values converge. This shows that movement speed matters more than age for these instantaneous peak measurements. The fatigue and variability indicators (CV, fatigue slope) — which track how performance changes across many reps — are likely more sensitive to age-related differences than single-rep peak values.</w:t>
      </w:r>
    </w:p>
    <w:p>
      <w:pPr>
        <w:pStyle w:val="Heading1"/>
        <w:spacing w:before="300" w:after="150"/>
      </w:pPr>
      <w:r>
        <w:rPr>
          <w:rFonts w:ascii="Arial" w:cs="Arial" w:eastAsia="Arial" w:hAnsi="Arial"/>
        </w:rPr>
        <w:t xml:space="preserve">5. The Early Detection Argument</w:t>
      </w:r>
    </w:p>
    <w:p>
      <w:pPr>
        <w:spacing w:after="150" w:line="276"/>
      </w:pPr>
      <w:r>
        <w:rPr>
          <w:rFonts w:ascii="Arial" w:cs="Arial" w:eastAsia="Arial" w:hAnsi="Arial"/>
          <w:sz w:val="22"/>
          <w:szCs w:val="22"/>
        </w:rPr>
        <w:t xml:space="preserve">This is the core narrative of the project. Here is a concrete example:</w:t>
      </w:r>
    </w:p>
    <w:p>
      <w:pPr>
        <w:pBdr>
          <w:left w:val="single" w:color="2B4C7E" w:sz="12" w:space="8"/>
        </w:pBdr>
        <w:spacing w:after="50"/>
        <w:ind w:left="360"/>
      </w:pPr>
      <w:r>
        <w:rPr>
          <w:rFonts w:ascii="Arial" w:cs="Arial" w:eastAsia="Arial" w:hAnsi="Arial"/>
          <w:b/>
          <w:bCs/>
          <w:sz w:val="22"/>
          <w:szCs w:val="22"/>
        </w:rPr>
        <w:t xml:space="preserve">Subject 2 completed 2 reps.</w:t>
      </w:r>
    </w:p>
    <w:p>
      <w:pPr>
        <w:pBdr>
          <w:left w:val="single" w:color="2B4C7E" w:sz="12" w:space="8"/>
        </w:pBdr>
        <w:spacing w:after="50"/>
        <w:ind w:left="360"/>
      </w:pPr>
      <w:r>
        <w:rPr>
          <w:rFonts w:ascii="Arial" w:cs="Arial" w:eastAsia="Arial" w:hAnsi="Arial"/>
          <w:sz w:val="22"/>
          <w:szCs w:val="22"/>
        </w:rPr>
        <w:t xml:space="preserve">Standard assessment: Normal range (based on rep count alone).</w:t>
      </w:r>
    </w:p>
    <w:p>
      <w:pPr>
        <w:pBdr>
          <w:left w:val="single" w:color="2B4C7E" w:sz="12" w:space="8"/>
        </w:pBdr>
        <w:spacing w:after="50"/>
        <w:ind w:left="360"/>
      </w:pPr>
      <w:r>
        <w:rPr>
          <w:rFonts w:ascii="Arial" w:cs="Arial" w:eastAsia="Arial" w:hAnsi="Arial"/>
          <w:b/>
          <w:bCs/>
          <w:sz w:val="22"/>
          <w:szCs w:val="22"/>
        </w:rPr>
        <w:t xml:space="preserve">Movement quality analysis reveals:</w:t>
      </w:r>
    </w:p>
    <w:p>
      <w:pPr>
        <w:pBdr>
          <w:left w:val="single" w:color="C62828" w:sz="12" w:space="8"/>
        </w:pBdr>
        <w:spacing w:after="50"/>
        <w:ind w:left="720"/>
      </w:pPr>
      <w:r>
        <w:rPr>
          <w:rFonts w:ascii="Arial" w:cs="Arial" w:eastAsia="Arial" w:hAnsi="Arial"/>
          <w:sz w:val="22"/>
          <w:szCs w:val="22"/>
        </w:rPr>
        <w:t xml:space="preserve">• Peak acceleration: 4.04 m/s² (intermediate range)</w:t>
      </w:r>
    </w:p>
    <w:p>
      <w:pPr>
        <w:pBdr>
          <w:left w:val="single" w:color="C62828" w:sz="12" w:space="8"/>
        </w:pBdr>
        <w:spacing w:after="50"/>
        <w:ind w:left="720"/>
      </w:pPr>
      <w:r>
        <w:rPr>
          <w:rFonts w:ascii="Arial" w:cs="Arial" w:eastAsia="Arial" w:hAnsi="Arial"/>
          <w:color w:val="C62828"/>
          <w:sz w:val="22"/>
          <w:szCs w:val="22"/>
        </w:rPr>
        <w:t xml:space="preserve">• CV = 0.470 (above 0.30 exhaustion threshold — exhaustion flag)</w:t>
      </w:r>
    </w:p>
    <w:p>
      <w:pPr>
        <w:pBdr>
          <w:left w:val="single" w:color="C62828" w:sz="12" w:space="8"/>
        </w:pBdr>
        <w:spacing w:after="50"/>
        <w:ind w:left="720"/>
      </w:pPr>
      <w:r>
        <w:rPr>
          <w:rFonts w:ascii="Arial" w:cs="Arial" w:eastAsia="Arial" w:hAnsi="Arial"/>
          <w:color w:val="C62828"/>
          <w:sz w:val="22"/>
          <w:szCs w:val="22"/>
        </w:rPr>
        <w:t xml:space="preserve">• Fatigue slope = −2.69 m/s²/rep (declining — fatigability flag)</w:t>
      </w:r>
    </w:p>
    <w:p>
      <w:pPr>
        <w:pBdr>
          <w:left w:val="single" w:color="2B4C7E" w:sz="12" w:space="8"/>
        </w:pBdr>
        <w:spacing w:after="200"/>
        <w:ind w:left="360"/>
      </w:pPr>
      <w:r>
        <w:rPr>
          <w:rFonts w:ascii="Arial" w:cs="Arial" w:eastAsia="Arial" w:hAnsi="Arial"/>
          <w:b/>
          <w:bCs/>
          <w:i/>
          <w:iCs/>
          <w:sz w:val="22"/>
          <w:szCs w:val="22"/>
        </w:rPr>
        <w:t xml:space="preserve">These indicators suggest pre-frailty risk that would be invisible to rep count alone.</w:t>
      </w:r>
    </w:p>
    <w:p>
      <w:pPr>
        <w:spacing w:after="150" w:line="276"/>
      </w:pPr>
      <w:r>
        <w:rPr>
          <w:rFonts w:ascii="Arial" w:cs="Arial" w:eastAsia="Arial" w:hAnsi="Arial"/>
          <w:b/>
          <w:bCs/>
          <w:sz w:val="22"/>
          <w:szCs w:val="22"/>
        </w:rPr>
        <w:t xml:space="preserve">Important caveat: </w:t>
      </w:r>
      <w:r>
        <w:rPr>
          <w:rFonts w:ascii="Arial" w:cs="Arial" w:eastAsia="Arial" w:hAnsi="Arial"/>
          <w:sz w:val="22"/>
          <w:szCs w:val="22"/>
        </w:rPr>
        <w:t xml:space="preserve">This example uses UCI HAPT data with only 2 reps. With 2 data points, the CV and fatigue slope are illustrative but not statistically reliable. In a real 30-second chair stand test producing 10–20 reps, these indicators would be meaningful. The example demonstrates the type of insight the pipeline provides, not a validated clinical finding on this specific data.</w:t>
      </w:r>
    </w:p>
    <w:p>
      <w:pPr>
        <w:pStyle w:val="Heading1"/>
        <w:spacing w:before="300" w:after="150"/>
      </w:pPr>
      <w:r>
        <w:rPr>
          <w:rFonts w:ascii="Arial" w:cs="Arial" w:eastAsia="Arial" w:hAnsi="Arial"/>
        </w:rPr>
        <w:t xml:space="preserve">6. Limitations</w:t>
      </w:r>
    </w:p>
    <w:p>
      <w:pPr>
        <w:pStyle w:val="ListParagraph"/>
        <w:numPr>
          <w:ilvl w:val="0"/>
          <w:numId w:val="2"/>
        </w:numPr>
        <w:spacing w:after="120" w:line="276"/>
      </w:pPr>
      <w:r>
        <w:rPr>
          <w:rFonts w:ascii="Arial" w:cs="Arial" w:eastAsia="Arial" w:hAnsi="Arial"/>
          <w:sz w:val="22"/>
          <w:szCs w:val="22"/>
        </w:rPr>
        <w:t xml:space="preserve">UCI HAPT is not a 30-second chair stand test. Each subject has only 2–3 sit-to-stand transitions, making CV and fatigue slope statistically unreliable. These indicators are demonstrated, not validated.</w:t>
      </w:r>
    </w:p>
    <w:p>
      <w:pPr>
        <w:pStyle w:val="ListParagraph"/>
        <w:numPr>
          <w:ilvl w:val="0"/>
          <w:numId w:val="2"/>
        </w:numPr>
        <w:spacing w:after="120" w:line="276"/>
      </w:pPr>
      <w:r>
        <w:rPr>
          <w:rFonts w:ascii="Arial" w:cs="Arial" w:eastAsia="Arial" w:hAnsi="Arial"/>
          <w:sz w:val="22"/>
          <w:szCs w:val="22"/>
        </w:rPr>
        <w:t xml:space="preserve">Published thresholds were derived from different protocols (5-rep STS), different sensor setups (clinical IMUs, defined vertical axis), and different populations. Our comparisons are approximate.</w:t>
      </w:r>
    </w:p>
    <w:p>
      <w:pPr>
        <w:pStyle w:val="ListParagraph"/>
        <w:numPr>
          <w:ilvl w:val="0"/>
          <w:numId w:val="2"/>
        </w:numPr>
        <w:spacing w:after="120" w:line="276"/>
      </w:pPr>
      <w:r>
        <w:rPr>
          <w:rFonts w:ascii="Arial" w:cs="Arial" w:eastAsia="Arial" w:hAnsi="Arial"/>
          <w:sz w:val="22"/>
          <w:szCs w:val="22"/>
        </w:rPr>
        <w:t xml:space="preserve">Acceleration magnitude is a proxy for vertical acceleration. We use orientation-independent magnitude because phone orientation in the waistband is unknown. Literature thresholds assume a defined vertical axis, so direct numeric comparison is not exact.</w:t>
      </w:r>
    </w:p>
    <w:p>
      <w:pPr>
        <w:pStyle w:val="ListParagraph"/>
        <w:numPr>
          <w:ilvl w:val="0"/>
          <w:numId w:val="2"/>
        </w:numPr>
        <w:spacing w:after="120" w:line="276"/>
      </w:pPr>
      <w:r>
        <w:rPr>
          <w:rFonts w:ascii="Arial" w:cs="Arial" w:eastAsia="Arial" w:hAnsi="Arial"/>
          <w:sz w:val="22"/>
          <w:szCs w:val="22"/>
        </w:rPr>
        <w:t xml:space="preserve">The Alcázar power equation is adapted from its published validated form. The normative cut-off points were derived from the 5-rep STS, not the 30-second CST.</w:t>
      </w:r>
    </w:p>
    <w:p>
      <w:pPr>
        <w:pStyle w:val="ListParagraph"/>
        <w:numPr>
          <w:ilvl w:val="0"/>
          <w:numId w:val="2"/>
        </w:numPr>
        <w:spacing w:after="120" w:line="276"/>
      </w:pPr>
      <w:r>
        <w:rPr>
          <w:rFonts w:ascii="Arial" w:cs="Arial" w:eastAsia="Arial" w:hAnsi="Arial"/>
          <w:sz w:val="22"/>
          <w:szCs w:val="22"/>
        </w:rPr>
        <w:t xml:space="preserve">SisFall time-per-rep and power values are inflated because the full 12-second trial was used as the rep boundary (the actual transition is ~2–3 seconds within the trial). Peak acceleration and peak gyro are unaffected since we take the maximum.</w:t>
      </w:r>
    </w:p>
    <w:p>
      <w:pPr>
        <w:pStyle w:val="ListParagraph"/>
        <w:numPr>
          <w:ilvl w:val="0"/>
          <w:numId w:val="2"/>
        </w:numPr>
        <w:spacing w:after="120" w:line="276"/>
      </w:pPr>
      <w:r>
        <w:rPr>
          <w:rFonts w:ascii="Arial" w:cs="Arial" w:eastAsia="Arial" w:hAnsi="Arial"/>
          <w:sz w:val="22"/>
          <w:szCs w:val="22"/>
        </w:rPr>
        <w:t xml:space="preserve">No direct validation against Fried phenotype scores. The indicators are aligned with frailty dimensions by analogy to published research, not by direct validation on a cohort with clinical frailty assessments. This is identified as future work.</w:t>
      </w:r>
    </w:p>
    <w:p>
      <w:pPr>
        <w:pStyle w:val="ListParagraph"/>
        <w:numPr>
          <w:ilvl w:val="0"/>
          <w:numId w:val="2"/>
        </w:numPr>
        <w:spacing w:after="120" w:line="276"/>
      </w:pPr>
      <w:r>
        <w:rPr>
          <w:rFonts w:ascii="Arial" w:cs="Arial" w:eastAsia="Arial" w:hAnsi="Arial"/>
          <w:sz w:val="22"/>
          <w:szCs w:val="22"/>
        </w:rPr>
        <w:t xml:space="preserve">Fatigue slope has no published threshold for smartphone-derived measurement during the 30-second CST. It is presented as an exploratory trend indicator.</w:t>
      </w:r>
    </w:p>
    <w:p>
      <w:pPr>
        <w:pStyle w:val="Heading1"/>
        <w:spacing w:before="300" w:after="150"/>
      </w:pPr>
      <w:r>
        <w:rPr>
          <w:rFonts w:ascii="Arial" w:cs="Arial" w:eastAsia="Arial" w:hAnsi="Arial"/>
        </w:rPr>
        <w:t xml:space="preserve">7. What Part 2 Proves</w:t>
      </w:r>
    </w:p>
    <w:p>
      <w:pPr>
        <w:spacing w:after="150" w:line="276"/>
      </w:pPr>
      <w:r>
        <w:rPr>
          <w:rFonts w:ascii="Arial" w:cs="Arial" w:eastAsia="Arial" w:hAnsi="Arial"/>
          <w:sz w:val="22"/>
          <w:szCs w:val="22"/>
        </w:rPr>
        <w:t xml:space="preserve">Despite the limitations, Part 2 demonstrates four things:</w:t>
      </w:r>
    </w:p>
    <w:p>
      <w:pPr>
        <w:pStyle w:val="ListParagraph"/>
        <w:numPr>
          <w:ilvl w:val="0"/>
          <w:numId w:val="2"/>
        </w:numPr>
        <w:spacing w:after="120" w:line="276"/>
      </w:pPr>
      <w:r>
        <w:rPr>
          <w:rFonts w:ascii="Arial" w:cs="Arial" w:eastAsia="Arial" w:hAnsi="Arial"/>
          <w:b/>
          <w:bCs/>
          <w:sz w:val="22"/>
          <w:szCs w:val="22"/>
        </w:rPr>
        <w:t xml:space="preserve">The pipeline works. </w:t>
      </w:r>
      <w:r>
        <w:rPr>
          <w:rFonts w:ascii="Arial" w:cs="Arial" w:eastAsia="Arial" w:hAnsi="Arial"/>
          <w:sz w:val="22"/>
          <w:szCs w:val="22"/>
        </w:rPr>
        <w:t xml:space="preserve">All six indicators produce physiologically plausible values across 62 reps from 30 subjects. The biomechanical correlation between speed and force (r = −0.40, p = 0.029) confirms the pipeline measures real movement differences.</w:t>
      </w:r>
    </w:p>
    <w:p>
      <w:pPr>
        <w:pStyle w:val="ListParagraph"/>
        <w:numPr>
          <w:ilvl w:val="0"/>
          <w:numId w:val="2"/>
        </w:numPr>
        <w:spacing w:after="120" w:line="276"/>
      </w:pPr>
      <w:r>
        <w:rPr>
          <w:rFonts w:ascii="Arial" w:cs="Arial" w:eastAsia="Arial" w:hAnsi="Arial"/>
          <w:b/>
          <w:bCs/>
          <w:sz w:val="22"/>
          <w:szCs w:val="22"/>
        </w:rPr>
        <w:t xml:space="preserve">Individual variation exists even among healthy young adults. </w:t>
      </w:r>
      <w:r>
        <w:rPr>
          <w:rFonts w:ascii="Arial" w:cs="Arial" w:eastAsia="Arial" w:hAnsi="Arial"/>
          <w:sz w:val="22"/>
          <w:szCs w:val="22"/>
        </w:rPr>
        <w:t xml:space="preserve">Subject 17’s acceleration (2.80 m/s²) is near the frail threshold despite being 19–48 years old. Subject 10’s acceleration (6.99 m/s²) is 2.5× higher. Rep count alone would miss this difference.</w:t>
      </w:r>
    </w:p>
    <w:p>
      <w:pPr>
        <w:pStyle w:val="ListParagraph"/>
        <w:numPr>
          <w:ilvl w:val="0"/>
          <w:numId w:val="2"/>
        </w:numPr>
        <w:spacing w:after="120" w:line="276"/>
      </w:pPr>
      <w:r>
        <w:rPr>
          <w:rFonts w:ascii="Arial" w:cs="Arial" w:eastAsia="Arial" w:hAnsi="Arial"/>
          <w:b/>
          <w:bCs/>
          <w:sz w:val="22"/>
          <w:szCs w:val="22"/>
        </w:rPr>
        <w:t xml:space="preserve">The three-tier output adds value over standard assessment. </w:t>
      </w:r>
      <w:r>
        <w:rPr>
          <w:rFonts w:ascii="Arial" w:cs="Arial" w:eastAsia="Arial" w:hAnsi="Arial"/>
          <w:sz w:val="22"/>
          <w:szCs w:val="22"/>
        </w:rPr>
        <w:t xml:space="preserve">Tier 1 (rep count) is what a stopwatch gives you. Tier 2 (power) captures speed differences that rep count misses. Tier 3 (quality flags) captures weakness, slowness, and exhaustion patterns that are entirely invisible to traditional assessment.</w:t>
      </w:r>
    </w:p>
    <w:p>
      <w:pPr>
        <w:pStyle w:val="ListParagraph"/>
        <w:numPr>
          <w:ilvl w:val="0"/>
          <w:numId w:val="2"/>
        </w:numPr>
        <w:spacing w:after="120" w:line="276"/>
      </w:pPr>
      <w:r>
        <w:rPr>
          <w:rFonts w:ascii="Arial" w:cs="Arial" w:eastAsia="Arial" w:hAnsi="Arial"/>
          <w:b/>
          <w:bCs/>
          <w:sz w:val="22"/>
          <w:szCs w:val="22"/>
        </w:rPr>
        <w:t xml:space="preserve">Accurate rep detection from Part 1 is the prerequisite. </w:t>
      </w:r>
      <w:r>
        <w:rPr>
          <w:rFonts w:ascii="Arial" w:cs="Arial" w:eastAsia="Arial" w:hAnsi="Arial"/>
          <w:sz w:val="22"/>
          <w:szCs w:val="22"/>
        </w:rPr>
        <w:t xml:space="preserve">Without knowing where each rep starts and ends, none of the quality indicators can be computed. If Part 1 misses a rep, that rep’s quality data is lost. If Part 1 hallucinates a rep, the quality values for that non-existent transition are garbage. This is why event-level detection accuracy matters beyond just counting.</w:t>
      </w:r>
    </w:p>
    <w:p>
      <w:pPr>
        <w:pStyle w:val="Heading1"/>
        <w:spacing w:before="300" w:after="150"/>
      </w:pPr>
      <w:r>
        <w:rPr>
          <w:rFonts w:ascii="Arial" w:cs="Arial" w:eastAsia="Arial" w:hAnsi="Arial"/>
        </w:rPr>
        <w:t xml:space="preserve">8. How Part 1 and Part 2 Connect</w:t>
      </w:r>
    </w:p>
    <w:p>
      <w:pPr>
        <w:spacing w:after="150" w:line="276"/>
      </w:pPr>
      <w:r>
        <w:rPr>
          <w:rFonts w:ascii="Arial" w:cs="Arial" w:eastAsia="Arial" w:hAnsi="Arial"/>
          <w:sz w:val="22"/>
          <w:szCs w:val="22"/>
        </w:rPr>
        <w:t xml:space="preserve">Part 1 (ML rep detection) and Part 2 (rule-based quality assessment) form a pipeline. Part 1 provides the rep boundaries. Part 2 uses those boundaries to go back to the raw sensor data and extract clinically meaningful features. Neither part works without the other:</w:t>
      </w:r>
    </w:p>
    <w:p>
      <w:pPr>
        <w:spacing w:after="150" w:line="276"/>
      </w:pPr>
      <w:r>
        <w:rPr>
          <w:rFonts w:ascii="Arial" w:cs="Arial" w:eastAsia="Arial" w:hAnsi="Arial"/>
          <w:b/>
          <w:bCs/>
          <w:sz w:val="22"/>
          <w:szCs w:val="22"/>
        </w:rPr>
        <w:t xml:space="preserve">Without Part 1: </w:t>
      </w:r>
      <w:r>
        <w:rPr>
          <w:rFonts w:ascii="Arial" w:cs="Arial" w:eastAsia="Arial" w:hAnsi="Arial"/>
          <w:sz w:val="22"/>
          <w:szCs w:val="22"/>
        </w:rPr>
        <w:t xml:space="preserve">You have no rep boundaries. You cannot extract per-rep features. You can only count reps manually with a stopwatch — which is exactly the current clinical practice that this project aims to improve.</w:t>
      </w:r>
    </w:p>
    <w:p>
      <w:pPr>
        <w:spacing w:after="150" w:line="276"/>
      </w:pPr>
      <w:r>
        <w:rPr>
          <w:rFonts w:ascii="Arial" w:cs="Arial" w:eastAsia="Arial" w:hAnsi="Arial"/>
          <w:b/>
          <w:bCs/>
          <w:sz w:val="22"/>
          <w:szCs w:val="22"/>
        </w:rPr>
        <w:t xml:space="preserve">Without Part 2: </w:t>
      </w:r>
      <w:r>
        <w:rPr>
          <w:rFonts w:ascii="Arial" w:cs="Arial" w:eastAsia="Arial" w:hAnsi="Arial"/>
          <w:sz w:val="22"/>
          <w:szCs w:val="22"/>
        </w:rPr>
        <w:t xml:space="preserve">You have rep boundaries but no clinical meaning. You can count reps (Tier 1), but you miss the power, weakness, slowness, and exhaustion information that research shows differentiates frailty levels even when rep counts are identical (Millor et al., 2013).</w:t>
      </w:r>
    </w:p>
    <w:p>
      <w:pPr>
        <w:spacing w:after="150" w:line="276"/>
      </w:pPr>
      <w:r>
        <w:rPr>
          <w:rFonts w:ascii="Arial" w:cs="Arial" w:eastAsia="Arial" w:hAnsi="Arial"/>
          <w:sz w:val="22"/>
          <w:szCs w:val="22"/>
        </w:rPr>
        <w:t xml:space="preserve">Together, they transform a smartphone into a tool that captures what previously required clinical-grade inertial measurement units and trained assessors — enabling at-home, unsupervised longitudinal frailty screening.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4C7E"/>
      <w:sz w:val="32"/>
      <w:szCs w:val="32"/>
    </w:rPr>
  </w:style>
  <w:style w:type="paragraph" w:styleId="Heading2">
    <w:name w:val="Heading 2"/>
    <w:basedOn w:val="Normal"/>
    <w:next w:val="Normal"/>
    <w:qFormat/>
    <w:pPr>
      <w:spacing w:before="240" w:after="150"/>
      <w:outlineLvl w:val="1"/>
    </w:pPr>
    <w:rPr>
      <w:rFonts w:ascii="Arial" w:cs="Arial" w:eastAsia="Arial" w:hAnsi="Arial"/>
      <w:b/>
      <w:bCs/>
      <w:color w:val="3D6098"/>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7A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2026-02-16T06:37:45.767Z</dcterms:created>
  <dcterms:modified xsi:type="dcterms:W3CDTF">2026-02-16T06:37:45.768Z</dcterms:modified>
</cp:coreProperties>
</file>

<file path=docProps/custom.xml><?xml version="1.0" encoding="utf-8"?>
<Properties xmlns="http://schemas.openxmlformats.org/officeDocument/2006/custom-properties" xmlns:vt="http://schemas.openxmlformats.org/officeDocument/2006/docPropsVTypes"/>
</file>