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5B6B" w14:textId="5BCA3691" w:rsidR="00C7518C" w:rsidRPr="004C49AC" w:rsidRDefault="00000000">
      <w:pPr>
        <w:pStyle w:val="Heading1"/>
        <w:spacing w:after="120"/>
        <w:rPr>
          <w:rFonts w:ascii="Times New Roman" w:hAnsi="Times New Roman" w:cs="Times New Roman"/>
          <w:sz w:val="24"/>
          <w:szCs w:val="24"/>
        </w:rPr>
      </w:pPr>
      <w:r w:rsidRPr="004C49AC">
        <w:rPr>
          <w:rFonts w:ascii="Times New Roman" w:hAnsi="Times New Roman" w:cs="Times New Roman"/>
          <w:sz w:val="24"/>
          <w:szCs w:val="24"/>
        </w:rPr>
        <w:t>Smartphone-Based Sit-to-Stand Assessment for Frailty Risk Screening</w:t>
      </w:r>
    </w:p>
    <w:p w14:paraId="0C60F636" w14:textId="77777777" w:rsidR="00C7518C" w:rsidRPr="004C49AC" w:rsidRDefault="00000000">
      <w:pPr>
        <w:spacing w:after="40"/>
        <w:rPr>
          <w:rFonts w:ascii="Times New Roman" w:hAnsi="Times New Roman" w:cs="Times New Roman"/>
          <w:sz w:val="24"/>
          <w:szCs w:val="24"/>
        </w:rPr>
      </w:pPr>
      <w:r w:rsidRPr="004C49AC">
        <w:rPr>
          <w:rFonts w:ascii="Times New Roman" w:hAnsi="Times New Roman" w:cs="Times New Roman"/>
          <w:b/>
          <w:bCs/>
          <w:sz w:val="24"/>
          <w:szCs w:val="24"/>
        </w:rPr>
        <w:t xml:space="preserve">Project Category: </w:t>
      </w:r>
      <w:r w:rsidRPr="004C49AC">
        <w:rPr>
          <w:rFonts w:ascii="Times New Roman" w:hAnsi="Times New Roman" w:cs="Times New Roman"/>
          <w:sz w:val="24"/>
          <w:szCs w:val="24"/>
        </w:rPr>
        <w:t>Application</w:t>
      </w:r>
    </w:p>
    <w:p w14:paraId="7ED21D07" w14:textId="77777777" w:rsidR="00C7518C" w:rsidRPr="004C49AC" w:rsidRDefault="00000000">
      <w:pPr>
        <w:spacing w:after="200"/>
        <w:rPr>
          <w:rFonts w:ascii="Times New Roman" w:hAnsi="Times New Roman" w:cs="Times New Roman"/>
          <w:sz w:val="24"/>
          <w:szCs w:val="24"/>
        </w:rPr>
      </w:pPr>
      <w:r w:rsidRPr="004C49AC">
        <w:rPr>
          <w:rFonts w:ascii="Times New Roman" w:hAnsi="Times New Roman" w:cs="Times New Roman"/>
          <w:b/>
          <w:bCs/>
          <w:sz w:val="24"/>
          <w:szCs w:val="24"/>
        </w:rPr>
        <w:t xml:space="preserve">Team Member: </w:t>
      </w:r>
      <w:r w:rsidRPr="004C49AC">
        <w:rPr>
          <w:rFonts w:ascii="Times New Roman" w:hAnsi="Times New Roman" w:cs="Times New Roman"/>
          <w:sz w:val="24"/>
          <w:szCs w:val="24"/>
        </w:rPr>
        <w:t>Ozair Ismail (06966695)</w:t>
      </w:r>
    </w:p>
    <w:p w14:paraId="5DB08436" w14:textId="74EF338D" w:rsidR="00C7518C" w:rsidRPr="004C49AC" w:rsidRDefault="00000000" w:rsidP="00C77722">
      <w:pPr>
        <w:pStyle w:val="Heading2"/>
        <w:rPr>
          <w:rFonts w:ascii="Times New Roman" w:hAnsi="Times New Roman" w:cs="Times New Roman"/>
          <w:sz w:val="24"/>
          <w:szCs w:val="24"/>
        </w:rPr>
      </w:pPr>
      <w:r w:rsidRPr="004C49AC">
        <w:rPr>
          <w:rFonts w:ascii="Times New Roman" w:hAnsi="Times New Roman" w:cs="Times New Roman"/>
          <w:sz w:val="24"/>
          <w:szCs w:val="24"/>
        </w:rPr>
        <w:t>Abstract</w:t>
      </w:r>
      <w:r w:rsidR="00840726">
        <w:rPr>
          <w:rFonts w:ascii="Times New Roman" w:hAnsi="Times New Roman" w:cs="Times New Roman"/>
          <w:sz w:val="24"/>
          <w:szCs w:val="24"/>
        </w:rPr>
        <w:t xml:space="preserve"> </w:t>
      </w:r>
    </w:p>
    <w:p w14:paraId="57CCF065" w14:textId="1768EBE1" w:rsidR="00C7518C" w:rsidRPr="004C49AC" w:rsidRDefault="00000000" w:rsidP="00A7777A">
      <w:pPr>
        <w:spacing w:after="200"/>
        <w:rPr>
          <w:rFonts w:ascii="Times New Roman" w:hAnsi="Times New Roman" w:cs="Times New Roman"/>
          <w:sz w:val="24"/>
          <w:szCs w:val="24"/>
        </w:rPr>
      </w:pPr>
      <w:r w:rsidRPr="00DE7734">
        <w:rPr>
          <w:rFonts w:ascii="Times New Roman" w:hAnsi="Times New Roman" w:cs="Times New Roman"/>
          <w:sz w:val="24"/>
          <w:szCs w:val="24"/>
        </w:rPr>
        <w:t xml:space="preserve">Frailty affects </w:t>
      </w:r>
      <w:r w:rsidR="00CD4FA3" w:rsidRPr="00DE7734">
        <w:rPr>
          <w:rFonts w:ascii="Times New Roman" w:hAnsi="Times New Roman" w:cs="Times New Roman"/>
          <w:sz w:val="24"/>
          <w:szCs w:val="24"/>
        </w:rPr>
        <w:t xml:space="preserve">approximately </w:t>
      </w:r>
      <w:r w:rsidRPr="00DE7734">
        <w:rPr>
          <w:rFonts w:ascii="Times New Roman" w:hAnsi="Times New Roman" w:cs="Times New Roman"/>
          <w:sz w:val="24"/>
          <w:szCs w:val="24"/>
        </w:rPr>
        <w:t xml:space="preserve">10% of adults over </w:t>
      </w:r>
      <w:r w:rsidR="00D7235F" w:rsidRPr="00DE7734">
        <w:rPr>
          <w:rFonts w:ascii="Times New Roman" w:hAnsi="Times New Roman" w:cs="Times New Roman"/>
          <w:sz w:val="24"/>
          <w:szCs w:val="24"/>
        </w:rPr>
        <w:t xml:space="preserve">the age of </w:t>
      </w:r>
      <w:r w:rsidRPr="00DE7734">
        <w:rPr>
          <w:rFonts w:ascii="Times New Roman" w:hAnsi="Times New Roman" w:cs="Times New Roman"/>
          <w:sz w:val="24"/>
          <w:szCs w:val="24"/>
        </w:rPr>
        <w:t xml:space="preserve">65 and is </w:t>
      </w:r>
      <w:r w:rsidR="00430610" w:rsidRPr="00DE7734">
        <w:rPr>
          <w:rFonts w:ascii="Times New Roman" w:hAnsi="Times New Roman" w:cs="Times New Roman"/>
          <w:sz w:val="24"/>
          <w:szCs w:val="24"/>
        </w:rPr>
        <w:t>a significant</w:t>
      </w:r>
      <w:r w:rsidRPr="00DE7734">
        <w:rPr>
          <w:rFonts w:ascii="Times New Roman" w:hAnsi="Times New Roman" w:cs="Times New Roman"/>
          <w:sz w:val="24"/>
          <w:szCs w:val="24"/>
        </w:rPr>
        <w:t xml:space="preserve"> predictor of falls and loss of independence. The 30-second chair stand test</w:t>
      </w:r>
      <w:r w:rsidR="00ED060D">
        <w:rPr>
          <w:rFonts w:ascii="Times New Roman" w:hAnsi="Times New Roman" w:cs="Times New Roman"/>
          <w:sz w:val="24"/>
          <w:szCs w:val="24"/>
        </w:rPr>
        <w:t xml:space="preserve"> </w:t>
      </w:r>
      <w:r w:rsidRPr="00DE7734">
        <w:rPr>
          <w:rFonts w:ascii="Times New Roman" w:hAnsi="Times New Roman" w:cs="Times New Roman"/>
          <w:sz w:val="24"/>
          <w:szCs w:val="24"/>
        </w:rPr>
        <w:t xml:space="preserve">is </w:t>
      </w:r>
      <w:r w:rsidR="006E3EC2" w:rsidRPr="00DE7734">
        <w:rPr>
          <w:rFonts w:ascii="Times New Roman" w:hAnsi="Times New Roman" w:cs="Times New Roman"/>
          <w:sz w:val="24"/>
          <w:szCs w:val="24"/>
        </w:rPr>
        <w:t xml:space="preserve">a </w:t>
      </w:r>
      <w:r w:rsidRPr="00DE7734">
        <w:rPr>
          <w:rFonts w:ascii="Times New Roman" w:hAnsi="Times New Roman" w:cs="Times New Roman"/>
          <w:sz w:val="24"/>
          <w:szCs w:val="24"/>
        </w:rPr>
        <w:t xml:space="preserve">clinically validated </w:t>
      </w:r>
      <w:r w:rsidR="0025288E" w:rsidRPr="00DE7734">
        <w:rPr>
          <w:rFonts w:ascii="Times New Roman" w:hAnsi="Times New Roman" w:cs="Times New Roman"/>
          <w:sz w:val="24"/>
          <w:szCs w:val="24"/>
        </w:rPr>
        <w:t>assessment</w:t>
      </w:r>
      <w:r w:rsidR="006E3EC2" w:rsidRPr="00DE7734">
        <w:rPr>
          <w:rFonts w:ascii="Times New Roman" w:hAnsi="Times New Roman" w:cs="Times New Roman"/>
          <w:sz w:val="24"/>
          <w:szCs w:val="24"/>
        </w:rPr>
        <w:t xml:space="preserve"> </w:t>
      </w:r>
      <w:r w:rsidR="0025288E" w:rsidRPr="00DE7734">
        <w:rPr>
          <w:rFonts w:ascii="Times New Roman" w:hAnsi="Times New Roman" w:cs="Times New Roman"/>
          <w:sz w:val="24"/>
          <w:szCs w:val="24"/>
        </w:rPr>
        <w:t>of lower</w:t>
      </w:r>
      <w:r w:rsidR="00630B0E" w:rsidRPr="00DE7734">
        <w:rPr>
          <w:rFonts w:ascii="Times New Roman" w:hAnsi="Times New Roman" w:cs="Times New Roman"/>
          <w:sz w:val="24"/>
          <w:szCs w:val="24"/>
        </w:rPr>
        <w:t xml:space="preserve"> body strength and endurance to detect </w:t>
      </w:r>
      <w:proofErr w:type="gramStart"/>
      <w:r w:rsidR="00630B0E" w:rsidRPr="00DE7734">
        <w:rPr>
          <w:rFonts w:ascii="Times New Roman" w:hAnsi="Times New Roman" w:cs="Times New Roman"/>
          <w:sz w:val="24"/>
          <w:szCs w:val="24"/>
        </w:rPr>
        <w:t>frailty</w:t>
      </w:r>
      <w:proofErr w:type="gramEnd"/>
      <w:r w:rsidR="00630B0E" w:rsidRPr="00DE7734">
        <w:rPr>
          <w:rFonts w:ascii="Times New Roman" w:hAnsi="Times New Roman" w:cs="Times New Roman"/>
          <w:sz w:val="24"/>
          <w:szCs w:val="24"/>
        </w:rPr>
        <w:t xml:space="preserve"> </w:t>
      </w:r>
      <w:r w:rsidRPr="00DE7734">
        <w:rPr>
          <w:rFonts w:ascii="Times New Roman" w:hAnsi="Times New Roman" w:cs="Times New Roman"/>
          <w:sz w:val="24"/>
          <w:szCs w:val="24"/>
        </w:rPr>
        <w:t xml:space="preserve">but </w:t>
      </w:r>
      <w:r w:rsidR="006269E0">
        <w:rPr>
          <w:rFonts w:ascii="Times New Roman" w:hAnsi="Times New Roman" w:cs="Times New Roman"/>
          <w:sz w:val="24"/>
          <w:szCs w:val="24"/>
        </w:rPr>
        <w:t xml:space="preserve">it </w:t>
      </w:r>
      <w:r w:rsidRPr="00DE7734">
        <w:rPr>
          <w:rFonts w:ascii="Times New Roman" w:hAnsi="Times New Roman" w:cs="Times New Roman"/>
          <w:sz w:val="24"/>
          <w:szCs w:val="24"/>
        </w:rPr>
        <w:t>only captures repetition count, missing movement quality indicators that better predict adverse outcomes.</w:t>
      </w:r>
      <w:r w:rsidR="00DE7734" w:rsidRPr="00DE7734">
        <w:rPr>
          <w:rFonts w:ascii="Times New Roman" w:hAnsi="Times New Roman" w:cs="Times New Roman"/>
          <w:sz w:val="24"/>
          <w:szCs w:val="24"/>
        </w:rPr>
        <w:t xml:space="preserve"> The purpose of this project was to </w:t>
      </w:r>
      <w:r w:rsidR="008217F6">
        <w:rPr>
          <w:rFonts w:ascii="Times New Roman" w:hAnsi="Times New Roman" w:cs="Times New Roman"/>
          <w:color w:val="000000"/>
          <w:sz w:val="24"/>
          <w:szCs w:val="24"/>
        </w:rPr>
        <w:t>augment</w:t>
      </w:r>
      <w:r w:rsidR="00DE7734">
        <w:rPr>
          <w:rFonts w:ascii="Times New Roman" w:hAnsi="Times New Roman" w:cs="Times New Roman"/>
          <w:color w:val="000000"/>
          <w:sz w:val="24"/>
          <w:szCs w:val="24"/>
        </w:rPr>
        <w:t xml:space="preserve"> t</w:t>
      </w:r>
      <w:r w:rsidR="00DE7734" w:rsidRPr="00DE7734">
        <w:rPr>
          <w:rFonts w:ascii="Times New Roman" w:hAnsi="Times New Roman" w:cs="Times New Roman"/>
          <w:color w:val="000000"/>
          <w:sz w:val="24"/>
          <w:szCs w:val="24"/>
        </w:rPr>
        <w:t xml:space="preserve">he standard chair stand test by </w:t>
      </w:r>
      <w:r w:rsidR="00A7777A">
        <w:rPr>
          <w:rFonts w:ascii="Times New Roman" w:hAnsi="Times New Roman" w:cs="Times New Roman"/>
          <w:color w:val="000000"/>
          <w:sz w:val="24"/>
          <w:szCs w:val="24"/>
        </w:rPr>
        <w:t>employing</w:t>
      </w:r>
      <w:r w:rsidRPr="004C49AC">
        <w:rPr>
          <w:rFonts w:ascii="Times New Roman" w:hAnsi="Times New Roman" w:cs="Times New Roman"/>
          <w:sz w:val="24"/>
          <w:szCs w:val="24"/>
        </w:rPr>
        <w:t xml:space="preserve"> a</w:t>
      </w:r>
      <w:r w:rsidR="00A7777A">
        <w:rPr>
          <w:rFonts w:ascii="Times New Roman" w:hAnsi="Times New Roman" w:cs="Times New Roman"/>
          <w:sz w:val="24"/>
          <w:szCs w:val="24"/>
        </w:rPr>
        <w:t xml:space="preserve"> machine learning</w:t>
      </w:r>
      <w:r w:rsidRPr="004C49AC">
        <w:rPr>
          <w:rFonts w:ascii="Times New Roman" w:hAnsi="Times New Roman" w:cs="Times New Roman"/>
          <w:sz w:val="24"/>
          <w:szCs w:val="24"/>
        </w:rPr>
        <w:t>-based sit-to-stand event detector trained on smartphone inertial data and rule</w:t>
      </w:r>
      <w:r w:rsidR="00BA5905">
        <w:rPr>
          <w:rFonts w:ascii="Times New Roman" w:hAnsi="Times New Roman" w:cs="Times New Roman"/>
          <w:sz w:val="24"/>
          <w:szCs w:val="24"/>
        </w:rPr>
        <w:t>s</w:t>
      </w:r>
      <w:r w:rsidRPr="004C49AC">
        <w:rPr>
          <w:rFonts w:ascii="Times New Roman" w:hAnsi="Times New Roman" w:cs="Times New Roman"/>
          <w:sz w:val="24"/>
          <w:szCs w:val="24"/>
        </w:rPr>
        <w:t>-based quality assessment</w:t>
      </w:r>
      <w:r w:rsidR="00BA5905">
        <w:rPr>
          <w:rFonts w:ascii="Times New Roman" w:hAnsi="Times New Roman" w:cs="Times New Roman"/>
          <w:sz w:val="24"/>
          <w:szCs w:val="24"/>
        </w:rPr>
        <w:t xml:space="preserve"> metrics</w:t>
      </w:r>
      <w:r w:rsidRPr="004C49AC">
        <w:rPr>
          <w:rFonts w:ascii="Times New Roman" w:hAnsi="Times New Roman" w:cs="Times New Roman"/>
          <w:sz w:val="24"/>
          <w:szCs w:val="24"/>
        </w:rPr>
        <w:t xml:space="preserve"> </w:t>
      </w:r>
      <w:r w:rsidR="00121F51">
        <w:rPr>
          <w:rFonts w:ascii="Times New Roman" w:hAnsi="Times New Roman" w:cs="Times New Roman"/>
          <w:sz w:val="24"/>
          <w:szCs w:val="24"/>
        </w:rPr>
        <w:t>that correspond to</w:t>
      </w:r>
      <w:r w:rsidRPr="004C49AC">
        <w:rPr>
          <w:rFonts w:ascii="Times New Roman" w:hAnsi="Times New Roman" w:cs="Times New Roman"/>
          <w:sz w:val="24"/>
          <w:szCs w:val="24"/>
        </w:rPr>
        <w:t xml:space="preserve"> clinically meaningful</w:t>
      </w:r>
      <w:r w:rsidR="00C72EF9">
        <w:rPr>
          <w:rFonts w:ascii="Times New Roman" w:hAnsi="Times New Roman" w:cs="Times New Roman"/>
          <w:sz w:val="24"/>
          <w:szCs w:val="24"/>
        </w:rPr>
        <w:t xml:space="preserve"> </w:t>
      </w:r>
      <w:r w:rsidRPr="004C49AC">
        <w:rPr>
          <w:rFonts w:ascii="Times New Roman" w:hAnsi="Times New Roman" w:cs="Times New Roman"/>
          <w:sz w:val="24"/>
          <w:szCs w:val="24"/>
        </w:rPr>
        <w:t>features</w:t>
      </w:r>
      <w:r w:rsidR="00574B96">
        <w:rPr>
          <w:rFonts w:ascii="Times New Roman" w:hAnsi="Times New Roman" w:cs="Times New Roman"/>
          <w:sz w:val="24"/>
          <w:szCs w:val="24"/>
        </w:rPr>
        <w:t xml:space="preserve"> of frailty</w:t>
      </w:r>
      <w:r w:rsidRPr="004C49AC">
        <w:rPr>
          <w:rFonts w:ascii="Times New Roman" w:hAnsi="Times New Roman" w:cs="Times New Roman"/>
          <w:sz w:val="24"/>
          <w:szCs w:val="24"/>
        </w:rPr>
        <w:t>.</w:t>
      </w:r>
      <w:r w:rsidR="000F4DB1" w:rsidRPr="004C49AC">
        <w:rPr>
          <w:rFonts w:ascii="Times New Roman" w:hAnsi="Times New Roman" w:cs="Times New Roman"/>
          <w:b/>
          <w:bCs/>
          <w:sz w:val="24"/>
          <w:szCs w:val="24"/>
        </w:rPr>
        <w:t xml:space="preserve"> </w:t>
      </w:r>
      <w:r w:rsidR="00693B66">
        <w:rPr>
          <w:rFonts w:ascii="Times New Roman" w:hAnsi="Times New Roman" w:cs="Times New Roman"/>
          <w:sz w:val="24"/>
          <w:szCs w:val="24"/>
        </w:rPr>
        <w:t xml:space="preserve">For sit-to-stand repetition </w:t>
      </w:r>
      <w:r w:rsidR="00A44349">
        <w:rPr>
          <w:rFonts w:ascii="Times New Roman" w:hAnsi="Times New Roman" w:cs="Times New Roman"/>
          <w:sz w:val="24"/>
          <w:szCs w:val="24"/>
        </w:rPr>
        <w:t xml:space="preserve">count </w:t>
      </w:r>
      <w:r w:rsidR="00693B66">
        <w:rPr>
          <w:rFonts w:ascii="Times New Roman" w:hAnsi="Times New Roman" w:cs="Times New Roman"/>
          <w:sz w:val="24"/>
          <w:szCs w:val="24"/>
        </w:rPr>
        <w:t>detection, w</w:t>
      </w:r>
      <w:r w:rsidRPr="004C49AC">
        <w:rPr>
          <w:rFonts w:ascii="Times New Roman" w:hAnsi="Times New Roman" w:cs="Times New Roman"/>
          <w:sz w:val="24"/>
          <w:szCs w:val="24"/>
        </w:rPr>
        <w:t>e compare</w:t>
      </w:r>
      <w:r w:rsidR="002F4EA2">
        <w:rPr>
          <w:rFonts w:ascii="Times New Roman" w:hAnsi="Times New Roman" w:cs="Times New Roman"/>
          <w:sz w:val="24"/>
          <w:szCs w:val="24"/>
        </w:rPr>
        <w:t>d</w:t>
      </w:r>
      <w:r w:rsidRPr="004C49AC">
        <w:rPr>
          <w:rFonts w:ascii="Times New Roman" w:hAnsi="Times New Roman" w:cs="Times New Roman"/>
          <w:sz w:val="24"/>
          <w:szCs w:val="24"/>
        </w:rPr>
        <w:t xml:space="preserve"> a </w:t>
      </w:r>
      <w:r w:rsidR="000F422D">
        <w:rPr>
          <w:rFonts w:ascii="Times New Roman" w:hAnsi="Times New Roman" w:cs="Times New Roman"/>
          <w:sz w:val="24"/>
          <w:szCs w:val="24"/>
        </w:rPr>
        <w:t xml:space="preserve">simple </w:t>
      </w:r>
      <w:r w:rsidRPr="004C49AC">
        <w:rPr>
          <w:rFonts w:ascii="Times New Roman" w:hAnsi="Times New Roman" w:cs="Times New Roman"/>
          <w:sz w:val="24"/>
          <w:szCs w:val="24"/>
        </w:rPr>
        <w:t>threshold</w:t>
      </w:r>
      <w:r w:rsidR="000F422D">
        <w:rPr>
          <w:rFonts w:ascii="Times New Roman" w:hAnsi="Times New Roman" w:cs="Times New Roman"/>
          <w:sz w:val="24"/>
          <w:szCs w:val="24"/>
        </w:rPr>
        <w:t>-derived</w:t>
      </w:r>
      <w:r w:rsidRPr="004C49AC">
        <w:rPr>
          <w:rFonts w:ascii="Times New Roman" w:hAnsi="Times New Roman" w:cs="Times New Roman"/>
          <w:sz w:val="24"/>
          <w:szCs w:val="24"/>
        </w:rPr>
        <w:t xml:space="preserve"> baseline, Logistic Regression, and Random Forest</w:t>
      </w:r>
      <w:r w:rsidR="00375425">
        <w:rPr>
          <w:rFonts w:ascii="Times New Roman" w:hAnsi="Times New Roman" w:cs="Times New Roman"/>
          <w:sz w:val="24"/>
          <w:szCs w:val="24"/>
        </w:rPr>
        <w:t xml:space="preserve"> methods</w:t>
      </w:r>
      <w:r w:rsidRPr="004C49AC">
        <w:rPr>
          <w:rFonts w:ascii="Times New Roman" w:hAnsi="Times New Roman" w:cs="Times New Roman"/>
          <w:sz w:val="24"/>
          <w:szCs w:val="24"/>
        </w:rPr>
        <w:t xml:space="preserve"> using 30-fold Leave-One-Subject-Out Cross-Validation on the UCI </w:t>
      </w:r>
      <w:r w:rsidR="00C970D8">
        <w:rPr>
          <w:rFonts w:ascii="Times New Roman" w:hAnsi="Times New Roman" w:cs="Times New Roman"/>
          <w:sz w:val="24"/>
          <w:szCs w:val="24"/>
        </w:rPr>
        <w:t xml:space="preserve">HAPT </w:t>
      </w:r>
      <w:r w:rsidRPr="004C49AC">
        <w:rPr>
          <w:rFonts w:ascii="Times New Roman" w:hAnsi="Times New Roman" w:cs="Times New Roman"/>
          <w:sz w:val="24"/>
          <w:szCs w:val="24"/>
        </w:rPr>
        <w:t xml:space="preserve">dataset. </w:t>
      </w:r>
      <w:r w:rsidR="00A97809">
        <w:rPr>
          <w:rFonts w:ascii="Times New Roman" w:hAnsi="Times New Roman" w:cs="Times New Roman"/>
          <w:sz w:val="24"/>
          <w:szCs w:val="24"/>
        </w:rPr>
        <w:t xml:space="preserve">External validation was undertaken on the </w:t>
      </w:r>
      <w:proofErr w:type="spellStart"/>
      <w:r w:rsidR="00A97809">
        <w:rPr>
          <w:rFonts w:ascii="Times New Roman" w:hAnsi="Times New Roman" w:cs="Times New Roman"/>
          <w:sz w:val="24"/>
          <w:szCs w:val="24"/>
        </w:rPr>
        <w:t>SisFall</w:t>
      </w:r>
      <w:proofErr w:type="spellEnd"/>
      <w:r w:rsidR="00A97809">
        <w:rPr>
          <w:rFonts w:ascii="Times New Roman" w:hAnsi="Times New Roman" w:cs="Times New Roman"/>
          <w:sz w:val="24"/>
          <w:szCs w:val="24"/>
        </w:rPr>
        <w:t xml:space="preserve"> dataset. </w:t>
      </w:r>
      <w:r w:rsidRPr="004C49AC">
        <w:rPr>
          <w:rFonts w:ascii="Times New Roman" w:hAnsi="Times New Roman" w:cs="Times New Roman"/>
          <w:sz w:val="24"/>
          <w:szCs w:val="24"/>
        </w:rPr>
        <w:t>Random Forest achieve</w:t>
      </w:r>
      <w:r w:rsidR="00165930">
        <w:rPr>
          <w:rFonts w:ascii="Times New Roman" w:hAnsi="Times New Roman" w:cs="Times New Roman"/>
          <w:sz w:val="24"/>
          <w:szCs w:val="24"/>
        </w:rPr>
        <w:t>d</w:t>
      </w:r>
      <w:r w:rsidRPr="004C49AC">
        <w:rPr>
          <w:rFonts w:ascii="Times New Roman" w:hAnsi="Times New Roman" w:cs="Times New Roman"/>
          <w:sz w:val="24"/>
          <w:szCs w:val="24"/>
        </w:rPr>
        <w:t xml:space="preserve"> the best internal performance (event F1 = 0.755, rep count M</w:t>
      </w:r>
      <w:r w:rsidR="000F4DB1" w:rsidRPr="004C49AC">
        <w:rPr>
          <w:rFonts w:ascii="Times New Roman" w:hAnsi="Times New Roman" w:cs="Times New Roman"/>
          <w:sz w:val="24"/>
          <w:szCs w:val="24"/>
        </w:rPr>
        <w:t xml:space="preserve">ean </w:t>
      </w:r>
      <w:r w:rsidRPr="004C49AC">
        <w:rPr>
          <w:rFonts w:ascii="Times New Roman" w:hAnsi="Times New Roman" w:cs="Times New Roman"/>
          <w:sz w:val="24"/>
          <w:szCs w:val="24"/>
        </w:rPr>
        <w:t>A</w:t>
      </w:r>
      <w:r w:rsidR="000F4DB1" w:rsidRPr="004C49AC">
        <w:rPr>
          <w:rFonts w:ascii="Times New Roman" w:hAnsi="Times New Roman" w:cs="Times New Roman"/>
          <w:sz w:val="24"/>
          <w:szCs w:val="24"/>
        </w:rPr>
        <w:t xml:space="preserve">bsolute </w:t>
      </w:r>
      <w:r w:rsidRPr="004C49AC">
        <w:rPr>
          <w:rFonts w:ascii="Times New Roman" w:hAnsi="Times New Roman" w:cs="Times New Roman"/>
          <w:sz w:val="24"/>
          <w:szCs w:val="24"/>
        </w:rPr>
        <w:t>E</w:t>
      </w:r>
      <w:r w:rsidR="000F4DB1" w:rsidRPr="004C49AC">
        <w:rPr>
          <w:rFonts w:ascii="Times New Roman" w:hAnsi="Times New Roman" w:cs="Times New Roman"/>
          <w:sz w:val="24"/>
          <w:szCs w:val="24"/>
        </w:rPr>
        <w:t>rror (MAE)</w:t>
      </w:r>
      <w:r w:rsidRPr="004C49AC">
        <w:rPr>
          <w:rFonts w:ascii="Times New Roman" w:hAnsi="Times New Roman" w:cs="Times New Roman"/>
          <w:sz w:val="24"/>
          <w:szCs w:val="24"/>
        </w:rPr>
        <w:t xml:space="preserve"> = 0.60</w:t>
      </w:r>
      <w:r w:rsidR="00A75B16" w:rsidRPr="004C49AC">
        <w:rPr>
          <w:rFonts w:ascii="Times New Roman" w:hAnsi="Times New Roman" w:cs="Times New Roman"/>
          <w:sz w:val="24"/>
          <w:szCs w:val="24"/>
        </w:rPr>
        <w:t>) but</w:t>
      </w:r>
      <w:r w:rsidRPr="004C49AC">
        <w:rPr>
          <w:rFonts w:ascii="Times New Roman" w:hAnsi="Times New Roman" w:cs="Times New Roman"/>
          <w:sz w:val="24"/>
          <w:szCs w:val="24"/>
        </w:rPr>
        <w:t xml:space="preserve"> fail</w:t>
      </w:r>
      <w:r w:rsidR="00A33E19">
        <w:rPr>
          <w:rFonts w:ascii="Times New Roman" w:hAnsi="Times New Roman" w:cs="Times New Roman"/>
          <w:sz w:val="24"/>
          <w:szCs w:val="24"/>
        </w:rPr>
        <w:t>ed entirely</w:t>
      </w:r>
      <w:r w:rsidRPr="004C49AC">
        <w:rPr>
          <w:rFonts w:ascii="Times New Roman" w:hAnsi="Times New Roman" w:cs="Times New Roman"/>
          <w:sz w:val="24"/>
          <w:szCs w:val="24"/>
        </w:rPr>
        <w:t xml:space="preserve"> on external validation with elderly subjects from </w:t>
      </w:r>
      <w:proofErr w:type="spellStart"/>
      <w:r w:rsidRPr="004C49AC">
        <w:rPr>
          <w:rFonts w:ascii="Times New Roman" w:hAnsi="Times New Roman" w:cs="Times New Roman"/>
          <w:sz w:val="24"/>
          <w:szCs w:val="24"/>
        </w:rPr>
        <w:t>SisFall</w:t>
      </w:r>
      <w:proofErr w:type="spellEnd"/>
      <w:r w:rsidRPr="004C49AC">
        <w:rPr>
          <w:rFonts w:ascii="Times New Roman" w:hAnsi="Times New Roman" w:cs="Times New Roman"/>
          <w:sz w:val="24"/>
          <w:szCs w:val="24"/>
        </w:rPr>
        <w:t xml:space="preserve"> (0% recall), while Logistic Regression </w:t>
      </w:r>
      <w:r w:rsidR="002E5E34">
        <w:rPr>
          <w:rFonts w:ascii="Times New Roman" w:hAnsi="Times New Roman" w:cs="Times New Roman"/>
          <w:sz w:val="24"/>
          <w:szCs w:val="24"/>
        </w:rPr>
        <w:t xml:space="preserve">was seen to </w:t>
      </w:r>
      <w:r w:rsidRPr="004C49AC">
        <w:rPr>
          <w:rFonts w:ascii="Times New Roman" w:hAnsi="Times New Roman" w:cs="Times New Roman"/>
          <w:sz w:val="24"/>
          <w:szCs w:val="24"/>
        </w:rPr>
        <w:t xml:space="preserve">generalize </w:t>
      </w:r>
      <w:r w:rsidR="002E5E34">
        <w:rPr>
          <w:rFonts w:ascii="Times New Roman" w:hAnsi="Times New Roman" w:cs="Times New Roman"/>
          <w:sz w:val="24"/>
          <w:szCs w:val="24"/>
        </w:rPr>
        <w:t>better</w:t>
      </w:r>
      <w:r w:rsidRPr="004C49AC">
        <w:rPr>
          <w:rFonts w:ascii="Times New Roman" w:hAnsi="Times New Roman" w:cs="Times New Roman"/>
          <w:sz w:val="24"/>
          <w:szCs w:val="24"/>
        </w:rPr>
        <w:t xml:space="preserve"> (92.6% recall). </w:t>
      </w:r>
      <w:r w:rsidR="00A97809">
        <w:rPr>
          <w:rFonts w:ascii="Times New Roman" w:hAnsi="Times New Roman" w:cs="Times New Roman"/>
          <w:sz w:val="24"/>
          <w:szCs w:val="24"/>
        </w:rPr>
        <w:t xml:space="preserve">Quality assessment </w:t>
      </w:r>
      <w:r w:rsidR="00A75B16">
        <w:rPr>
          <w:rFonts w:ascii="Times New Roman" w:hAnsi="Times New Roman" w:cs="Times New Roman"/>
          <w:sz w:val="24"/>
          <w:szCs w:val="24"/>
        </w:rPr>
        <w:t xml:space="preserve">features </w:t>
      </w:r>
      <w:r w:rsidR="00A175D6">
        <w:rPr>
          <w:rFonts w:ascii="Times New Roman" w:hAnsi="Times New Roman" w:cs="Times New Roman"/>
          <w:sz w:val="24"/>
          <w:szCs w:val="24"/>
        </w:rPr>
        <w:t>captured</w:t>
      </w:r>
      <w:r w:rsidRPr="004C49AC">
        <w:rPr>
          <w:rFonts w:ascii="Times New Roman" w:hAnsi="Times New Roman" w:cs="Times New Roman"/>
          <w:sz w:val="24"/>
          <w:szCs w:val="24"/>
        </w:rPr>
        <w:t xml:space="preserve"> </w:t>
      </w:r>
      <w:r w:rsidR="00A75B16">
        <w:rPr>
          <w:rFonts w:ascii="Times New Roman" w:hAnsi="Times New Roman" w:cs="Times New Roman"/>
          <w:sz w:val="24"/>
          <w:szCs w:val="24"/>
        </w:rPr>
        <w:t xml:space="preserve">were </w:t>
      </w:r>
      <w:r w:rsidRPr="004C49AC">
        <w:rPr>
          <w:rFonts w:ascii="Times New Roman" w:hAnsi="Times New Roman" w:cs="Times New Roman"/>
          <w:sz w:val="24"/>
          <w:szCs w:val="24"/>
        </w:rPr>
        <w:t>per-rep power, acceleration, angular velocity, and fatigue indicators that</w:t>
      </w:r>
      <w:r w:rsidR="00D71A81">
        <w:rPr>
          <w:rFonts w:ascii="Times New Roman" w:hAnsi="Times New Roman" w:cs="Times New Roman"/>
          <w:sz w:val="24"/>
          <w:szCs w:val="24"/>
        </w:rPr>
        <w:t xml:space="preserve"> can highlight</w:t>
      </w:r>
      <w:r w:rsidR="00A175D6">
        <w:rPr>
          <w:rFonts w:ascii="Times New Roman" w:hAnsi="Times New Roman" w:cs="Times New Roman"/>
          <w:sz w:val="24"/>
          <w:szCs w:val="24"/>
        </w:rPr>
        <w:t xml:space="preserve"> </w:t>
      </w:r>
      <w:r w:rsidRPr="004C49AC">
        <w:rPr>
          <w:rFonts w:ascii="Times New Roman" w:hAnsi="Times New Roman" w:cs="Times New Roman"/>
          <w:sz w:val="24"/>
          <w:szCs w:val="24"/>
        </w:rPr>
        <w:t>pre-frailty risk</w:t>
      </w:r>
      <w:r w:rsidR="00D71A81">
        <w:rPr>
          <w:rFonts w:ascii="Times New Roman" w:hAnsi="Times New Roman" w:cs="Times New Roman"/>
          <w:sz w:val="24"/>
          <w:szCs w:val="24"/>
        </w:rPr>
        <w:t xml:space="preserve"> which </w:t>
      </w:r>
      <w:r w:rsidR="00B9444F">
        <w:rPr>
          <w:rFonts w:ascii="Times New Roman" w:hAnsi="Times New Roman" w:cs="Times New Roman"/>
          <w:sz w:val="24"/>
          <w:szCs w:val="24"/>
        </w:rPr>
        <w:t xml:space="preserve">mere repetition counting would otherwise overlook. </w:t>
      </w:r>
    </w:p>
    <w:p w14:paraId="6C2F384B" w14:textId="3F59D939" w:rsidR="00C7518C" w:rsidRPr="004C49AC" w:rsidRDefault="00000000">
      <w:pPr>
        <w:pStyle w:val="Heading2"/>
        <w:rPr>
          <w:rFonts w:ascii="Times New Roman" w:hAnsi="Times New Roman" w:cs="Times New Roman"/>
          <w:sz w:val="24"/>
          <w:szCs w:val="24"/>
        </w:rPr>
      </w:pPr>
      <w:r w:rsidRPr="004C49AC">
        <w:rPr>
          <w:rFonts w:ascii="Times New Roman" w:hAnsi="Times New Roman" w:cs="Times New Roman"/>
          <w:sz w:val="24"/>
          <w:szCs w:val="24"/>
        </w:rPr>
        <w:t>1. Introduction</w:t>
      </w:r>
      <w:r w:rsidR="00840726">
        <w:rPr>
          <w:rFonts w:ascii="Times New Roman" w:hAnsi="Times New Roman" w:cs="Times New Roman"/>
          <w:sz w:val="24"/>
          <w:szCs w:val="24"/>
        </w:rPr>
        <w:t xml:space="preserve"> </w:t>
      </w:r>
    </w:p>
    <w:p w14:paraId="783FC7A3" w14:textId="363144FC" w:rsidR="00B74BA9" w:rsidRDefault="00B74BA9" w:rsidP="00B74BA9">
      <w:pPr>
        <w:pStyle w:val="font-claude-response-body"/>
      </w:pPr>
      <w:r>
        <w:t>Frailty is a clinical syndrome of reduced physiological reserve that dramatically increases vulnerability to adverse health outcomes [1]. The 30-second chair stand test (30s CST) is widely used for lower-limb functional assessment, but standard administration only counts repetitions with a stopwatch. Research shows that sensor-derived kinematic parameters, such as peak acceleration, the rate of rotational movement (angular velocity), and movement variability, can differentiate frailty levels even when repetition counts are identical [2]. This provided the motivation for our project</w:t>
      </w:r>
      <w:r w:rsidR="00893AA4">
        <w:t xml:space="preserve"> </w:t>
      </w:r>
      <w:r w:rsidR="00415220">
        <w:t>in that we sought</w:t>
      </w:r>
      <w:r w:rsidR="00A3275E">
        <w:t xml:space="preserve"> </w:t>
      </w:r>
      <w:r w:rsidR="0050029E">
        <w:t xml:space="preserve">to </w:t>
      </w:r>
      <w:r w:rsidR="009C697D">
        <w:t>turn the 30s CST</w:t>
      </w:r>
      <w:r>
        <w:t xml:space="preserve"> into a more informative assessment of movement quality</w:t>
      </w:r>
      <w:r w:rsidR="00D93616">
        <w:t xml:space="preserve"> and, ultimately, </w:t>
      </w:r>
      <w:r w:rsidR="00D93616" w:rsidRPr="00DE7734">
        <w:rPr>
          <w:color w:val="000000"/>
        </w:rPr>
        <w:t xml:space="preserve">a </w:t>
      </w:r>
      <w:r w:rsidR="00D93616">
        <w:rPr>
          <w:color w:val="000000"/>
        </w:rPr>
        <w:t xml:space="preserve">more robust </w:t>
      </w:r>
      <w:r w:rsidR="00D93616" w:rsidRPr="00DE7734">
        <w:rPr>
          <w:color w:val="000000"/>
        </w:rPr>
        <w:t>frailty screening tool</w:t>
      </w:r>
    </w:p>
    <w:p w14:paraId="41DAAA1B" w14:textId="5DE61468" w:rsidR="00B74BA9" w:rsidRDefault="00B74BA9" w:rsidP="00E071A8">
      <w:pPr>
        <w:pStyle w:val="font-claude-response-body"/>
      </w:pPr>
      <w:r>
        <w:t xml:space="preserve">The input </w:t>
      </w:r>
      <w:r w:rsidR="002617F5">
        <w:t>in</w:t>
      </w:r>
      <w:r>
        <w:t>to our system was raw triaxial accelerometer and gyroscope data (6 channels sampled at 50Hz) from a waist-mounted smartphone. We used a Random Forest classifier, Logistic Regression, and a threshold-based baseline to output a binary prediction per 2.56-second time window</w:t>
      </w:r>
      <w:r w:rsidR="00D25DF1">
        <w:t xml:space="preserve"> that would classify each time window into</w:t>
      </w:r>
      <w:r>
        <w:t xml:space="preserve"> sit-to-stand (1) or other activity (0). Consecutive positive windows were then clustered into discrete repetition events</w:t>
      </w:r>
      <w:r w:rsidR="008F13C0">
        <w:t xml:space="preserve"> and, thereafter, a</w:t>
      </w:r>
      <w:r>
        <w:t xml:space="preserve"> rules-based quality assessment layer extracted six per-rep features: peak dynamic acceleration magnitude, relative muscle power, time-per-rep, peak gyroscope magnitude, coefficient of variation across repetitions (a measure of how consistently a person performs each rep</w:t>
      </w:r>
      <w:r w:rsidR="004B7F57">
        <w:t>etition</w:t>
      </w:r>
      <w:r>
        <w:t xml:space="preserve">), and fatigue slope. Each of these features was </w:t>
      </w:r>
      <w:r w:rsidR="00CA0270">
        <w:t xml:space="preserve">then </w:t>
      </w:r>
      <w:r>
        <w:t>mapped to a specific frailty dimension (weakness, slowness, or exhaustion</w:t>
      </w:r>
      <w:r w:rsidR="00091DFB">
        <w:t xml:space="preserve">) </w:t>
      </w:r>
      <w:r>
        <w:t>and compared against published reference ranges [</w:t>
      </w:r>
      <w:r w:rsidR="00861810">
        <w:t>1</w:t>
      </w:r>
      <w:r w:rsidR="00E071A8">
        <w:t>]</w:t>
      </w:r>
      <w:r w:rsidR="00861810">
        <w:t>,</w:t>
      </w:r>
      <w:r w:rsidR="00E071A8">
        <w:t>[3]</w:t>
      </w:r>
      <w:r>
        <w:t xml:space="preserve">, </w:t>
      </w:r>
      <w:r w:rsidR="00E071A8">
        <w:t>[</w:t>
      </w:r>
      <w:r w:rsidR="00DE1CE7">
        <w:t>4</w:t>
      </w:r>
      <w:r>
        <w:t xml:space="preserve">]. </w:t>
      </w:r>
      <w:r w:rsidR="00D13973">
        <w:t>Finally, t</w:t>
      </w:r>
      <w:r>
        <w:t xml:space="preserve">he system outputted three </w:t>
      </w:r>
      <w:r w:rsidR="00B7519A">
        <w:t>results per CST</w:t>
      </w:r>
      <w:r>
        <w:t>: rep</w:t>
      </w:r>
      <w:r w:rsidR="00E53123">
        <w:t>etition</w:t>
      </w:r>
      <w:r>
        <w:t xml:space="preserve"> count, relative power score, and movement quality </w:t>
      </w:r>
      <w:r w:rsidR="004B2216">
        <w:t>metrics</w:t>
      </w:r>
      <w:r>
        <w:t>.</w:t>
      </w:r>
    </w:p>
    <w:p w14:paraId="67CB69F6" w14:textId="52C0DB70" w:rsidR="00C7518C" w:rsidRPr="004C49AC" w:rsidRDefault="00000000" w:rsidP="004871AE">
      <w:pPr>
        <w:pStyle w:val="Heading2"/>
        <w:rPr>
          <w:rFonts w:ascii="Times New Roman" w:hAnsi="Times New Roman" w:cs="Times New Roman"/>
          <w:sz w:val="24"/>
          <w:szCs w:val="24"/>
        </w:rPr>
      </w:pPr>
      <w:r w:rsidRPr="004C49AC">
        <w:rPr>
          <w:rFonts w:ascii="Times New Roman" w:hAnsi="Times New Roman" w:cs="Times New Roman"/>
          <w:sz w:val="24"/>
          <w:szCs w:val="24"/>
        </w:rPr>
        <w:lastRenderedPageBreak/>
        <w:t>2. Related Work</w:t>
      </w:r>
      <w:r w:rsidR="00840726">
        <w:rPr>
          <w:rFonts w:ascii="Times New Roman" w:hAnsi="Times New Roman" w:cs="Times New Roman"/>
          <w:sz w:val="24"/>
          <w:szCs w:val="24"/>
        </w:rPr>
        <w:t xml:space="preserve"> </w:t>
      </w:r>
    </w:p>
    <w:p w14:paraId="052BE88D" w14:textId="2C0A6EAD" w:rsidR="00D774E8" w:rsidRDefault="00D774E8" w:rsidP="00D774E8">
      <w:pPr>
        <w:pStyle w:val="font-claude-response-body"/>
      </w:pPr>
      <w:r>
        <w:t>Prior work on instrumented sit-to-stand analysis can be broadly grouped into three categories: clinical</w:t>
      </w:r>
      <w:r w:rsidR="00A71E2A">
        <w:t xml:space="preserve"> inertial measurement unit (IMU) </w:t>
      </w:r>
      <w:r>
        <w:t>studies</w:t>
      </w:r>
      <w:r w:rsidR="00506C32">
        <w:t xml:space="preserve"> which measure force and rotation</w:t>
      </w:r>
      <w:r w:rsidR="008869F8">
        <w:t xml:space="preserve"> with specialized sensors</w:t>
      </w:r>
      <w:r>
        <w:t>, smartphone-based approaches, and power-based assessment methods.</w:t>
      </w:r>
    </w:p>
    <w:p w14:paraId="0085271E" w14:textId="4A8D9CC7" w:rsidR="00D774E8" w:rsidRDefault="00D774E8" w:rsidP="00D774E8">
      <w:pPr>
        <w:pStyle w:val="font-claude-response-body"/>
      </w:pPr>
      <w:r>
        <w:t>In the clinical IMU literature, Millor et al. [</w:t>
      </w:r>
      <w:r w:rsidR="00C307D8">
        <w:t>2</w:t>
      </w:r>
      <w:r>
        <w:t xml:space="preserve">] used a single lumbar inertial measurement unit during the 30s CST and found that kinematic parameters, particularly angular velocity peaks, were able to differentiate three frailty levels where repetition count alone could not (p &lt; 0.001). Van </w:t>
      </w:r>
      <w:proofErr w:type="spellStart"/>
      <w:r>
        <w:t>Lummel</w:t>
      </w:r>
      <w:proofErr w:type="spellEnd"/>
      <w:r>
        <w:t xml:space="preserve"> et al. [</w:t>
      </w:r>
      <w:r w:rsidR="00C154AD">
        <w:t>5</w:t>
      </w:r>
      <w:r>
        <w:t>] demonstrated that sit-to-stand durations recorded by inertial sensors were more strongly associated with health status than those recorded manually. Together, these studies validate the clinical value of sensor-derived features, but both relied on dedicated research-grade hardware that would not be accessible for home use.</w:t>
      </w:r>
    </w:p>
    <w:p w14:paraId="0F3A5EBA" w14:textId="6F17B2F3" w:rsidR="00D774E8" w:rsidRDefault="00D774E8" w:rsidP="00D774E8">
      <w:pPr>
        <w:pStyle w:val="font-claude-response-body"/>
      </w:pPr>
      <w:r>
        <w:t xml:space="preserve">In terms of smartphone-based approaches, </w:t>
      </w:r>
      <w:proofErr w:type="spellStart"/>
      <w:r>
        <w:t>Mercant</w:t>
      </w:r>
      <w:proofErr w:type="spellEnd"/>
      <w:r>
        <w:t xml:space="preserve"> and Vargas [</w:t>
      </w:r>
      <w:r w:rsidR="00582B0D">
        <w:t>6</w:t>
      </w:r>
      <w:r>
        <w:t>] used an iPhone 4 mounted at the waist and found that frail elderly participants produced peak vertical acceleration of approximately 2.7 m/s² compared to approximately 8.5 m/s² for non-frail participants. This remains the only smartphone study to have established frailty-specific acceleration thresholds, though their dataset is not publicly available. Separately, Sher et al. [</w:t>
      </w:r>
      <w:r w:rsidR="0086295D">
        <w:t>7</w:t>
      </w:r>
      <w:r>
        <w:t xml:space="preserve">] achieved 99% cycle detection accuracy across 660 sit-to-stand cycles using rule-based signal processing with a waist-mounted smartphone, which demonstrated that carefully engineered heuristics can perform well on this </w:t>
      </w:r>
      <w:proofErr w:type="gramStart"/>
      <w:r>
        <w:t>particular task</w:t>
      </w:r>
      <w:proofErr w:type="gramEnd"/>
      <w:r>
        <w:t>.</w:t>
      </w:r>
    </w:p>
    <w:p w14:paraId="4D50BB38" w14:textId="19B43CDC" w:rsidR="00D774E8" w:rsidRDefault="00D774E8" w:rsidP="00D774E8">
      <w:pPr>
        <w:pStyle w:val="font-claude-response-body"/>
      </w:pPr>
      <w:r>
        <w:t xml:space="preserve">With respect to power-based assessment, </w:t>
      </w:r>
      <w:proofErr w:type="spellStart"/>
      <w:r>
        <w:t>Alcázar</w:t>
      </w:r>
      <w:proofErr w:type="spellEnd"/>
      <w:r>
        <w:t xml:space="preserve"> et al. [</w:t>
      </w:r>
      <w:r w:rsidR="00121AA2">
        <w:t>3</w:t>
      </w:r>
      <w:r>
        <w:t>] validated a relative sit-to-stand power equation that showed the strongest association with frailty among available sit-to-stand power formulas, and published age- and sex-stratified normative cut-off points derived from a large European cohort. Park et al. [</w:t>
      </w:r>
      <w:r w:rsidR="00BE310E">
        <w:t>8</w:t>
      </w:r>
      <w:r>
        <w:t>] identified three optimal sensor-derived features corresponding to slowness, weakness, and exhaustion using wearable sensors and logistic regression, and achieved an AUC of 0.86 for frailty phenotype classification.</w:t>
      </w:r>
    </w:p>
    <w:p w14:paraId="2D2B3AC9" w14:textId="2CF36D71" w:rsidR="00D774E8" w:rsidRDefault="00D774E8" w:rsidP="00D774E8">
      <w:pPr>
        <w:pStyle w:val="font-claude-response-body"/>
      </w:pPr>
      <w:r>
        <w:t>Our work differed from these prior efforts in that it combined machine learning-based event detection with a clinically grounded quality assessment layer, all using a single smartphone. In doing so, we sought to approximate the kind of multi-sensor framework described by Park et al. [</w:t>
      </w:r>
      <w:r w:rsidR="00A466E5">
        <w:t>8</w:t>
      </w:r>
      <w:r>
        <w:t>] while requiring only a single consumer device.</w:t>
      </w:r>
    </w:p>
    <w:p w14:paraId="22BCE315" w14:textId="1013F915" w:rsidR="00C7518C" w:rsidRPr="004C49AC" w:rsidRDefault="00000000" w:rsidP="00640F7E">
      <w:pPr>
        <w:pStyle w:val="Heading2"/>
        <w:rPr>
          <w:rFonts w:ascii="Times New Roman" w:hAnsi="Times New Roman" w:cs="Times New Roman"/>
          <w:sz w:val="24"/>
          <w:szCs w:val="24"/>
        </w:rPr>
      </w:pPr>
      <w:r w:rsidRPr="004C49AC">
        <w:rPr>
          <w:rFonts w:ascii="Times New Roman" w:hAnsi="Times New Roman" w:cs="Times New Roman"/>
          <w:sz w:val="24"/>
          <w:szCs w:val="24"/>
        </w:rPr>
        <w:t>3. Dataset</w:t>
      </w:r>
      <w:r w:rsidR="00FD2AF1">
        <w:rPr>
          <w:rFonts w:ascii="Times New Roman" w:hAnsi="Times New Roman" w:cs="Times New Roman"/>
          <w:sz w:val="24"/>
          <w:szCs w:val="24"/>
        </w:rPr>
        <w:t xml:space="preserve"> </w:t>
      </w:r>
    </w:p>
    <w:p w14:paraId="63A46F2A" w14:textId="77777777" w:rsidR="00513BED" w:rsidRDefault="00513BED" w:rsidP="00513BED">
      <w:pPr>
        <w:pStyle w:val="font-claude-response-body"/>
      </w:pPr>
      <w:r>
        <w:t xml:space="preserve">We used two datasets in this project: the UCI HAPT dataset for training and internal validation, and the </w:t>
      </w:r>
      <w:proofErr w:type="spellStart"/>
      <w:r>
        <w:t>SisFall</w:t>
      </w:r>
      <w:proofErr w:type="spellEnd"/>
      <w:r>
        <w:t xml:space="preserve"> dataset for external validation on elderly subjects.</w:t>
      </w:r>
    </w:p>
    <w:p w14:paraId="36498164" w14:textId="2E62C15B" w:rsidR="00513BED" w:rsidRDefault="00513BED" w:rsidP="00513BED">
      <w:pPr>
        <w:pStyle w:val="font-claude-response-body"/>
      </w:pPr>
      <w:r>
        <w:t>The University of California Irvine Human Activities and Postural Transitions dataset (UCI HAPT) contains raw accelerometer and gyroscope data from 30 participants aged 19 to 48, each wearing a Samsung Galaxy S II smartphone at the waist, with data sampled at 50Hz. The dataset includes 12 activity and transition classes, of which sit-to-stand (activity ID 8) was the class of interest. We identified 62 sit-to-stand segments across all subjects, with an average duration of 2.59 seconds and a range of 1.48 to 3.66 seconds.</w:t>
      </w:r>
    </w:p>
    <w:p w14:paraId="3CF598B8" w14:textId="77777777" w:rsidR="00513BED" w:rsidRDefault="00513BED" w:rsidP="00513BED">
      <w:pPr>
        <w:pStyle w:val="font-claude-response-body"/>
      </w:pPr>
      <w:r>
        <w:lastRenderedPageBreak/>
        <w:t xml:space="preserve">For preprocessing, we segmented the raw signals into 2.56-second windows of 128 samples each, using a 50% overlap. Each window was assigned a label by majority vote: if more than 50% of the samples within a window belonged to a single activity, the window received that label, and otherwise it was dropped. We initially applied an 80% purity threshold in line with standard </w:t>
      </w:r>
      <w:proofErr w:type="gramStart"/>
      <w:r>
        <w:t>practice, but</w:t>
      </w:r>
      <w:proofErr w:type="gramEnd"/>
      <w:r>
        <w:t xml:space="preserve"> found that this was too aggressive for our purposes. Specifically, 10 of the 62 sit-to-stand segments (16%) were too short to ever reach 80% purity within a 128-sample window, which meant that all positive examples were eliminated for 3 of the 30 subjects. Lowering the threshold to 50% recovered these examples while still maintaining majority-vote </w:t>
      </w:r>
      <w:proofErr w:type="spellStart"/>
      <w:proofErr w:type="gramStart"/>
      <w:r>
        <w:t>labeling</w:t>
      </w:r>
      <w:proofErr w:type="spellEnd"/>
      <w:r>
        <w:t>, and</w:t>
      </w:r>
      <w:proofErr w:type="gramEnd"/>
      <w:r>
        <w:t xml:space="preserve"> ensured that every subject had at least some positive windows available for evaluation.</w:t>
      </w:r>
    </w:p>
    <w:p w14:paraId="34F097F2" w14:textId="77777777" w:rsidR="00513BED" w:rsidRDefault="00513BED" w:rsidP="00513BED">
      <w:pPr>
        <w:pStyle w:val="font-claude-response-body"/>
      </w:pPr>
      <w:r>
        <w:t>After windowing, labels were remapped to a binary scheme in which sit-to-stand was coded as 1 and everything else as 0. For feature extraction, we computed acceleration magnitude (the square root of the sum of squared accelerometer axes) and gyroscope magnitude (computed in the same way from gyroscope axes) as orientation-independent channels, giving 8 channels in total. For each window, we then computed 6 summary statistics per channel: mean, standard deviation, minimum, maximum, range, and energy, producing a feature vector of 48 values per window. The final dataset consisted of 17,453 windows, of which 126 were sit-to-stand (0.72%) and the remaining 17,327 were other activities (99.28%).</w:t>
      </w:r>
    </w:p>
    <w:p w14:paraId="51E21246" w14:textId="69BBAB58" w:rsidR="002659FF" w:rsidRDefault="00513BED" w:rsidP="007F4AF4">
      <w:pPr>
        <w:pStyle w:val="font-claude-response-body"/>
      </w:pPr>
      <w:r>
        <w:t xml:space="preserve">The </w:t>
      </w:r>
      <w:proofErr w:type="spellStart"/>
      <w:r>
        <w:t>SisFall</w:t>
      </w:r>
      <w:proofErr w:type="spellEnd"/>
      <w:r>
        <w:t xml:space="preserve"> dataset was used for external validation and contained data from 15 elderly subjects aged 60 to 75, each performing slow (D07) and fast (D08) sit-to-stand trials. There were 149 trials in total, with each trial being a self-contained 12-second recording of one sit-to-stand event. To ensure compatibility with the UCI HAPT data, signals were converted to matching units (g for acceleration, rad/s for angular velocity), resampled from 200Hz to 50Hz using polyphase resampling with anti-aliasing, and then processed through the same feature extraction pipeline described above.</w:t>
      </w:r>
    </w:p>
    <w:p w14:paraId="29767553" w14:textId="6AD399D1" w:rsidR="00C7518C" w:rsidRDefault="00000000" w:rsidP="007F4AF4">
      <w:pPr>
        <w:pStyle w:val="Heading2"/>
        <w:rPr>
          <w:rFonts w:ascii="Times New Roman" w:hAnsi="Times New Roman" w:cs="Times New Roman"/>
          <w:sz w:val="24"/>
          <w:szCs w:val="24"/>
        </w:rPr>
      </w:pPr>
      <w:r w:rsidRPr="004C49AC">
        <w:rPr>
          <w:rFonts w:ascii="Times New Roman" w:hAnsi="Times New Roman" w:cs="Times New Roman"/>
          <w:sz w:val="24"/>
          <w:szCs w:val="24"/>
        </w:rPr>
        <w:t>4. Methods</w:t>
      </w:r>
      <w:r w:rsidR="0025354A">
        <w:rPr>
          <w:rFonts w:ascii="Times New Roman" w:hAnsi="Times New Roman" w:cs="Times New Roman"/>
          <w:sz w:val="24"/>
          <w:szCs w:val="24"/>
        </w:rPr>
        <w:t xml:space="preserve"> </w:t>
      </w:r>
      <w:r w:rsidR="004871AE">
        <w:rPr>
          <w:rFonts w:ascii="Times New Roman" w:hAnsi="Times New Roman" w:cs="Times New Roman"/>
          <w:sz w:val="24"/>
          <w:szCs w:val="24"/>
        </w:rPr>
        <w:tab/>
      </w:r>
    </w:p>
    <w:p w14:paraId="35FA543B" w14:textId="77777777" w:rsidR="00B438BD" w:rsidRDefault="00B438BD" w:rsidP="00B438BD">
      <w:pPr>
        <w:pStyle w:val="font-claude-response-body"/>
      </w:pPr>
      <w:r>
        <w:t xml:space="preserve">We compared three classification approaches that spanned a range of model complexity, from a simple rule-based baseline through to a nonlinear ensemble method. All three were evaluated using the same binary classification task: given a 2.56-second window of sensor data represented as a 48-dimensional feature vector, predict whether that window corresponds to a </w:t>
      </w:r>
      <w:proofErr w:type="spellStart"/>
      <w:r>
        <w:t>sit</w:t>
      </w:r>
      <w:proofErr w:type="spellEnd"/>
      <w:r>
        <w:t>-to-stand transition (1) or some other activity (0).</w:t>
      </w:r>
    </w:p>
    <w:p w14:paraId="5F7E1E31" w14:textId="77777777" w:rsidR="00B438BD" w:rsidRDefault="00B438BD" w:rsidP="00B438BD">
      <w:pPr>
        <w:pStyle w:val="font-claude-response-body"/>
      </w:pPr>
      <w:r>
        <w:t xml:space="preserve">The simplest approach was a threshold baseline that involved no machine learning. This method predicted sit-to-stand if two conditions were simultaneously met: the maximum acceleration magnitude in the window exceeded a threshold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the acceleration magnitude range exceeded a second threshold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values of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were determined by grid search over the training data, selecting the combination that maximised the F1 score. This baseline used only 2 of the 48 available features and had no learned parameters beyond the two thresholds. It represented the kind of detector one might build using domain knowledge alone, without any learning algorithm, and served as a lower bound against which the machine learning models could be compared. </w:t>
      </w:r>
    </w:p>
    <w:p w14:paraId="045937F0" w14:textId="77777777" w:rsidR="00B438BD" w:rsidRDefault="00B438BD" w:rsidP="00B438BD">
      <w:pPr>
        <w:pStyle w:val="font-claude-response-body"/>
      </w:pPr>
      <w:r>
        <w:lastRenderedPageBreak/>
        <w:t xml:space="preserve">The second approach was Logistic Regression, which learned a weight vector </w:t>
      </w:r>
      <m:oMath>
        <m:r>
          <m:rPr>
            <m:sty m:val="b"/>
          </m:rPr>
          <w:rPr>
            <w:rFonts w:ascii="Cambria Math" w:hAnsi="Cambria Math"/>
          </w:rPr>
          <m:t>w</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48</m:t>
            </m:r>
          </m:sup>
        </m:sSup>
      </m:oMath>
      <w:r>
        <w:t xml:space="preserve">and a bias term </w:t>
      </w:r>
      <m:oMath>
        <m:r>
          <w:rPr>
            <w:rFonts w:ascii="Cambria Math" w:hAnsi="Cambria Math"/>
          </w:rPr>
          <m:t>b</m:t>
        </m:r>
      </m:oMath>
      <w:r>
        <w:t xml:space="preserve">from the training data. For a given feature vector </w:t>
      </w:r>
      <m:oMath>
        <m:r>
          <m:rPr>
            <m:sty m:val="b"/>
          </m:rPr>
          <w:rPr>
            <w:rFonts w:ascii="Cambria Math" w:hAnsi="Cambria Math"/>
          </w:rPr>
          <m:t>x</m:t>
        </m:r>
      </m:oMath>
      <w:r>
        <w:t xml:space="preserve">, the model estimated the probability that the window contained a sit-to-stand transition as </w:t>
      </w:r>
      <m:oMath>
        <m:r>
          <w:rPr>
            <w:rFonts w:ascii="Cambria Math" w:hAnsi="Cambria Math"/>
          </w:rPr>
          <m:t>P(y=1</m:t>
        </m:r>
        <m:r>
          <m:rPr>
            <m:sty m:val="p"/>
          </m:rPr>
          <w:rPr>
            <w:rFonts w:ascii="Cambria Math" w:hAnsi="Cambria Math"/>
          </w:rPr>
          <m:t>∣</m:t>
        </m:r>
        <m:r>
          <m:rPr>
            <m:sty m:val="b"/>
          </m:rPr>
          <w:rPr>
            <w:rFonts w:ascii="Cambria Math" w:hAnsi="Cambria Math"/>
          </w:rPr>
          <m:t>x</m:t>
        </m:r>
        <m:r>
          <w:rPr>
            <w:rFonts w:ascii="Cambria Math" w:hAnsi="Cambria Math"/>
          </w:rPr>
          <m:t>)=σ(</m:t>
        </m:r>
        <m:r>
          <m:rPr>
            <m:sty m:val="b"/>
          </m:rPr>
          <w:rPr>
            <w:rFonts w:ascii="Cambria Math" w:hAnsi="Cambria Math"/>
          </w:rPr>
          <m:t>w</m:t>
        </m:r>
        <m:r>
          <w:rPr>
            <w:rFonts w:ascii="Cambria Math" w:hAnsi="Cambria Math"/>
          </w:rPr>
          <m:t>⋅</m:t>
        </m:r>
        <m:r>
          <m:rPr>
            <m:sty m:val="b"/>
          </m:rPr>
          <w:rPr>
            <w:rFonts w:ascii="Cambria Math" w:hAnsi="Cambria Math"/>
          </w:rPr>
          <m:t>x</m:t>
        </m:r>
        <m:r>
          <w:rPr>
            <w:rFonts w:ascii="Cambria Math" w:hAnsi="Cambria Math"/>
          </w:rPr>
          <m:t>+b)</m:t>
        </m:r>
      </m:oMath>
      <w:r>
        <w:t xml:space="preserve">, where </w:t>
      </w:r>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t xml:space="preserve">is the sigmoid function that maps the linear combination to a probability between 0 and 1. If this probability exceeded 0.5, the window was classified as sit-to-stand. Because the dataset was heavily imbalanced (0.72% positive), we used the </w:t>
      </w:r>
      <w:proofErr w:type="spellStart"/>
      <w:r>
        <w:rPr>
          <w:rStyle w:val="HTMLCode"/>
        </w:rPr>
        <w:t>class_weight</w:t>
      </w:r>
      <w:proofErr w:type="spellEnd"/>
      <w:r>
        <w:rPr>
          <w:rStyle w:val="HTMLCode"/>
        </w:rPr>
        <w:t>='balanced'</w:t>
      </w:r>
      <w:r>
        <w:t xml:space="preserve"> setting, which upweighted the minority class by a factor proportional to the ratio of class sizes during training. All features were normalised using standard scaling (zero mean, unit variance) so that no individual feature would dominate the learned weights simply because of its scale. Logistic Regression was able to use all 48 features simultaneously but was limited to learning a linear decision boundary, meaning it could not capture interactions between features without those interactions being explicitly engineered.</w:t>
      </w:r>
    </w:p>
    <w:p w14:paraId="6DC3A882" w14:textId="77777777" w:rsidR="00B438BD" w:rsidRDefault="00B438BD" w:rsidP="00B438BD">
      <w:pPr>
        <w:pStyle w:val="font-claude-response-body"/>
      </w:pPr>
      <w:r>
        <w:t xml:space="preserve">The third approach was a Random Forest classifier, which consisted of an ensemble of 100 decision trees. Each tree was trained on a bootstrap sample of the training data, and at each split within a tree, only a random subset of features was considered as candidates. The final prediction for a given window was determined by majority vote across all 100 trees. Like Logistic Regression, the Random Forest used </w:t>
      </w:r>
      <w:proofErr w:type="spellStart"/>
      <w:r>
        <w:rPr>
          <w:rStyle w:val="HTMLCode"/>
        </w:rPr>
        <w:t>class_weight</w:t>
      </w:r>
      <w:proofErr w:type="spellEnd"/>
      <w:r>
        <w:rPr>
          <w:rStyle w:val="HTMLCode"/>
        </w:rPr>
        <w:t>='balanced'</w:t>
      </w:r>
      <w:r>
        <w:t xml:space="preserve"> to account for class imbalance. The key advantage of this approach over Logistic Regression was its ability to learn nonlinear feature interactions without requiring them to be specified in advance. For example, a combination of high acceleration magnitude and high gyroscope activity might indicate sit-to-stand, whereas high acceleration magnitude on its own might instead correspond to walking upstairs. The Random Forest could learn such conditional relationships naturally through its tree structure, whereas Logistic Regression could not.</w:t>
      </w:r>
    </w:p>
    <w:p w14:paraId="06247785" w14:textId="77777777" w:rsidR="00B438BD" w:rsidRDefault="00B438BD" w:rsidP="00B438BD">
      <w:pPr>
        <w:pStyle w:val="font-claude-response-body"/>
      </w:pPr>
      <w:r>
        <w:t xml:space="preserve">All three models were evaluated using 30-fold Leave-One-Subject-Out Cross-Validation (LOSO-CV), in which each fold held out a single subject for testing and trained on the remaining 29. This ensured that the model was always evaluated on a subject whose data it had never seen during training, providing a realistic estimate of generalisation to new users. For each fold, we recorded precision, recall, F1 score, and precision-recall area under the curve (PR-AUC) for the </w:t>
      </w:r>
      <w:proofErr w:type="spellStart"/>
      <w:r>
        <w:t>sit</w:t>
      </w:r>
      <w:proofErr w:type="spellEnd"/>
      <w:r>
        <w:t>-to-stand class. In addition to these window-level metrics, we computed event-level metrics by clustering consecutive positive window predictions into discrete events and matching each predicted event against the ground truth within a tolerance of plus or minus 1.0 second. We also computed the mean absolute error (MAE) of the predicted repetition count relative to the true count on a per-subject basis.</w:t>
      </w:r>
    </w:p>
    <w:p w14:paraId="4009D932" w14:textId="4764840A" w:rsidR="00B438BD" w:rsidRDefault="00B438BD" w:rsidP="00B438BD">
      <w:pPr>
        <w:pStyle w:val="font-claude-response-body"/>
      </w:pPr>
      <w:r>
        <w:t xml:space="preserve">Beyond repetition detection, we implemented a rules-based quality assessment layer that extracted clinically meaningful features from the raw sensor signal within the boundaries of each detected repetition. Before extraction, the gravitational component of the accelerometer signal was removed using a 4th-order high-pass Butterworth filter with a cutoff frequency of 0.3Hz, leaving only the dynamic acceleration produced by body movement. Six indicators were then computed for each repetition. The first was peak dynamic acceleration magnitude, which captured how forcefully the person moved during the transition. The second was relative muscle power, estimated using an adaptation of the </w:t>
      </w:r>
      <w:proofErr w:type="spellStart"/>
      <w:r>
        <w:t>Alcázar</w:t>
      </w:r>
      <w:proofErr w:type="spellEnd"/>
      <w:r>
        <w:t xml:space="preserve"> equation [5]: </w:t>
      </w:r>
      <m:oMath>
        <m:r>
          <m:rPr>
            <m:nor/>
          </m:rPr>
          <m:t>Power (W/kg)</m:t>
        </m:r>
        <m:r>
          <w:rPr>
            <w:rFonts w:ascii="Cambria Math" w:hAnsi="Cambria Math"/>
          </w:rPr>
          <m:t>=</m:t>
        </m:r>
        <m:f>
          <m:fPr>
            <m:ctrlPr>
              <w:rPr>
                <w:rFonts w:ascii="Cambria Math" w:hAnsi="Cambria Math"/>
              </w:rPr>
            </m:ctrlPr>
          </m:fPr>
          <m:num>
            <m:r>
              <w:rPr>
                <w:rFonts w:ascii="Cambria Math" w:hAnsi="Cambria Math"/>
              </w:rPr>
              <m:t>0.9×9.81×(</m:t>
            </m:r>
            <m:r>
              <m:rPr>
                <m:nor/>
              </m:rPr>
              <m:t>height</m:t>
            </m:r>
            <m:r>
              <w:rPr>
                <w:rFonts w:ascii="Cambria Math" w:hAnsi="Cambria Math"/>
              </w:rPr>
              <m:t>×0.5-</m:t>
            </m:r>
            <m:r>
              <m:rPr>
                <m:nor/>
              </m:rPr>
              <m:t>chair_height</m:t>
            </m:r>
            <m:r>
              <w:rPr>
                <w:rFonts w:ascii="Cambria Math" w:hAnsi="Cambria Math"/>
              </w:rPr>
              <m:t>)</m:t>
            </m:r>
          </m:num>
          <m:den>
            <m:r>
              <m:rPr>
                <m:nor/>
              </m:rPr>
              <m:t>mean_time_per_rep</m:t>
            </m:r>
            <m:r>
              <w:rPr>
                <w:rFonts w:ascii="Cambria Math" w:hAnsi="Cambria Math"/>
              </w:rPr>
              <m:t>×0.5</m:t>
            </m:r>
          </m:den>
        </m:f>
      </m:oMath>
      <w:r>
        <w:t xml:space="preserve">. The third was time-per-rep, computed as the duration in seconds </w:t>
      </w:r>
      <w:r>
        <w:lastRenderedPageBreak/>
        <w:t>between the start and end of each detected repetition. The fourth was peak gyroscope magnitude, which reflected how quickly the trunk rotated during the transition. The fifth was the coefficient of variation computed across all repetitions in a session, which measured how consistently the person performed each repetition, with higher values indicating greater variability. The sixth was fatigue slope, obtained by fitting a simple linear regres</w:t>
      </w:r>
      <w:proofErr w:type="spellStart"/>
      <w:r>
        <w:t>sion</w:t>
      </w:r>
      <w:proofErr w:type="spellEnd"/>
      <w:r>
        <w:t xml:space="preserve"> of a per-rep metric (such as peak acceleration) against repetition number, where a negative slope indicated declining performance over the course of the session. Each of these six indicators was mapped to a specific frailty dimension: weakness, slowness, or exhaustion. The values were then compared against published reference ranges from Galán-</w:t>
      </w:r>
      <w:proofErr w:type="spellStart"/>
      <w:r>
        <w:t>Mercant</w:t>
      </w:r>
      <w:proofErr w:type="spellEnd"/>
      <w:r>
        <w:t xml:space="preserve"> and Cuesta-Vargas [</w:t>
      </w:r>
      <w:r w:rsidR="00E95633">
        <w:t>6</w:t>
      </w:r>
      <w:r>
        <w:t xml:space="preserve">], </w:t>
      </w:r>
      <w:proofErr w:type="spellStart"/>
      <w:r>
        <w:t>Alcázar</w:t>
      </w:r>
      <w:proofErr w:type="spellEnd"/>
      <w:r>
        <w:t xml:space="preserve"> et al. [</w:t>
      </w:r>
      <w:r w:rsidR="004F6FEA">
        <w:t>3</w:t>
      </w:r>
      <w:r>
        <w:t>], Millor et al. [</w:t>
      </w:r>
      <w:r w:rsidR="00337EA4">
        <w:t>2</w:t>
      </w:r>
      <w:r>
        <w:t>], and Park et al. [</w:t>
      </w:r>
      <w:r w:rsidR="00BB5870">
        <w:t>8</w:t>
      </w:r>
      <w:r>
        <w:t>]. It should be noted that this quality assessment layer was entirely rule-based and involved no machine learning; its purpose was to demonstrate that accurate repetition detection from Part 1 could enable clinically meaningful movement quality analysis that goes beyond simple repetition counting.</w:t>
      </w:r>
    </w:p>
    <w:p w14:paraId="7B659F9F" w14:textId="252AA791" w:rsidR="00C7518C" w:rsidRPr="004C49AC" w:rsidRDefault="00000000">
      <w:pPr>
        <w:pStyle w:val="Heading2"/>
        <w:rPr>
          <w:rFonts w:ascii="Times New Roman" w:hAnsi="Times New Roman" w:cs="Times New Roman"/>
          <w:sz w:val="24"/>
          <w:szCs w:val="24"/>
        </w:rPr>
      </w:pPr>
      <w:r w:rsidRPr="004C49AC">
        <w:rPr>
          <w:rFonts w:ascii="Times New Roman" w:hAnsi="Times New Roman" w:cs="Times New Roman"/>
          <w:sz w:val="24"/>
          <w:szCs w:val="24"/>
        </w:rPr>
        <w:t>5. Experiments, Results, and Discussion</w:t>
      </w:r>
      <w:r w:rsidR="00F15BC3">
        <w:rPr>
          <w:rFonts w:ascii="Times New Roman" w:hAnsi="Times New Roman" w:cs="Times New Roman"/>
          <w:sz w:val="24"/>
          <w:szCs w:val="24"/>
        </w:rPr>
        <w:t xml:space="preserve"> (1-2 pages)</w:t>
      </w:r>
    </w:p>
    <w:p w14:paraId="04A9A115" w14:textId="12C9764D" w:rsidR="00C7518C" w:rsidRPr="0032600A" w:rsidRDefault="00000000">
      <w:pPr>
        <w:pStyle w:val="Heading3"/>
        <w:rPr>
          <w:rFonts w:ascii="Times New Roman" w:hAnsi="Times New Roman" w:cs="Times New Roman"/>
          <w:b w:val="0"/>
          <w:bCs w:val="0"/>
          <w:u w:val="single"/>
        </w:rPr>
      </w:pPr>
      <w:r w:rsidRPr="0032600A">
        <w:rPr>
          <w:rFonts w:ascii="Times New Roman" w:hAnsi="Times New Roman" w:cs="Times New Roman"/>
          <w:b w:val="0"/>
          <w:bCs w:val="0"/>
          <w:u w:val="single"/>
        </w:rPr>
        <w:t>Experiment 1: Internal Validation (LOSO-CV)</w:t>
      </w:r>
    </w:p>
    <w:p w14:paraId="0E9C7E83" w14:textId="3657BB82" w:rsidR="00100F28" w:rsidRPr="007F4AF4" w:rsidRDefault="00100F28" w:rsidP="007F4AF4">
      <w:pPr>
        <w:pStyle w:val="Heading3"/>
        <w:rPr>
          <w:rFonts w:ascii="Times New Roman" w:hAnsi="Times New Roman" w:cs="Times New Roman"/>
          <w:b w:val="0"/>
          <w:bCs w:val="0"/>
        </w:rPr>
      </w:pPr>
      <w:r w:rsidRPr="00100F28">
        <w:rPr>
          <w:rFonts w:ascii="Times New Roman" w:hAnsi="Times New Roman" w:cs="Times New Roman"/>
          <w:b w:val="0"/>
          <w:bCs w:val="0"/>
        </w:rPr>
        <w:t>Table 1 presents the window-level classification results averaged across all 30 LOSO-CV folds for each of the three models.</w:t>
      </w:r>
    </w:p>
    <w:p w14:paraId="7A9561F1" w14:textId="77777777" w:rsidR="00C7518C" w:rsidRPr="0032600A" w:rsidRDefault="00000000">
      <w:pPr>
        <w:spacing w:after="120"/>
        <w:rPr>
          <w:rFonts w:ascii="Times New Roman" w:hAnsi="Times New Roman" w:cs="Times New Roman"/>
          <w:i/>
          <w:iCs/>
          <w:sz w:val="24"/>
          <w:szCs w:val="24"/>
        </w:rPr>
      </w:pPr>
      <w:r w:rsidRPr="0032600A">
        <w:rPr>
          <w:rFonts w:ascii="Times New Roman" w:hAnsi="Times New Roman" w:cs="Times New Roman"/>
          <w:i/>
          <w:iCs/>
          <w:sz w:val="24"/>
          <w:szCs w:val="24"/>
        </w:rPr>
        <w:t>Table 1: Window-level results (mean ± std, 30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C7518C" w:rsidRPr="004C49AC" w14:paraId="3133F94A" w14:textId="77777777">
        <w:tc>
          <w:tcPr>
            <w:tcW w:w="24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FDB470C"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Model</w:t>
            </w:r>
          </w:p>
        </w:tc>
        <w:tc>
          <w:tcPr>
            <w:tcW w:w="174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A4171CD"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Precision</w:t>
            </w:r>
          </w:p>
        </w:tc>
        <w:tc>
          <w:tcPr>
            <w:tcW w:w="174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BB7822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Recall</w:t>
            </w:r>
          </w:p>
        </w:tc>
        <w:tc>
          <w:tcPr>
            <w:tcW w:w="174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A09640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F1</w:t>
            </w:r>
          </w:p>
        </w:tc>
        <w:tc>
          <w:tcPr>
            <w:tcW w:w="174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54FCB3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PR-AUC</w:t>
            </w:r>
          </w:p>
        </w:tc>
      </w:tr>
      <w:tr w:rsidR="00C7518C" w:rsidRPr="004C49AC" w14:paraId="34D0E9CE"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F4C7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Threshold Baseline</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58776"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0.011 ± 0.002</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A9AF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0.933 ± 0.135</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582BE3"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0.022 ± 0.004</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84661"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w:t>
            </w:r>
          </w:p>
        </w:tc>
      </w:tr>
      <w:tr w:rsidR="00C7518C" w:rsidRPr="004C49AC" w14:paraId="37F4A25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6534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Logistic Regression</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4F980"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0.186 ± 0.070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453E8"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0.933 ± 0.117</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3ABC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0.305 ± 0.096</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27F26"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0.675 ± 0.148</w:t>
            </w:r>
          </w:p>
        </w:tc>
      </w:tr>
      <w:tr w:rsidR="00C7518C" w:rsidRPr="004C49AC" w14:paraId="4F0C0D07"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556D3"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Random Forest</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A75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0.778 ± 0.377</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12B9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0.454 ± 0.283</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14DE4"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0.554 ± 0.301</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5F31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0.742 ± 0.212</w:t>
            </w:r>
          </w:p>
        </w:tc>
      </w:tr>
    </w:tbl>
    <w:p w14:paraId="1B6B5BA6" w14:textId="77777777" w:rsidR="007F4AF4" w:rsidRDefault="007F4AF4" w:rsidP="007F4AF4">
      <w:pPr>
        <w:pStyle w:val="font-claude-response-body"/>
      </w:pPr>
      <w:r>
        <w:t xml:space="preserve">The Random Forest achieved the highest F1 score and PR-AUC of the three models. Inspection of the pooled confusion matrix revealed that there were only 5 false positives across the entire dataset, and all 5 were windows whose true label was SITTING, which is the activity that immediately precedes a </w:t>
      </w:r>
      <w:proofErr w:type="spellStart"/>
      <w:r>
        <w:t>sit</w:t>
      </w:r>
      <w:proofErr w:type="spellEnd"/>
      <w:r>
        <w:t xml:space="preserve">-to-stand transition. This is consistent with the fact that boundary windows between </w:t>
      </w:r>
      <w:proofErr w:type="gramStart"/>
      <w:r>
        <w:t>sitting</w:t>
      </w:r>
      <w:proofErr w:type="gramEnd"/>
      <w:r>
        <w:t xml:space="preserve"> and sit-to-stand share similar sensor patterns, particularly when the person begins to lean forward in preparation for standing.</w:t>
      </w:r>
    </w:p>
    <w:p w14:paraId="00A7B6B7" w14:textId="77777777" w:rsidR="007F4AF4" w:rsidRDefault="007F4AF4" w:rsidP="007F4AF4">
      <w:pPr>
        <w:pStyle w:val="font-claude-response-body"/>
      </w:pPr>
      <w:r>
        <w:t>An important finding from this experiment was that the choice of post-processing parameters needed to be matched to the characteristics of the model producing the predictions. The Random Forest tended to produce sparse, high-confidence predictions, often outputting only a single positive window for a given sit-to-stand event. When we applied standard post-processing (smoothing the predicted probabilities and requiring a minimum duration of 2 consecutive positive windows for an event to be counted), these isolated but correct predictions were discarded as noise. When we instead used minimal post-processing, in which a single positive window was sufficient to count as an event, the Random Forest's event-level F1 score increased from 0.187 to 0.755. Table 2 shows the event-level results for all three models under this minimal post-processing configuration.</w:t>
      </w:r>
    </w:p>
    <w:p w14:paraId="09519547" w14:textId="77777777" w:rsidR="00C7518C" w:rsidRPr="0050029D" w:rsidRDefault="00000000">
      <w:pPr>
        <w:spacing w:after="120"/>
        <w:rPr>
          <w:rFonts w:ascii="Times New Roman" w:hAnsi="Times New Roman" w:cs="Times New Roman"/>
          <w:i/>
          <w:iCs/>
          <w:sz w:val="24"/>
          <w:szCs w:val="24"/>
        </w:rPr>
      </w:pPr>
      <w:r w:rsidRPr="0050029D">
        <w:rPr>
          <w:rFonts w:ascii="Times New Roman" w:hAnsi="Times New Roman" w:cs="Times New Roman"/>
          <w:i/>
          <w:iCs/>
          <w:sz w:val="24"/>
          <w:szCs w:val="24"/>
        </w:rPr>
        <w:lastRenderedPageBreak/>
        <w:t>Table 2: Event-level results (RF, minimal post-processing)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C7518C" w:rsidRPr="004C49AC" w14:paraId="42E1A11C" w14:textId="77777777">
        <w:tc>
          <w:tcPr>
            <w:tcW w:w="2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9D8868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Model</w:t>
            </w:r>
          </w:p>
        </w:tc>
        <w:tc>
          <w:tcPr>
            <w:tcW w:w="1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2ACE82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Rep Count MAE</w:t>
            </w:r>
          </w:p>
        </w:tc>
        <w:tc>
          <w:tcPr>
            <w:tcW w:w="1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E538346"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Event Precision</w:t>
            </w:r>
          </w:p>
        </w:tc>
        <w:tc>
          <w:tcPr>
            <w:tcW w:w="1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4E0037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Event Recall</w:t>
            </w:r>
          </w:p>
        </w:tc>
        <w:tc>
          <w:tcPr>
            <w:tcW w:w="176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0F21A23"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Event F1</w:t>
            </w:r>
          </w:p>
        </w:tc>
      </w:tr>
      <w:tr w:rsidR="00C7518C" w:rsidRPr="004C49AC" w14:paraId="4F98DE9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7454"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Threshold Baseline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1AD75"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14.73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82D6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0.101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2C8B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0.823</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A2D4E"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0.180</w:t>
            </w:r>
          </w:p>
        </w:tc>
      </w:tr>
      <w:tr w:rsidR="00C7518C" w:rsidRPr="004C49AC" w14:paraId="38C4FE3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0AEE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Logistic Regression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62E8E0"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3.23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CB71C"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0.151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98FED"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0.387</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3605F"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0.217</w:t>
            </w:r>
          </w:p>
        </w:tc>
      </w:tr>
      <w:tr w:rsidR="00C7518C" w:rsidRPr="004C49AC" w14:paraId="6F7D074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97EC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Random Forest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1DA0F"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0.60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740A5"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0.909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7F9E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0.645</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B8F81"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0.755</w:t>
            </w:r>
          </w:p>
        </w:tc>
      </w:tr>
    </w:tbl>
    <w:p w14:paraId="40F49472" w14:textId="77777777" w:rsidR="00CD3D47" w:rsidRDefault="00CD3D47" w:rsidP="00CD3D47">
      <w:pPr>
        <w:pStyle w:val="font-claude-response-body"/>
      </w:pPr>
      <w:r>
        <w:t>Under this configuration, the Random Forest achieved a mean absolute error of only 0.60 repetitions, and 20 of the 30 subjects received an exact repetition count. Five subjects (9, 10, 17, 23, and 25) received zero detections from the Random Forest; these were subjects whose sit-to-stand segments were among the shortest in the dataset, producing noisy boundary windows that the model was unable to classify with sufficient confidence.</w:t>
      </w:r>
    </w:p>
    <w:p w14:paraId="01EFA792" w14:textId="77777777" w:rsidR="00CD3D47" w:rsidRDefault="00CD3D47" w:rsidP="00CD3D47">
      <w:pPr>
        <w:pStyle w:val="font-claude-response-body"/>
      </w:pPr>
      <w:r>
        <w:t xml:space="preserve">We also examined feature importance for the Random Forest by training a final model on all 30 subjects and inspecting the Gini importance scores. The single most important feature was </w:t>
      </w:r>
      <w:proofErr w:type="spellStart"/>
      <w:r>
        <w:t>gx_energy</w:t>
      </w:r>
      <w:proofErr w:type="spellEnd"/>
      <w:r>
        <w:t xml:space="preserve"> (gyroscope x-axis energy), and gyroscope features occupied 5 of the top 10 positions, accounting for 54% of total Gini importance. This finding aligns with the results of Millor et al. [1], who reported that angular velocity peaks were the strongest differentiator across frailty levels.</w:t>
      </w:r>
    </w:p>
    <w:p w14:paraId="7117CC68" w14:textId="5B58B8AA" w:rsidR="00C7518C" w:rsidRPr="00F50E4A" w:rsidRDefault="00000000">
      <w:pPr>
        <w:pStyle w:val="Heading3"/>
        <w:rPr>
          <w:rFonts w:ascii="Times New Roman" w:hAnsi="Times New Roman" w:cs="Times New Roman"/>
          <w:b w:val="0"/>
          <w:bCs w:val="0"/>
          <w:u w:val="single"/>
        </w:rPr>
      </w:pPr>
      <w:r w:rsidRPr="00F50E4A">
        <w:rPr>
          <w:rFonts w:ascii="Times New Roman" w:hAnsi="Times New Roman" w:cs="Times New Roman"/>
          <w:b w:val="0"/>
          <w:bCs w:val="0"/>
          <w:u w:val="single"/>
        </w:rPr>
        <w:t>Experiment 2: External Validation (</w:t>
      </w:r>
      <w:proofErr w:type="spellStart"/>
      <w:r w:rsidRPr="00F50E4A">
        <w:rPr>
          <w:rFonts w:ascii="Times New Roman" w:hAnsi="Times New Roman" w:cs="Times New Roman"/>
          <w:b w:val="0"/>
          <w:bCs w:val="0"/>
          <w:u w:val="single"/>
        </w:rPr>
        <w:t>SisFall</w:t>
      </w:r>
      <w:proofErr w:type="spellEnd"/>
      <w:r w:rsidRPr="00F50E4A">
        <w:rPr>
          <w:rFonts w:ascii="Times New Roman" w:hAnsi="Times New Roman" w:cs="Times New Roman"/>
          <w:b w:val="0"/>
          <w:bCs w:val="0"/>
          <w:u w:val="single"/>
        </w:rPr>
        <w:t xml:space="preserve"> Elderly)</w:t>
      </w:r>
    </w:p>
    <w:p w14:paraId="35845DE2" w14:textId="77777777" w:rsidR="007C394F" w:rsidRDefault="007C394F" w:rsidP="007C394F">
      <w:pPr>
        <w:pStyle w:val="font-claude-response-body"/>
      </w:pPr>
      <w:r>
        <w:t xml:space="preserve">To assess how well the models generalised to a different population and sensor setup, we trained final versions of all three models on the full UCI HAPT dataset (all 30 subjects) and tested them on the 149 </w:t>
      </w:r>
      <w:proofErr w:type="spellStart"/>
      <w:r>
        <w:t>SisFall</w:t>
      </w:r>
      <w:proofErr w:type="spellEnd"/>
      <w:r>
        <w:t xml:space="preserve"> elderly trials without any retraining or fine-tuning. Table 3 reports event-level recall for each model, broken down by trial type.</w:t>
      </w:r>
    </w:p>
    <w:p w14:paraId="439666F3" w14:textId="619DB9F0" w:rsidR="00C7518C" w:rsidRPr="00E02C74" w:rsidRDefault="00000000">
      <w:pPr>
        <w:spacing w:after="120"/>
        <w:rPr>
          <w:rFonts w:ascii="Times New Roman" w:hAnsi="Times New Roman" w:cs="Times New Roman"/>
          <w:i/>
          <w:iCs/>
          <w:sz w:val="24"/>
          <w:szCs w:val="24"/>
        </w:rPr>
      </w:pPr>
      <w:r w:rsidRPr="00E02C74">
        <w:rPr>
          <w:rFonts w:ascii="Times New Roman" w:hAnsi="Times New Roman" w:cs="Times New Roman"/>
          <w:i/>
          <w:iCs/>
          <w:sz w:val="24"/>
          <w:szCs w:val="24"/>
        </w:rPr>
        <w:t>Table 3: External validation event recall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7518C" w:rsidRPr="004C49AC" w14:paraId="4E0FDC98" w14:textId="77777777">
        <w:tc>
          <w:tcPr>
            <w:tcW w:w="2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BF8538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Model</w:t>
            </w:r>
          </w:p>
        </w:tc>
        <w:tc>
          <w:tcPr>
            <w:tcW w:w="2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0A9B81E"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Overall</w:t>
            </w:r>
          </w:p>
        </w:tc>
        <w:tc>
          <w:tcPr>
            <w:tcW w:w="2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A09086E"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D07 (slow)</w:t>
            </w:r>
          </w:p>
        </w:tc>
        <w:tc>
          <w:tcPr>
            <w:tcW w:w="216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79519E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D08 (fast)</w:t>
            </w:r>
          </w:p>
        </w:tc>
      </w:tr>
      <w:tr w:rsidR="00C7518C" w:rsidRPr="004C49AC" w14:paraId="12415D86"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E865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Threshold Baseline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505B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0.960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9CB60"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0.919</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BDFB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1.000</w:t>
            </w:r>
          </w:p>
        </w:tc>
      </w:tr>
      <w:tr w:rsidR="00C7518C" w:rsidRPr="004C49AC" w14:paraId="1935935A"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D9772"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Logistic Regression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7F257"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0.926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8CC1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0.892</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AA26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0.960</w:t>
            </w:r>
          </w:p>
        </w:tc>
      </w:tr>
      <w:tr w:rsidR="00C7518C" w:rsidRPr="004C49AC" w14:paraId="07E50D2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2AB2E"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Random Forest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DC220"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0.000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1D2B3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0.000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0359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0.000</w:t>
            </w:r>
          </w:p>
        </w:tc>
      </w:tr>
    </w:tbl>
    <w:p w14:paraId="1D2D7F5A" w14:textId="77777777" w:rsidR="00E8163F" w:rsidRDefault="00E8163F" w:rsidP="00E8163F">
      <w:pPr>
        <w:pStyle w:val="font-claude-response-body"/>
      </w:pPr>
      <w:r>
        <w:t xml:space="preserve">The Random Forest failed completely on this external dataset, producing zero detections across all 1,192 windows. Its nonlinear decision boundaries had been fitted so tightly to the patterns present in the UCI HAPT data (young adults using a specific smartphone) that the movement kinematics of elderly subjects recorded with different hardware fell entirely outside those boundaries. By contrast, Logistic Regression generalised well, achieving 92.6% overall recall. Its linear decision boundary appears to have captured more universal biomechanical signatures of the </w:t>
      </w:r>
      <w:proofErr w:type="spellStart"/>
      <w:r>
        <w:t>sit</w:t>
      </w:r>
      <w:proofErr w:type="spellEnd"/>
      <w:r>
        <w:t xml:space="preserve">-to-stand transition that transferred across populations and sensor configurations. This result illustrates the bias-variance </w:t>
      </w:r>
      <w:proofErr w:type="spellStart"/>
      <w:r>
        <w:t>tradeoff</w:t>
      </w:r>
      <w:proofErr w:type="spellEnd"/>
      <w:r>
        <w:t xml:space="preserve"> in practice: the model with the strongest internal </w:t>
      </w:r>
      <w:r>
        <w:lastRenderedPageBreak/>
        <w:t>performance generalised the worst to out-of-distribution data, while simpler models with weaker internal metrics transferred more effectively.</w:t>
      </w:r>
    </w:p>
    <w:p w14:paraId="757B5EDB" w14:textId="77777777" w:rsidR="00E8163F" w:rsidRDefault="00E8163F" w:rsidP="00E8163F">
      <w:pPr>
        <w:pStyle w:val="font-claude-response-body"/>
      </w:pPr>
      <w:r>
        <w:t>Across all models that produced detections, D08 (fast) trials were detected more reliably than D07 (slow) trials, which confirmed that faster sit-to-stand movements produce larger and more salient sensor signals that are easier for the models to identify.</w:t>
      </w:r>
    </w:p>
    <w:p w14:paraId="3D06827C" w14:textId="79910B88" w:rsidR="00C7518C" w:rsidRPr="00E52541" w:rsidRDefault="00000000">
      <w:pPr>
        <w:pStyle w:val="Heading3"/>
        <w:rPr>
          <w:rFonts w:ascii="Times New Roman" w:hAnsi="Times New Roman" w:cs="Times New Roman"/>
          <w:b w:val="0"/>
          <w:bCs w:val="0"/>
          <w:u w:val="single"/>
        </w:rPr>
      </w:pPr>
      <w:r w:rsidRPr="00E52541">
        <w:rPr>
          <w:rFonts w:ascii="Times New Roman" w:hAnsi="Times New Roman" w:cs="Times New Roman"/>
          <w:b w:val="0"/>
          <w:bCs w:val="0"/>
          <w:u w:val="single"/>
        </w:rPr>
        <w:t>Experiment 3: Feature Ablation</w:t>
      </w:r>
    </w:p>
    <w:p w14:paraId="56DA4DDB" w14:textId="036ED0D9" w:rsidR="00563050" w:rsidRPr="00563050" w:rsidRDefault="00563050" w:rsidP="00563050">
      <w:pPr>
        <w:pStyle w:val="Heading3"/>
        <w:rPr>
          <w:rFonts w:ascii="Times New Roman" w:hAnsi="Times New Roman" w:cs="Times New Roman"/>
          <w:b w:val="0"/>
          <w:bCs w:val="0"/>
        </w:rPr>
      </w:pPr>
      <w:r w:rsidRPr="00563050">
        <w:rPr>
          <w:rFonts w:ascii="Times New Roman" w:hAnsi="Times New Roman" w:cs="Times New Roman"/>
          <w:b w:val="0"/>
          <w:bCs w:val="0"/>
        </w:rPr>
        <w:t>To quantify the contribution of gyroscope data, we repeated the LOSO-CV evaluation using only the 24 accelerometer-derived features (removing all gyroscope channels) and compared the results against the full 48-feature model. Table 4 shows the event-level results for the Random Forest under both conditions.</w:t>
      </w:r>
    </w:p>
    <w:p w14:paraId="3DC8A31E" w14:textId="77777777" w:rsidR="00C7518C" w:rsidRPr="00AA47EC" w:rsidRDefault="00000000">
      <w:pPr>
        <w:spacing w:after="120"/>
        <w:rPr>
          <w:rFonts w:ascii="Times New Roman" w:hAnsi="Times New Roman" w:cs="Times New Roman"/>
          <w:i/>
          <w:iCs/>
          <w:sz w:val="24"/>
          <w:szCs w:val="24"/>
        </w:rPr>
      </w:pPr>
      <w:r w:rsidRPr="00AA47EC">
        <w:rPr>
          <w:rFonts w:ascii="Times New Roman" w:hAnsi="Times New Roman" w:cs="Times New Roman"/>
          <w:i/>
          <w:iCs/>
          <w:sz w:val="24"/>
          <w:szCs w:val="24"/>
        </w:rPr>
        <w:t>Table 4: Accel-only vs. full features (RF, event-level)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C7518C" w:rsidRPr="004C49AC" w14:paraId="2498BD9D" w14:textId="77777777">
        <w:tc>
          <w:tcPr>
            <w:tcW w:w="3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5268818"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Feature Set</w:t>
            </w:r>
          </w:p>
        </w:tc>
        <w:tc>
          <w:tcPr>
            <w:tcW w:w="28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23FE486"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Event F1</w:t>
            </w:r>
          </w:p>
        </w:tc>
        <w:tc>
          <w:tcPr>
            <w:tcW w:w="276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82EC06C"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b/>
                <w:bCs/>
                <w:sz w:val="24"/>
                <w:szCs w:val="24"/>
              </w:rPr>
              <w:t>Event Recall</w:t>
            </w:r>
          </w:p>
        </w:tc>
      </w:tr>
      <w:tr w:rsidR="00C7518C" w:rsidRPr="004C49AC" w14:paraId="77B664C0"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EE35D"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Accel + Gyro (48 features)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52A85"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0.755</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D11F4"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0.645</w:t>
            </w:r>
          </w:p>
        </w:tc>
      </w:tr>
      <w:tr w:rsidR="00C7518C" w:rsidRPr="004C49AC" w14:paraId="6F255432" w14:textId="77777777">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412E9"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Accel only (24 features)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96438B"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0.341</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A0F9A" w14:textId="77777777" w:rsidR="00C7518C" w:rsidRPr="004C49AC" w:rsidRDefault="00000000">
            <w:pPr>
              <w:rPr>
                <w:rFonts w:ascii="Times New Roman" w:hAnsi="Times New Roman" w:cs="Times New Roman"/>
                <w:sz w:val="24"/>
                <w:szCs w:val="24"/>
              </w:rPr>
            </w:pPr>
            <w:r w:rsidRPr="004C49AC">
              <w:rPr>
                <w:rFonts w:ascii="Times New Roman" w:hAnsi="Times New Roman" w:cs="Times New Roman"/>
                <w:sz w:val="24"/>
                <w:szCs w:val="24"/>
              </w:rPr>
              <w:t>0.226</w:t>
            </w:r>
          </w:p>
        </w:tc>
      </w:tr>
    </w:tbl>
    <w:p w14:paraId="5C02B0B1" w14:textId="229D9547" w:rsidR="00285FEA" w:rsidRPr="00285FEA" w:rsidRDefault="00285FEA">
      <w:pPr>
        <w:spacing w:before="120" w:after="200"/>
        <w:rPr>
          <w:rFonts w:ascii="Times New Roman" w:hAnsi="Times New Roman" w:cs="Times New Roman"/>
          <w:sz w:val="24"/>
          <w:szCs w:val="24"/>
        </w:rPr>
      </w:pPr>
      <w:r w:rsidRPr="00285FEA">
        <w:rPr>
          <w:rFonts w:ascii="Times New Roman" w:hAnsi="Times New Roman" w:cs="Times New Roman"/>
          <w:sz w:val="24"/>
          <w:szCs w:val="24"/>
        </w:rPr>
        <w:t>Removing the gyroscope features reduced event F1 by 0.41, which confirmed the finding from the feature importance analysis and was consistent with Millor et al.'s [1] emphasis on the importance of angular velocity in differentiating frailty-related movement patterns.</w:t>
      </w:r>
    </w:p>
    <w:p w14:paraId="7763720E" w14:textId="77777777" w:rsidR="00C7518C" w:rsidRPr="004C49AC" w:rsidRDefault="00000000">
      <w:pPr>
        <w:pStyle w:val="Heading3"/>
        <w:rPr>
          <w:rFonts w:ascii="Times New Roman" w:hAnsi="Times New Roman" w:cs="Times New Roman"/>
        </w:rPr>
      </w:pPr>
      <w:r w:rsidRPr="004C49AC">
        <w:rPr>
          <w:rFonts w:ascii="Times New Roman" w:hAnsi="Times New Roman" w:cs="Times New Roman"/>
        </w:rPr>
        <w:t>5.4 Quality Assessment Layer</w:t>
      </w:r>
    </w:p>
    <w:p w14:paraId="6C07DE24" w14:textId="77777777" w:rsidR="0057535E" w:rsidRDefault="0057535E" w:rsidP="0057535E">
      <w:pPr>
        <w:pStyle w:val="font-claude-response-body"/>
      </w:pPr>
      <w:r>
        <w:t>All six quality indicators produced physiologically plausible values when applied to the 62 sit-to-stand repetitions in the UCI HAPT dataset. Peak dynamic acceleration ranged from 2.07 to 9.06 m/s² with a mean of 4.54, time-per-rep ranged from 1.48 to 3.66 seconds with a mean of 2.59, peak gyroscope magnitude ranged from 1.01 to 4.92 rad/s with a mean of 2.07, and relative power ranged from 1.88 to 4.65 W/kg with a mean of 2.79. We observed a statistically significant negative correlation between time-per-rep and peak acceleration (r = -0.40, p = 0.029), which confirmed the expected biomechanical relationship: faster standing requires a more forceful push-off and therefore produces higher acceleration.</w:t>
      </w:r>
    </w:p>
    <w:p w14:paraId="04E1F4D8" w14:textId="743C8D0A" w:rsidR="0057535E" w:rsidRDefault="0057535E" w:rsidP="0057535E">
      <w:pPr>
        <w:pStyle w:val="font-claude-response-body"/>
      </w:pPr>
      <w:r>
        <w:t>When we compared the extracted values against published thresholds, all 30 subjects fell within the intermediate range for peak acceleration, between Galán-</w:t>
      </w:r>
      <w:proofErr w:type="spellStart"/>
      <w:r>
        <w:t>Mercant's</w:t>
      </w:r>
      <w:proofErr w:type="spellEnd"/>
      <w:r>
        <w:t xml:space="preserve"> frail threshold of 2.7 m/s² and non-frail threshold of 8.5 m/s² [</w:t>
      </w:r>
      <w:r w:rsidR="00DC6AD7">
        <w:t>6</w:t>
      </w:r>
      <w:r>
        <w:t>]. Of the 30 subjects, 29 showed power values within the expected range, with one subject registering at 1.92 W/kg, and 7 subjects triggered the exhaustion flag with a coefficient of variation exceeding 0.30. There was substantial individual variation within the cohort. For instance, Subject 17's peak acceleration of 2.80 m/s² was near the frail threshold despite being a young adult, while Subject 10 reached 6.99 m/s². This kind of variation demonstrates that repetition count alone can miss clinically relevant individual differences in movement quality that the quality assessment layer is designed to surface.</w:t>
      </w:r>
    </w:p>
    <w:p w14:paraId="6B7AB199" w14:textId="77777777" w:rsidR="0057535E" w:rsidRDefault="0057535E" w:rsidP="0057535E">
      <w:pPr>
        <w:pStyle w:val="font-claude-response-body"/>
      </w:pPr>
      <w:r>
        <w:t xml:space="preserve">Several limitations should be noted. The UCI HAPT dataset is not a 30-second chair stand test, as subjects performed only 2 to 3 sit-to-stand repetitions each, and so the coefficient of variation </w:t>
      </w:r>
      <w:r>
        <w:lastRenderedPageBreak/>
        <w:t xml:space="preserve">and fatigue slope values computed here are illustrative of the pipeline's functionality rather than clinically meaningful. The published thresholds against which we compared our values were derived from different protocols, sensor setups, and populations, and so comparisons are approximate. The </w:t>
      </w:r>
      <w:proofErr w:type="spellStart"/>
      <w:r>
        <w:t>Alcázar</w:t>
      </w:r>
      <w:proofErr w:type="spellEnd"/>
      <w:r>
        <w:t xml:space="preserve"> power equation was adapted from its originally validated 5-repetition form to work with mean time-per-rep from the 30s CST protocol. Our use of acceleration magnitude served as a proxy for the vertical acceleration measurements used in the reference literature. Finally, no direct validation against Fried phenotype scores was performed, which remains an important direction for future work.</w:t>
      </w:r>
    </w:p>
    <w:p w14:paraId="13EBB1EE" w14:textId="77777777" w:rsidR="00C7518C" w:rsidRPr="004C49AC" w:rsidRDefault="00000000">
      <w:pPr>
        <w:pStyle w:val="Heading2"/>
        <w:rPr>
          <w:rFonts w:ascii="Times New Roman" w:hAnsi="Times New Roman" w:cs="Times New Roman"/>
          <w:sz w:val="24"/>
          <w:szCs w:val="24"/>
        </w:rPr>
      </w:pPr>
      <w:r w:rsidRPr="004C49AC">
        <w:rPr>
          <w:rFonts w:ascii="Times New Roman" w:hAnsi="Times New Roman" w:cs="Times New Roman"/>
          <w:sz w:val="24"/>
          <w:szCs w:val="24"/>
        </w:rPr>
        <w:t>6. Conclusion and Future Work</w:t>
      </w:r>
    </w:p>
    <w:p w14:paraId="008298A5" w14:textId="77777777" w:rsidR="006C2045" w:rsidRDefault="006C2045" w:rsidP="006C2045">
      <w:pPr>
        <w:pStyle w:val="font-claude-response-body"/>
      </w:pPr>
      <w:r>
        <w:t>We demonstrated a two-stage smartphone-based system for sit-to-stand assessment: an ML event detector followed by a rule-based quality assessment layer. Random Forest achieved the best internal event detection (F1 = 0.755, MAE = 0.60 reps) but failed completely on external elderly data (0% recall), while Logistic Regression maintained 92.6% event recall on the same population. Gyroscope features proved critical throughout, contributing 54% of Random Forest's feature importance and improving event F1 by 0.41 in ablation.</w:t>
      </w:r>
    </w:p>
    <w:p w14:paraId="2D26A292" w14:textId="77777777" w:rsidR="006C2045" w:rsidRDefault="006C2045" w:rsidP="006C2045">
      <w:pPr>
        <w:pStyle w:val="font-claude-response-body"/>
      </w:pPr>
      <w:r>
        <w:t xml:space="preserve">Logistic Regression's external recall, however, does not reflect genuine discriminative ability. On the internal evaluation, only 18.6% of its positive predictions were correct. The remaining four out of five were false alarms. The threshold baseline, which uses just two hand-tuned acceleration features and no learning at all, achieved 96% recall on the same </w:t>
      </w:r>
      <w:proofErr w:type="spellStart"/>
      <w:r>
        <w:t>SisFall</w:t>
      </w:r>
      <w:proofErr w:type="spellEnd"/>
      <w:r>
        <w:t xml:space="preserve"> elderly data. Both models score well for the same reason: </w:t>
      </w:r>
      <w:proofErr w:type="spellStart"/>
      <w:r>
        <w:t>SisFall</w:t>
      </w:r>
      <w:proofErr w:type="spellEnd"/>
      <w:r>
        <w:t xml:space="preserve"> recordings contain nothing but isolated sit-to-stand trials, with no surrounding activities. Any model that predicts positive liberally will detect most events in a dataset that consists entirely of positive examples. What separates a useful classifier from a trivial one is the ability to reject non-target movements, and </w:t>
      </w:r>
      <w:proofErr w:type="spellStart"/>
      <w:r>
        <w:t>SisFall's</w:t>
      </w:r>
      <w:proofErr w:type="spellEnd"/>
      <w:r>
        <w:t xml:space="preserve"> structure makes that impossible to measure.</w:t>
      </w:r>
    </w:p>
    <w:p w14:paraId="3E379075" w14:textId="77777777" w:rsidR="006C2045" w:rsidRDefault="006C2045" w:rsidP="006C2045">
      <w:pPr>
        <w:pStyle w:val="font-claude-response-body"/>
      </w:pPr>
      <w:r>
        <w:t xml:space="preserve">This outcome reflects a data gap, not a model limitation. No public dataset currently combines the three elements necessary to train and properly evaluate a </w:t>
      </w:r>
      <w:proofErr w:type="spellStart"/>
      <w:r>
        <w:t>sit</w:t>
      </w:r>
      <w:proofErr w:type="spellEnd"/>
      <w:r>
        <w:t xml:space="preserve">-to-stand detector for frailty screening: an elderly or mixed-age population, continuous multi-rep protocols such as the 30-second chair stand test, and </w:t>
      </w:r>
      <w:proofErr w:type="spellStart"/>
      <w:r>
        <w:t>labeled</w:t>
      </w:r>
      <w:proofErr w:type="spellEnd"/>
      <w:r>
        <w:t xml:space="preserve"> transitions embedded within other activities to provide negative examples. UCI HAPT supplied clean transition labels and multi-activity context, but only from young adults aged 19 to 48. </w:t>
      </w:r>
      <w:proofErr w:type="spellStart"/>
      <w:r>
        <w:t>SisFall</w:t>
      </w:r>
      <w:proofErr w:type="spellEnd"/>
      <w:r>
        <w:t xml:space="preserve"> supplied elderly subjects, but only isolated single-rep trials suitable for measuring detection sensitivity, not specificity. Random Forest's complete external failure is not evidence against the architecture. It is evidence that decision boundaries learned from one population do not transfer to another with fundamentally different movement dynamics.</w:t>
      </w:r>
    </w:p>
    <w:p w14:paraId="74ADC08A" w14:textId="77777777" w:rsidR="006C2045" w:rsidRDefault="006C2045" w:rsidP="006C2045">
      <w:pPr>
        <w:pStyle w:val="font-claude-response-body"/>
      </w:pPr>
      <w:r>
        <w:t xml:space="preserve">The quality assessment layer, which requires no ML, produced the most immediately actionable outputs. Six per-rep indicators, each grounded in published clinical findings, yielded physiologically plausible values across both datasets. The negative correlation between time-per-rep and peak acceleration (r = -0.40, p = 0.029) confirmed expected biomechanics. Cross-dataset comparison revealed that movement speed dominated age for single-rep peak metrics: elderly fast trials exceeded young adult values. Variability and fatigue indicators tracking performance </w:t>
      </w:r>
      <w:r>
        <w:lastRenderedPageBreak/>
        <w:t>across reps are likely more sensitive to age-related decline, and these are precisely the dimensions invisible to standard rep counting.</w:t>
      </w:r>
    </w:p>
    <w:p w14:paraId="48C0632C" w14:textId="77777777" w:rsidR="006C2045" w:rsidRDefault="006C2045" w:rsidP="006C2045">
      <w:pPr>
        <w:pStyle w:val="font-claude-response-body"/>
      </w:pPr>
      <w:r>
        <w:t>For a controlled, user-initiated test, rule-based signal processing and clinical thresholds may be more appropriate than ML classification at this stage. ML becomes necessary when detecting sit-to-stands from unconstrained daily activity, where the system must distinguish transitions from walking, stair climbing, or postural adjustments. Reaching that point requires purpose-collected data.</w:t>
      </w:r>
    </w:p>
    <w:p w14:paraId="17A95E30" w14:textId="1927690F" w:rsidR="006C2045" w:rsidRDefault="006C2045" w:rsidP="006C2045">
      <w:pPr>
        <w:pStyle w:val="font-claude-response-body"/>
      </w:pPr>
      <w:r>
        <w:t xml:space="preserve">Future work should address four priorities. First, and most critically, training and validation data must be collected under the actual 30-second chair stand test protocol with elderly participants and Fried phenotype labels. The absence of such a dataset is the primary bottleneck identified by this work. </w:t>
      </w:r>
      <w:r w:rsidR="0035003E">
        <w:t>Second, methods for improving cross-population generalization (whether through mixed-age training data, feature normalization across populations, or model recalibration), should be explored to determine whether Random Forest's strong internal performance can extend to elderly movement dynamics</w:t>
      </w:r>
      <w:r w:rsidR="00C051C0">
        <w:t xml:space="preserve">. </w:t>
      </w:r>
      <w:r>
        <w:t>Third, extending detection to continuous daily monitoring, where sit-to-stands are identified passively from routine activity, would enable longitudinal tracking without requiring users to perform a formal test. This is also the setting where ML classification becomes indispensable. Fourth, a clinical validation study comparing app-derived indicators against clinician-administered assessments would establish whether the quality metrics identified here, particularly variability and fatigue slope, carry independent predictive value for adverse outcomes.</w:t>
      </w:r>
    </w:p>
    <w:p w14:paraId="6048C0C3" w14:textId="77777777" w:rsidR="00702010" w:rsidRDefault="00702010">
      <w:pPr>
        <w:pStyle w:val="Heading2"/>
        <w:rPr>
          <w:rFonts w:ascii="Times New Roman" w:hAnsi="Times New Roman" w:cs="Times New Roman"/>
          <w:sz w:val="24"/>
          <w:szCs w:val="24"/>
        </w:rPr>
      </w:pPr>
    </w:p>
    <w:p w14:paraId="48C33A52" w14:textId="77777777" w:rsidR="00702010" w:rsidRDefault="00702010">
      <w:pPr>
        <w:pStyle w:val="Heading2"/>
        <w:rPr>
          <w:rFonts w:ascii="Times New Roman" w:hAnsi="Times New Roman" w:cs="Times New Roman"/>
          <w:sz w:val="24"/>
          <w:szCs w:val="24"/>
        </w:rPr>
      </w:pPr>
    </w:p>
    <w:p w14:paraId="370C193D" w14:textId="77777777" w:rsidR="00702010" w:rsidRDefault="00702010">
      <w:pPr>
        <w:pStyle w:val="Heading2"/>
        <w:rPr>
          <w:rFonts w:ascii="Times New Roman" w:hAnsi="Times New Roman" w:cs="Times New Roman"/>
          <w:sz w:val="24"/>
          <w:szCs w:val="24"/>
        </w:rPr>
      </w:pPr>
    </w:p>
    <w:p w14:paraId="03E95638" w14:textId="77777777" w:rsidR="00702010" w:rsidRDefault="00702010">
      <w:pPr>
        <w:pStyle w:val="Heading2"/>
        <w:rPr>
          <w:rFonts w:ascii="Times New Roman" w:hAnsi="Times New Roman" w:cs="Times New Roman"/>
          <w:sz w:val="24"/>
          <w:szCs w:val="24"/>
        </w:rPr>
      </w:pPr>
    </w:p>
    <w:p w14:paraId="13A48E75" w14:textId="77777777" w:rsidR="00702010" w:rsidRDefault="00702010">
      <w:pPr>
        <w:pStyle w:val="Heading2"/>
        <w:rPr>
          <w:rFonts w:ascii="Times New Roman" w:hAnsi="Times New Roman" w:cs="Times New Roman"/>
          <w:sz w:val="24"/>
          <w:szCs w:val="24"/>
        </w:rPr>
      </w:pPr>
    </w:p>
    <w:p w14:paraId="4C55833A" w14:textId="77777777" w:rsidR="00702010" w:rsidRDefault="00702010">
      <w:pPr>
        <w:pStyle w:val="Heading2"/>
        <w:rPr>
          <w:rFonts w:ascii="Times New Roman" w:hAnsi="Times New Roman" w:cs="Times New Roman"/>
          <w:sz w:val="24"/>
          <w:szCs w:val="24"/>
        </w:rPr>
      </w:pPr>
    </w:p>
    <w:p w14:paraId="72FD91F1" w14:textId="77777777" w:rsidR="00702010" w:rsidRDefault="00702010">
      <w:pPr>
        <w:pStyle w:val="Heading2"/>
        <w:rPr>
          <w:rFonts w:ascii="Times New Roman" w:hAnsi="Times New Roman" w:cs="Times New Roman"/>
          <w:sz w:val="24"/>
          <w:szCs w:val="24"/>
        </w:rPr>
      </w:pPr>
    </w:p>
    <w:p w14:paraId="71ACC8B5" w14:textId="77777777" w:rsidR="00702010" w:rsidRDefault="00702010">
      <w:pPr>
        <w:pStyle w:val="Heading2"/>
        <w:rPr>
          <w:rFonts w:ascii="Times New Roman" w:hAnsi="Times New Roman" w:cs="Times New Roman"/>
          <w:sz w:val="24"/>
          <w:szCs w:val="24"/>
        </w:rPr>
      </w:pPr>
    </w:p>
    <w:p w14:paraId="723D5B60" w14:textId="77777777" w:rsidR="00702010" w:rsidRDefault="00702010">
      <w:pPr>
        <w:pStyle w:val="Heading2"/>
        <w:rPr>
          <w:rFonts w:ascii="Times New Roman" w:hAnsi="Times New Roman" w:cs="Times New Roman"/>
          <w:sz w:val="24"/>
          <w:szCs w:val="24"/>
        </w:rPr>
      </w:pPr>
    </w:p>
    <w:p w14:paraId="67DF5D22" w14:textId="77777777" w:rsidR="00702010" w:rsidRDefault="00702010">
      <w:pPr>
        <w:pStyle w:val="Heading2"/>
        <w:rPr>
          <w:rFonts w:ascii="Times New Roman" w:hAnsi="Times New Roman" w:cs="Times New Roman"/>
          <w:sz w:val="24"/>
          <w:szCs w:val="24"/>
        </w:rPr>
      </w:pPr>
    </w:p>
    <w:p w14:paraId="783CC28A" w14:textId="77777777" w:rsidR="00702010" w:rsidRDefault="00702010">
      <w:pPr>
        <w:pStyle w:val="Heading2"/>
        <w:rPr>
          <w:rFonts w:ascii="Times New Roman" w:hAnsi="Times New Roman" w:cs="Times New Roman"/>
          <w:sz w:val="24"/>
          <w:szCs w:val="24"/>
        </w:rPr>
      </w:pPr>
    </w:p>
    <w:p w14:paraId="7837B00E" w14:textId="77777777" w:rsidR="00702010" w:rsidRDefault="00702010">
      <w:pPr>
        <w:pStyle w:val="Heading2"/>
        <w:rPr>
          <w:rFonts w:ascii="Times New Roman" w:hAnsi="Times New Roman" w:cs="Times New Roman"/>
          <w:sz w:val="24"/>
          <w:szCs w:val="24"/>
        </w:rPr>
      </w:pPr>
    </w:p>
    <w:p w14:paraId="7AA8F372" w14:textId="77777777" w:rsidR="00702010" w:rsidRDefault="00702010">
      <w:pPr>
        <w:pStyle w:val="Heading2"/>
        <w:rPr>
          <w:rFonts w:ascii="Times New Roman" w:hAnsi="Times New Roman" w:cs="Times New Roman"/>
          <w:sz w:val="24"/>
          <w:szCs w:val="24"/>
        </w:rPr>
      </w:pPr>
    </w:p>
    <w:p w14:paraId="1CFABEF4" w14:textId="0B69F356" w:rsidR="00C7518C" w:rsidRDefault="00000000">
      <w:pPr>
        <w:pStyle w:val="Heading2"/>
        <w:rPr>
          <w:rFonts w:ascii="Times New Roman" w:hAnsi="Times New Roman" w:cs="Times New Roman"/>
          <w:sz w:val="24"/>
          <w:szCs w:val="24"/>
        </w:rPr>
      </w:pPr>
      <w:r w:rsidRPr="004C49AC">
        <w:rPr>
          <w:rFonts w:ascii="Times New Roman" w:hAnsi="Times New Roman" w:cs="Times New Roman"/>
          <w:sz w:val="24"/>
          <w:szCs w:val="24"/>
        </w:rPr>
        <w:lastRenderedPageBreak/>
        <w:t>References</w:t>
      </w:r>
    </w:p>
    <w:p w14:paraId="22D7D09F" w14:textId="77777777" w:rsidR="00702010" w:rsidRDefault="00702010" w:rsidP="00702010">
      <w:pPr>
        <w:pStyle w:val="font-claude-response-body"/>
      </w:pPr>
      <w:r>
        <w:t xml:space="preserve">[1] L. P. Fried, C. M. Tangen, J. Walston, A. B. Newman, C. Hirsch, J. Gottdiener, </w:t>
      </w:r>
      <w:r>
        <w:rPr>
          <w:rStyle w:val="Emphasis"/>
        </w:rPr>
        <w:t>et al.</w:t>
      </w:r>
      <w:r>
        <w:t xml:space="preserve">, "Frailty in older adults: Evidence for a phenotype," </w:t>
      </w:r>
      <w:r>
        <w:rPr>
          <w:rStyle w:val="Emphasis"/>
        </w:rPr>
        <w:t xml:space="preserve">J. </w:t>
      </w:r>
      <w:proofErr w:type="spellStart"/>
      <w:r>
        <w:rPr>
          <w:rStyle w:val="Emphasis"/>
        </w:rPr>
        <w:t>Gerontol</w:t>
      </w:r>
      <w:proofErr w:type="spellEnd"/>
      <w:r>
        <w:rPr>
          <w:rStyle w:val="Emphasis"/>
        </w:rPr>
        <w:t>. A Biol. Sci. Med. Sci.</w:t>
      </w:r>
      <w:r>
        <w:t>, vol. 56, no. 3, pp. M146–M156, 2001.</w:t>
      </w:r>
    </w:p>
    <w:p w14:paraId="4C6B1D02" w14:textId="77777777" w:rsidR="00702010" w:rsidRDefault="00702010" w:rsidP="00702010">
      <w:pPr>
        <w:pStyle w:val="font-claude-response-body"/>
      </w:pPr>
      <w:r>
        <w:t xml:space="preserve">[2] N. Millor, P. Lecumberri, M. Gómez, A. Martínez-Ramírez, and M. Izquierdo, "An evaluation of the 30-s chair stand test in older adults: Frailty detection based on kinematic parameters from a single inertial unit," </w:t>
      </w:r>
      <w:r>
        <w:rPr>
          <w:rStyle w:val="Emphasis"/>
        </w:rPr>
        <w:t xml:space="preserve">J. </w:t>
      </w:r>
      <w:proofErr w:type="spellStart"/>
      <w:r>
        <w:rPr>
          <w:rStyle w:val="Emphasis"/>
        </w:rPr>
        <w:t>NeuroEng</w:t>
      </w:r>
      <w:proofErr w:type="spellEnd"/>
      <w:r>
        <w:rPr>
          <w:rStyle w:val="Emphasis"/>
        </w:rPr>
        <w:t xml:space="preserve">. </w:t>
      </w:r>
      <w:proofErr w:type="spellStart"/>
      <w:r>
        <w:rPr>
          <w:rStyle w:val="Emphasis"/>
        </w:rPr>
        <w:t>Rehabil</w:t>
      </w:r>
      <w:proofErr w:type="spellEnd"/>
      <w:r>
        <w:rPr>
          <w:rStyle w:val="Emphasis"/>
        </w:rPr>
        <w:t>.</w:t>
      </w:r>
      <w:r>
        <w:t>, vol. 10, p. 86, 2013.</w:t>
      </w:r>
    </w:p>
    <w:p w14:paraId="4444A6E0" w14:textId="77777777" w:rsidR="00702010" w:rsidRDefault="00702010" w:rsidP="00702010">
      <w:pPr>
        <w:pStyle w:val="font-claude-response-body"/>
      </w:pPr>
      <w:r>
        <w:t xml:space="preserve">[3] J. </w:t>
      </w:r>
      <w:proofErr w:type="spellStart"/>
      <w:r>
        <w:t>Alcázar</w:t>
      </w:r>
      <w:proofErr w:type="spellEnd"/>
      <w:r>
        <w:t xml:space="preserve"> </w:t>
      </w:r>
      <w:r>
        <w:rPr>
          <w:rStyle w:val="Emphasis"/>
        </w:rPr>
        <w:t>et al.</w:t>
      </w:r>
      <w:r>
        <w:t xml:space="preserve">, "Relative sit-to-stand power: Aging trajectories, functionally relevant cut-off points, and normative data in a large European cohort," </w:t>
      </w:r>
      <w:r>
        <w:rPr>
          <w:rStyle w:val="Emphasis"/>
        </w:rPr>
        <w:t>J. Cachexia Sarcopenia Muscle</w:t>
      </w:r>
      <w:r>
        <w:t>, vol. 12, no. 4, pp. 1013–1028, 2021.</w:t>
      </w:r>
    </w:p>
    <w:p w14:paraId="18C2AE5A" w14:textId="77777777" w:rsidR="00702010" w:rsidRDefault="00702010" w:rsidP="00702010">
      <w:pPr>
        <w:pStyle w:val="font-claude-response-body"/>
      </w:pPr>
      <w:r>
        <w:t>[4] A. Galán-</w:t>
      </w:r>
      <w:proofErr w:type="spellStart"/>
      <w:r>
        <w:t>Mercant</w:t>
      </w:r>
      <w:proofErr w:type="spellEnd"/>
      <w:r>
        <w:t xml:space="preserve"> and A. I. Cuesta-Vargas, "Clinical frailty syndrome assessment using inertial sensors embedded in smartphones," </w:t>
      </w:r>
      <w:r>
        <w:rPr>
          <w:rStyle w:val="Emphasis"/>
        </w:rPr>
        <w:t>Physiol. Meas.</w:t>
      </w:r>
      <w:r>
        <w:t>, vol. 35, no. 10, pp. 2157–2170, 2014.</w:t>
      </w:r>
    </w:p>
    <w:p w14:paraId="7FA77767" w14:textId="77777777" w:rsidR="00702010" w:rsidRDefault="00702010" w:rsidP="00702010">
      <w:pPr>
        <w:pStyle w:val="font-claude-response-body"/>
      </w:pPr>
      <w:r>
        <w:t xml:space="preserve">[5] R. C. Van </w:t>
      </w:r>
      <w:proofErr w:type="spellStart"/>
      <w:r>
        <w:t>Lummel</w:t>
      </w:r>
      <w:proofErr w:type="spellEnd"/>
      <w:r>
        <w:t xml:space="preserve"> </w:t>
      </w:r>
      <w:r>
        <w:rPr>
          <w:rStyle w:val="Emphasis"/>
        </w:rPr>
        <w:t>et al.</w:t>
      </w:r>
      <w:r>
        <w:t xml:space="preserve">, "The instrumented sit-to-stand test has greater clinical relevance than the manually recorded sit-to-stand test in older adults," </w:t>
      </w:r>
      <w:proofErr w:type="spellStart"/>
      <w:r>
        <w:rPr>
          <w:rStyle w:val="Emphasis"/>
        </w:rPr>
        <w:t>PLoS</w:t>
      </w:r>
      <w:proofErr w:type="spellEnd"/>
      <w:r>
        <w:rPr>
          <w:rStyle w:val="Emphasis"/>
        </w:rPr>
        <w:t xml:space="preserve"> ONE</w:t>
      </w:r>
      <w:r>
        <w:t>, vol. 11, no. 7, e0157968, 2016.</w:t>
      </w:r>
    </w:p>
    <w:p w14:paraId="569C99E9" w14:textId="77777777" w:rsidR="00702010" w:rsidRDefault="00702010" w:rsidP="00702010">
      <w:pPr>
        <w:pStyle w:val="font-claude-response-body"/>
      </w:pPr>
      <w:r>
        <w:t>[6] A. Galán-</w:t>
      </w:r>
      <w:proofErr w:type="spellStart"/>
      <w:r>
        <w:t>Mercant</w:t>
      </w:r>
      <w:proofErr w:type="spellEnd"/>
      <w:r>
        <w:t xml:space="preserve"> and A. I. Cuesta-Vargas, "Mobile Romberg test assessment," </w:t>
      </w:r>
      <w:r>
        <w:rPr>
          <w:rStyle w:val="Emphasis"/>
        </w:rPr>
        <w:t>BMC Res. Notes</w:t>
      </w:r>
      <w:r>
        <w:t>, vol. 7, p. 640, 2014.</w:t>
      </w:r>
    </w:p>
    <w:p w14:paraId="50C96446" w14:textId="77777777" w:rsidR="00702010" w:rsidRDefault="00702010" w:rsidP="00702010">
      <w:pPr>
        <w:pStyle w:val="font-claude-response-body"/>
      </w:pPr>
      <w:r>
        <w:t xml:space="preserve">[7] A. Sher, M. Rashid, A. Lotfi, F. Povina, and O. </w:t>
      </w:r>
      <w:proofErr w:type="spellStart"/>
      <w:r>
        <w:t>Akanyeti</w:t>
      </w:r>
      <w:proofErr w:type="spellEnd"/>
      <w:r>
        <w:t xml:space="preserve">, "Cycle metrics and strategy detection for automated chair sit-to-stand test analysis employing a single smartphone," </w:t>
      </w:r>
      <w:r>
        <w:rPr>
          <w:rStyle w:val="Emphasis"/>
        </w:rPr>
        <w:t>Ann. Biomed. Eng.</w:t>
      </w:r>
      <w:r>
        <w:t xml:space="preserve">, Dec. 2025, </w:t>
      </w:r>
      <w:proofErr w:type="spellStart"/>
      <w:r>
        <w:t>doi</w:t>
      </w:r>
      <w:proofErr w:type="spellEnd"/>
      <w:r>
        <w:t>: 10.1007/s10439-025-03943-4.</w:t>
      </w:r>
    </w:p>
    <w:p w14:paraId="5918A918" w14:textId="77777777" w:rsidR="00702010" w:rsidRDefault="00702010" w:rsidP="00702010">
      <w:pPr>
        <w:pStyle w:val="font-claude-response-body"/>
      </w:pPr>
      <w:r>
        <w:t xml:space="preserve">[8] C. Park </w:t>
      </w:r>
      <w:r>
        <w:rPr>
          <w:rStyle w:val="Emphasis"/>
        </w:rPr>
        <w:t>et al.</w:t>
      </w:r>
      <w:r>
        <w:t xml:space="preserve">, "Optimal sensor-based frailty phenotype assessment using wearable sensors," </w:t>
      </w:r>
      <w:r>
        <w:rPr>
          <w:rStyle w:val="Emphasis"/>
        </w:rPr>
        <w:t>IEEE J. Biomed. Health Inform.</w:t>
      </w:r>
      <w:r>
        <w:t>, vol. 25, no. 8, pp. 3057–3067, 2021.</w:t>
      </w:r>
    </w:p>
    <w:p w14:paraId="221BEB7E" w14:textId="77777777" w:rsidR="00702010" w:rsidRDefault="00702010" w:rsidP="00702010">
      <w:pPr>
        <w:pStyle w:val="font-claude-response-body"/>
      </w:pPr>
      <w:r>
        <w:t xml:space="preserve">[9] J. L. Reyes-Ortiz </w:t>
      </w:r>
      <w:r>
        <w:rPr>
          <w:rStyle w:val="Emphasis"/>
        </w:rPr>
        <w:t>et al.</w:t>
      </w:r>
      <w:r>
        <w:t xml:space="preserve">, "Transition-aware human activity recognition using smartphones," </w:t>
      </w:r>
      <w:r>
        <w:rPr>
          <w:rStyle w:val="Emphasis"/>
        </w:rPr>
        <w:t>Neurocomputing</w:t>
      </w:r>
      <w:r>
        <w:t>, vol. 171, pp. 754–767, 2015.</w:t>
      </w:r>
    </w:p>
    <w:p w14:paraId="2425F839" w14:textId="77777777" w:rsidR="00702010" w:rsidRDefault="00702010" w:rsidP="00702010">
      <w:pPr>
        <w:pStyle w:val="font-claude-response-body"/>
      </w:pPr>
      <w:r>
        <w:t xml:space="preserve">[10] A. </w:t>
      </w:r>
      <w:proofErr w:type="spellStart"/>
      <w:r>
        <w:t>Sucerquia</w:t>
      </w:r>
      <w:proofErr w:type="spellEnd"/>
      <w:r>
        <w:t>, J. D. López, and J. F. Vargas-Bonilla, "</w:t>
      </w:r>
      <w:proofErr w:type="spellStart"/>
      <w:r>
        <w:t>SisFall</w:t>
      </w:r>
      <w:proofErr w:type="spellEnd"/>
      <w:r>
        <w:t xml:space="preserve">: A fall and movement dataset," </w:t>
      </w:r>
      <w:r>
        <w:rPr>
          <w:rStyle w:val="Emphasis"/>
        </w:rPr>
        <w:t>Sensors</w:t>
      </w:r>
      <w:r>
        <w:t>, vol. 17, no. 1, p. 198, 2017.</w:t>
      </w:r>
    </w:p>
    <w:p w14:paraId="22A80516" w14:textId="77777777" w:rsidR="00702010" w:rsidRDefault="00702010">
      <w:pPr>
        <w:pStyle w:val="Heading2"/>
        <w:rPr>
          <w:rFonts w:ascii="Times New Roman" w:hAnsi="Times New Roman" w:cs="Times New Roman"/>
          <w:sz w:val="24"/>
          <w:szCs w:val="24"/>
        </w:rPr>
      </w:pPr>
    </w:p>
    <w:p w14:paraId="5173D7E8" w14:textId="3E904803" w:rsidR="00C7518C" w:rsidRPr="004C49AC" w:rsidRDefault="00C7518C">
      <w:pPr>
        <w:spacing w:after="200"/>
        <w:rPr>
          <w:rFonts w:ascii="Times New Roman" w:hAnsi="Times New Roman" w:cs="Times New Roman"/>
          <w:sz w:val="24"/>
          <w:szCs w:val="24"/>
        </w:rPr>
      </w:pPr>
    </w:p>
    <w:sectPr w:rsidR="00C7518C" w:rsidRPr="004C49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5C0C"/>
    <w:multiLevelType w:val="hybridMultilevel"/>
    <w:tmpl w:val="DE8C453A"/>
    <w:lvl w:ilvl="0" w:tplc="39FA79AC">
      <w:start w:val="1"/>
      <w:numFmt w:val="bullet"/>
      <w:lvlText w:val="●"/>
      <w:lvlJc w:val="left"/>
      <w:pPr>
        <w:ind w:left="720" w:hanging="360"/>
      </w:pPr>
    </w:lvl>
    <w:lvl w:ilvl="1" w:tplc="3FD64D80">
      <w:start w:val="1"/>
      <w:numFmt w:val="bullet"/>
      <w:lvlText w:val="○"/>
      <w:lvlJc w:val="left"/>
      <w:pPr>
        <w:ind w:left="1440" w:hanging="360"/>
      </w:pPr>
    </w:lvl>
    <w:lvl w:ilvl="2" w:tplc="AB66D594">
      <w:start w:val="1"/>
      <w:numFmt w:val="bullet"/>
      <w:lvlText w:val="■"/>
      <w:lvlJc w:val="left"/>
      <w:pPr>
        <w:ind w:left="2160" w:hanging="360"/>
      </w:pPr>
    </w:lvl>
    <w:lvl w:ilvl="3" w:tplc="30A0F4D6">
      <w:start w:val="1"/>
      <w:numFmt w:val="bullet"/>
      <w:lvlText w:val="●"/>
      <w:lvlJc w:val="left"/>
      <w:pPr>
        <w:ind w:left="2880" w:hanging="360"/>
      </w:pPr>
    </w:lvl>
    <w:lvl w:ilvl="4" w:tplc="5010D856">
      <w:start w:val="1"/>
      <w:numFmt w:val="bullet"/>
      <w:lvlText w:val="○"/>
      <w:lvlJc w:val="left"/>
      <w:pPr>
        <w:ind w:left="3600" w:hanging="360"/>
      </w:pPr>
    </w:lvl>
    <w:lvl w:ilvl="5" w:tplc="D7F6A2AE">
      <w:start w:val="1"/>
      <w:numFmt w:val="bullet"/>
      <w:lvlText w:val="■"/>
      <w:lvlJc w:val="left"/>
      <w:pPr>
        <w:ind w:left="4320" w:hanging="360"/>
      </w:pPr>
    </w:lvl>
    <w:lvl w:ilvl="6" w:tplc="64AA60E2">
      <w:start w:val="1"/>
      <w:numFmt w:val="bullet"/>
      <w:lvlText w:val="●"/>
      <w:lvlJc w:val="left"/>
      <w:pPr>
        <w:ind w:left="5040" w:hanging="360"/>
      </w:pPr>
    </w:lvl>
    <w:lvl w:ilvl="7" w:tplc="596AD02A">
      <w:start w:val="1"/>
      <w:numFmt w:val="bullet"/>
      <w:lvlText w:val="●"/>
      <w:lvlJc w:val="left"/>
      <w:pPr>
        <w:ind w:left="5760" w:hanging="360"/>
      </w:pPr>
    </w:lvl>
    <w:lvl w:ilvl="8" w:tplc="8E200AD2">
      <w:start w:val="1"/>
      <w:numFmt w:val="bullet"/>
      <w:lvlText w:val="●"/>
      <w:lvlJc w:val="left"/>
      <w:pPr>
        <w:ind w:left="6480" w:hanging="360"/>
      </w:pPr>
    </w:lvl>
  </w:abstractNum>
  <w:abstractNum w:abstractNumId="1" w15:restartNumberingAfterBreak="0">
    <w:nsid w:val="434454E0"/>
    <w:multiLevelType w:val="hybridMultilevel"/>
    <w:tmpl w:val="BBE008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86684518">
    <w:abstractNumId w:val="0"/>
    <w:lvlOverride w:ilvl="0">
      <w:startOverride w:val="1"/>
    </w:lvlOverride>
  </w:num>
  <w:num w:numId="2" w16cid:durableId="2111927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18C"/>
    <w:rsid w:val="00076BF4"/>
    <w:rsid w:val="00091DFB"/>
    <w:rsid w:val="000A4AB5"/>
    <w:rsid w:val="000D469A"/>
    <w:rsid w:val="000F422D"/>
    <w:rsid w:val="000F4DB1"/>
    <w:rsid w:val="00100F28"/>
    <w:rsid w:val="00110ABC"/>
    <w:rsid w:val="00121AA2"/>
    <w:rsid w:val="00121F51"/>
    <w:rsid w:val="001412EC"/>
    <w:rsid w:val="00165930"/>
    <w:rsid w:val="00193C29"/>
    <w:rsid w:val="001B2ABC"/>
    <w:rsid w:val="001C3D1C"/>
    <w:rsid w:val="001F6C05"/>
    <w:rsid w:val="001F7497"/>
    <w:rsid w:val="0020444D"/>
    <w:rsid w:val="0025288E"/>
    <w:rsid w:val="0025354A"/>
    <w:rsid w:val="002617F5"/>
    <w:rsid w:val="002659FF"/>
    <w:rsid w:val="00285FEA"/>
    <w:rsid w:val="002E5E34"/>
    <w:rsid w:val="002F4EA2"/>
    <w:rsid w:val="0032600A"/>
    <w:rsid w:val="00337EA4"/>
    <w:rsid w:val="0035003E"/>
    <w:rsid w:val="003550DE"/>
    <w:rsid w:val="00374202"/>
    <w:rsid w:val="00375425"/>
    <w:rsid w:val="003A626F"/>
    <w:rsid w:val="003C3BC6"/>
    <w:rsid w:val="00413489"/>
    <w:rsid w:val="00415220"/>
    <w:rsid w:val="004249AD"/>
    <w:rsid w:val="00430610"/>
    <w:rsid w:val="00437A9C"/>
    <w:rsid w:val="0044522F"/>
    <w:rsid w:val="00451EB8"/>
    <w:rsid w:val="004871AE"/>
    <w:rsid w:val="004B2216"/>
    <w:rsid w:val="004B7F57"/>
    <w:rsid w:val="004C49AC"/>
    <w:rsid w:val="004F633C"/>
    <w:rsid w:val="004F6FEA"/>
    <w:rsid w:val="0050029D"/>
    <w:rsid w:val="0050029E"/>
    <w:rsid w:val="00506C32"/>
    <w:rsid w:val="00513BED"/>
    <w:rsid w:val="00514B5D"/>
    <w:rsid w:val="00560E7F"/>
    <w:rsid w:val="00563050"/>
    <w:rsid w:val="00574B96"/>
    <w:rsid w:val="0057535E"/>
    <w:rsid w:val="00582B0D"/>
    <w:rsid w:val="00591F17"/>
    <w:rsid w:val="005B3064"/>
    <w:rsid w:val="006269E0"/>
    <w:rsid w:val="00630B0E"/>
    <w:rsid w:val="0063590D"/>
    <w:rsid w:val="00640F7E"/>
    <w:rsid w:val="00693B66"/>
    <w:rsid w:val="006B1790"/>
    <w:rsid w:val="006B202F"/>
    <w:rsid w:val="006C2045"/>
    <w:rsid w:val="006E3EC2"/>
    <w:rsid w:val="007012C6"/>
    <w:rsid w:val="00702010"/>
    <w:rsid w:val="00716A63"/>
    <w:rsid w:val="00743481"/>
    <w:rsid w:val="007A36E7"/>
    <w:rsid w:val="007B3139"/>
    <w:rsid w:val="007C394F"/>
    <w:rsid w:val="007C5EAE"/>
    <w:rsid w:val="007F03E6"/>
    <w:rsid w:val="007F3035"/>
    <w:rsid w:val="007F4AF4"/>
    <w:rsid w:val="007F65DE"/>
    <w:rsid w:val="00817FD7"/>
    <w:rsid w:val="008217F6"/>
    <w:rsid w:val="00826C67"/>
    <w:rsid w:val="00840726"/>
    <w:rsid w:val="00861810"/>
    <w:rsid w:val="0086295D"/>
    <w:rsid w:val="00880125"/>
    <w:rsid w:val="008869F8"/>
    <w:rsid w:val="00893AA4"/>
    <w:rsid w:val="008F13C0"/>
    <w:rsid w:val="009014D9"/>
    <w:rsid w:val="00915B1E"/>
    <w:rsid w:val="0099376D"/>
    <w:rsid w:val="009C697D"/>
    <w:rsid w:val="009C774F"/>
    <w:rsid w:val="00A175D6"/>
    <w:rsid w:val="00A3275E"/>
    <w:rsid w:val="00A33E19"/>
    <w:rsid w:val="00A44349"/>
    <w:rsid w:val="00A466E5"/>
    <w:rsid w:val="00A71E2A"/>
    <w:rsid w:val="00A75B16"/>
    <w:rsid w:val="00A7777A"/>
    <w:rsid w:val="00A97809"/>
    <w:rsid w:val="00AA47EC"/>
    <w:rsid w:val="00AF4937"/>
    <w:rsid w:val="00B17BCF"/>
    <w:rsid w:val="00B3219B"/>
    <w:rsid w:val="00B40420"/>
    <w:rsid w:val="00B417DF"/>
    <w:rsid w:val="00B438BD"/>
    <w:rsid w:val="00B4648A"/>
    <w:rsid w:val="00B54D47"/>
    <w:rsid w:val="00B74BA9"/>
    <w:rsid w:val="00B7519A"/>
    <w:rsid w:val="00B760D0"/>
    <w:rsid w:val="00B904BB"/>
    <w:rsid w:val="00B9444F"/>
    <w:rsid w:val="00BA5905"/>
    <w:rsid w:val="00BB5870"/>
    <w:rsid w:val="00BD6721"/>
    <w:rsid w:val="00BE310E"/>
    <w:rsid w:val="00C051C0"/>
    <w:rsid w:val="00C154AD"/>
    <w:rsid w:val="00C2469F"/>
    <w:rsid w:val="00C307D8"/>
    <w:rsid w:val="00C60596"/>
    <w:rsid w:val="00C72EF9"/>
    <w:rsid w:val="00C7518C"/>
    <w:rsid w:val="00C77722"/>
    <w:rsid w:val="00C9077E"/>
    <w:rsid w:val="00C970D8"/>
    <w:rsid w:val="00CA0270"/>
    <w:rsid w:val="00CD3D47"/>
    <w:rsid w:val="00CD4FA3"/>
    <w:rsid w:val="00D02894"/>
    <w:rsid w:val="00D13973"/>
    <w:rsid w:val="00D25DF1"/>
    <w:rsid w:val="00D51263"/>
    <w:rsid w:val="00D71A81"/>
    <w:rsid w:val="00D7235F"/>
    <w:rsid w:val="00D7716F"/>
    <w:rsid w:val="00D774E8"/>
    <w:rsid w:val="00D80B70"/>
    <w:rsid w:val="00D81F40"/>
    <w:rsid w:val="00D93616"/>
    <w:rsid w:val="00DB27F8"/>
    <w:rsid w:val="00DC6AD7"/>
    <w:rsid w:val="00DD41E0"/>
    <w:rsid w:val="00DE1CE7"/>
    <w:rsid w:val="00DE3D93"/>
    <w:rsid w:val="00DE7734"/>
    <w:rsid w:val="00E02C74"/>
    <w:rsid w:val="00E071A8"/>
    <w:rsid w:val="00E52541"/>
    <w:rsid w:val="00E53123"/>
    <w:rsid w:val="00E62167"/>
    <w:rsid w:val="00E8163F"/>
    <w:rsid w:val="00E95633"/>
    <w:rsid w:val="00ED060D"/>
    <w:rsid w:val="00ED2F01"/>
    <w:rsid w:val="00F15BC3"/>
    <w:rsid w:val="00F15CF6"/>
    <w:rsid w:val="00F44B9C"/>
    <w:rsid w:val="00F50E4A"/>
    <w:rsid w:val="00FD2A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E5CA92C"/>
  <w15:docId w15:val="{5B8A6AE8-D35D-4C4E-8EF1-40DA3A80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4C49A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4C49AC"/>
    <w:rPr>
      <w:i/>
      <w:iCs/>
    </w:rPr>
  </w:style>
  <w:style w:type="character" w:styleId="HTMLCode">
    <w:name w:val="HTML Code"/>
    <w:basedOn w:val="DefaultParagraphFont"/>
    <w:uiPriority w:val="99"/>
    <w:semiHidden/>
    <w:unhideWhenUsed/>
    <w:rsid w:val="00B438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Ozair Ismail</cp:lastModifiedBy>
  <cp:revision>172</cp:revision>
  <dcterms:created xsi:type="dcterms:W3CDTF">2026-02-17T00:29:00Z</dcterms:created>
  <dcterms:modified xsi:type="dcterms:W3CDTF">2026-02-19T01:34:00Z</dcterms:modified>
</cp:coreProperties>
</file>