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auto">
    <v:background>
      <v:fill r:id="rId2" type="tile"/>
    </v:background>
  </w:background>
  <w:body>
    <w:p>
      <w:pPr>
        <w:pStyle w:val="Page"/>
        <w:rPr/>
      </w:pPr>
      <w:r>
        <w:rPr/>
        <w:t xml:space="preserve">              </w:t>
      </w:r>
    </w:p>
    <w:p>
      <w:pPr>
        <w:pStyle w:val="Page"/>
        <w:rPr/>
      </w:pPr>
      <w:r>
        <w:rPr/>
      </w:r>
    </w:p>
    <w:p>
      <w:pPr>
        <w:pStyle w:val="Page"/>
        <w:rPr/>
      </w:pPr>
      <w:r>
        <w:rPr/>
      </w:r>
    </w:p>
    <w:p>
      <w:pPr>
        <w:pStyle w:val="Page"/>
        <w:rPr/>
      </w:pPr>
      <w:r>
        <w:rPr/>
      </w:r>
    </w:p>
    <w:p>
      <w:pPr>
        <w:pStyle w:val="Page"/>
        <w:rPr/>
      </w:pPr>
      <w:r>
        <w:rPr/>
      </w:r>
    </w:p>
    <w:p>
      <w:pPr>
        <w:pStyle w:val="Page"/>
        <w:rPr/>
      </w:pPr>
      <w:r>
        <w:rPr/>
      </w:r>
    </w:p>
    <w:p>
      <w:pPr>
        <w:pStyle w:val="Page"/>
        <w:rPr/>
      </w:pPr>
      <w:r>
        <w:rPr/>
      </w:r>
    </w:p>
    <w:p>
      <w:pPr>
        <w:pStyle w:val="Page"/>
        <w:rPr/>
      </w:pPr>
      <w:r>
        <w:rPr/>
      </w:r>
    </w:p>
    <w:p>
      <w:pPr>
        <w:pStyle w:val="Page"/>
        <w:rPr/>
      </w:pPr>
      <w:r>
        <w:rPr/>
        <w:t xml:space="preserve">                                       </w:t>
      </w:r>
      <w:r>
        <w:rPr>
          <w:rFonts w:ascii="Michroma" w:hAnsi="Michroma"/>
          <w:color w:val="1A237E"/>
          <w:sz w:val="64"/>
          <w:szCs w:val="64"/>
        </w:rPr>
        <w:t xml:space="preserve">   </w:t>
      </w:r>
      <w:r>
        <w:rPr>
          <w:rFonts w:ascii="Michroma" w:hAnsi="Michroma"/>
          <w:b/>
          <w:bCs/>
          <w:i/>
          <w:iCs/>
          <w:color w:val="1A237E"/>
          <w:sz w:val="84"/>
          <w:szCs w:val="84"/>
        </w:rPr>
        <w:t>NEFET</w:t>
      </w:r>
    </w:p>
    <w:p>
      <w:pPr>
        <w:pStyle w:val="Page"/>
        <w:rPr>
          <w:rFonts w:ascii="Michroma" w:hAnsi="Michroma"/>
          <w:color w:val="1A237E"/>
          <w:sz w:val="30"/>
          <w:szCs w:val="30"/>
        </w:rPr>
      </w:pPr>
      <w:r>
        <w:rPr>
          <w:rFonts w:ascii="Michroma" w:hAnsi="Michroma"/>
          <w:color w:val="1A237E"/>
          <w:sz w:val="30"/>
          <w:szCs w:val="30"/>
        </w:rPr>
        <w:t xml:space="preserve">             </w:t>
      </w:r>
      <w:r>
        <w:rPr>
          <w:rFonts w:ascii="Michroma" w:hAnsi="Michroma"/>
          <w:color w:val="1A237E"/>
          <w:sz w:val="30"/>
          <w:szCs w:val="30"/>
        </w:rPr>
        <w:t>Elis Bikhter, Nurzhan Dauletbaev,</w:t>
      </w:r>
    </w:p>
    <w:p>
      <w:pPr>
        <w:pStyle w:val="Page"/>
        <w:rPr>
          <w:rFonts w:ascii="Michroma" w:hAnsi="Michroma"/>
          <w:color w:val="1A237E"/>
          <w:sz w:val="30"/>
          <w:szCs w:val="30"/>
        </w:rPr>
      </w:pPr>
      <w:r>
        <w:rPr>
          <w:rFonts w:ascii="Michroma" w:hAnsi="Michroma"/>
          <w:color w:val="1A237E"/>
          <w:sz w:val="30"/>
          <w:szCs w:val="30"/>
        </w:rPr>
        <w:t xml:space="preserve">                     </w:t>
      </w:r>
      <w:r>
        <w:rPr>
          <w:rFonts w:ascii="Michroma" w:hAnsi="Michroma"/>
          <w:color w:val="1A237E"/>
          <w:sz w:val="30"/>
          <w:szCs w:val="30"/>
        </w:rPr>
        <w:t>Aisultan Turganbay, Karina Smuneva</w:t>
      </w:r>
    </w:p>
    <w:p>
      <w:pPr>
        <w:pStyle w:val="Page"/>
        <w:rPr>
          <w:rFonts w:ascii="Michroma" w:hAnsi="Michroma"/>
          <w:color w:val="1A237E"/>
          <w:sz w:val="30"/>
          <w:szCs w:val="30"/>
        </w:rPr>
      </w:pPr>
      <w:r>
        <w:rPr>
          <w:rFonts w:ascii="Michroma" w:hAnsi="Michroma"/>
          <w:color w:val="1A237E"/>
          <w:sz w:val="30"/>
          <w:szCs w:val="30"/>
        </w:rPr>
        <w:t xml:space="preserve">                              </w:t>
      </w:r>
      <w:r>
        <w:rPr>
          <w:rFonts w:ascii="Michroma" w:hAnsi="Michroma"/>
          <w:color w:val="1A237E"/>
          <w:sz w:val="30"/>
          <w:szCs w:val="30"/>
        </w:rPr>
        <w:t>KILC, 2026.</w:t>
      </w:r>
    </w:p>
    <w:p>
      <w:pPr>
        <w:pStyle w:val="Page"/>
        <w:rPr>
          <w:rFonts w:ascii="Michroma" w:hAnsi="Michroma"/>
          <w:color w:val="1A237E"/>
          <w:sz w:val="64"/>
          <w:szCs w:val="64"/>
        </w:rPr>
        <w:sectPr>
          <w:footerReference w:type="default" r:id="rId3"/>
          <w:type w:val="nextPage"/>
          <w:pgSz w:w="11906" w:h="16838"/>
          <w:pgMar w:left="1134" w:right="1134" w:gutter="0" w:header="0" w:top="1134" w:footer="1134" w:bottom="1700"/>
          <w:pgNumType w:fmt="decimal"/>
          <w:formProt w:val="false"/>
          <w:textDirection w:val="lrTb"/>
          <w:docGrid w:type="default" w:linePitch="600" w:charSpace="32768"/>
        </w:sectPr>
      </w:pPr>
      <w:r>
        <w:rPr>
          <w:rFonts w:ascii="Michroma" w:hAnsi="Michroma"/>
          <w:color w:val="1A237E"/>
          <w:sz w:val="64"/>
          <w:szCs w:val="64"/>
        </w:rPr>
      </w:r>
    </w:p>
    <w:p>
      <w:pPr>
        <w:pStyle w:val="TOCHeading"/>
        <w:rPr/>
      </w:pPr>
      <w:r>
        <w:rPr/>
        <w:t>Table of Contents</w:t>
      </w:r>
    </w:p>
    <w:p>
      <w:pPr>
        <w:pStyle w:val="TOC1"/>
        <w:tabs>
          <w:tab w:val="clear" w:pos="9638"/>
          <w:tab w:val="right" w:pos="9637" w:leader="dot"/>
        </w:tabs>
        <w:rPr/>
      </w:pPr>
      <w:hyperlink w:anchor="__RefHeading___Toc868_2830917912" w:tooltip="1. Project summary: The galaxies of AI">
        <w:r>
          <w:rPr>
            <w:rStyle w:val="IndexLink"/>
          </w:rPr>
          <w:t>1. Project summary: The galaxies of AI</w:t>
          <w:tab/>
          <w:t>2</w:t>
        </w:r>
      </w:hyperlink>
    </w:p>
    <w:p>
      <w:pPr>
        <w:pStyle w:val="TOC1"/>
        <w:tabs>
          <w:tab w:val="clear" w:pos="9638"/>
          <w:tab w:val="right" w:pos="9637" w:leader="dot"/>
        </w:tabs>
        <w:rPr/>
      </w:pPr>
      <w:hyperlink w:anchor="__RefHeading___Toc870_2830917912" w:tooltip="2. Description: Safety in Space">
        <w:r>
          <w:rPr>
            <w:rStyle w:val="IndexLink"/>
          </w:rPr>
          <w:t>2. Description: Safety in Space</w:t>
          <w:tab/>
          <w:t>2</w:t>
        </w:r>
      </w:hyperlink>
    </w:p>
    <w:p>
      <w:pPr>
        <w:pStyle w:val="TOC2"/>
        <w:tabs>
          <w:tab w:val="clear" w:pos="9355"/>
          <w:tab w:val="right" w:pos="9637" w:leader="dot"/>
        </w:tabs>
        <w:rPr/>
      </w:pPr>
      <w:hyperlink w:anchor="__RefHeading___Toc872_2830917912" w:tooltip="2.1 The Trunk: Spacecraft Structural Integrity">
        <w:r>
          <w:rPr>
            <w:rStyle w:val="IndexLink"/>
          </w:rPr>
          <w:t>2.1 The Trunk: Spacecraft Structural Integrity</w:t>
          <w:tab/>
          <w:t>3</w:t>
        </w:r>
      </w:hyperlink>
    </w:p>
    <w:p>
      <w:pPr>
        <w:pStyle w:val="TOC2"/>
        <w:tabs>
          <w:tab w:val="clear" w:pos="9355"/>
          <w:tab w:val="right" w:pos="9637" w:leader="dot"/>
        </w:tabs>
        <w:rPr/>
      </w:pPr>
      <w:hyperlink w:anchor="__RefHeading___Toc1355_2830917912" w:tooltip="2.2 The Legs: One-person spaceship">
        <w:r>
          <w:rPr>
            <w:rStyle w:val="IndexLink"/>
          </w:rPr>
          <w:t>2.2 The Legs: One-person spaceship</w:t>
          <w:tab/>
          <w:t>4</w:t>
        </w:r>
      </w:hyperlink>
    </w:p>
    <w:p>
      <w:pPr>
        <w:pStyle w:val="TOC2"/>
        <w:tabs>
          <w:tab w:val="clear" w:pos="9355"/>
          <w:tab w:val="right" w:pos="9637" w:leader="dot"/>
        </w:tabs>
        <w:rPr/>
      </w:pPr>
      <w:hyperlink w:anchor="__RefHeading___Toc1357_2830917912" w:tooltip="2.3 The Head: One astronaut at a time">
        <w:r>
          <w:rPr>
            <w:rStyle w:val="IndexLink"/>
          </w:rPr>
          <w:t>2.3 The Head: One astronaut at a time</w:t>
          <w:tab/>
          <w:t>6</w:t>
        </w:r>
      </w:hyperlink>
    </w:p>
    <w:p>
      <w:pPr>
        <w:pStyle w:val="TOC2"/>
        <w:tabs>
          <w:tab w:val="clear" w:pos="9355"/>
          <w:tab w:val="right" w:pos="9637" w:leader="dot"/>
        </w:tabs>
        <w:rPr/>
      </w:pPr>
      <w:hyperlink w:anchor="__RefHeading___Toc1359_2830917912" w:tooltip="2.4 The Soul: A life-saving conversation">
        <w:r>
          <w:rPr>
            <w:rStyle w:val="IndexLink"/>
          </w:rPr>
          <w:t>2.4 The Soul: A life-saving conversation</w:t>
          <w:tab/>
          <w:t>6</w:t>
        </w:r>
      </w:hyperlink>
    </w:p>
    <w:p>
      <w:pPr>
        <w:pStyle w:val="TOC1"/>
        <w:tabs>
          <w:tab w:val="clear" w:pos="9638"/>
          <w:tab w:val="right" w:pos="9637" w:leader="dot"/>
        </w:tabs>
        <w:rPr/>
      </w:pPr>
      <w:hyperlink w:anchor="__RefHeading___Toc1361_2830917912" w:tooltip="3. Business Plan">
        <w:r>
          <w:rPr>
            <w:rStyle w:val="IndexLink"/>
          </w:rPr>
          <w:t>3. Business Plan</w:t>
          <w:tab/>
          <w:t>7</w:t>
        </w:r>
      </w:hyperlink>
    </w:p>
    <w:p>
      <w:pPr>
        <w:pStyle w:val="TOC2"/>
        <w:tabs>
          <w:tab w:val="clear" w:pos="9355"/>
          <w:tab w:val="right" w:pos="9637" w:leader="dot"/>
        </w:tabs>
        <w:rPr/>
      </w:pPr>
      <w:hyperlink w:anchor="__RefHeading___Toc2806_2830917912" w:tooltip="3.1 Summary">
        <w:r>
          <w:rPr>
            <w:rStyle w:val="IndexLink"/>
          </w:rPr>
          <w:t>3.1 Summary</w:t>
          <w:tab/>
          <w:t>7</w:t>
        </w:r>
      </w:hyperlink>
    </w:p>
    <w:p>
      <w:pPr>
        <w:pStyle w:val="TOC2"/>
        <w:tabs>
          <w:tab w:val="clear" w:pos="9355"/>
          <w:tab w:val="right" w:pos="9637" w:leader="dot"/>
        </w:tabs>
        <w:rPr/>
      </w:pPr>
      <w:hyperlink w:anchor="__RefHeading___Toc2808_2830917912" w:tooltip="3.2 Marketing Strategy">
        <w:r>
          <w:rPr>
            <w:rStyle w:val="IndexLink"/>
          </w:rPr>
          <w:t>3.2 Marketing Strategy</w:t>
          <w:tab/>
          <w:t>9</w:t>
        </w:r>
      </w:hyperlink>
    </w:p>
    <w:p>
      <w:pPr>
        <w:pStyle w:val="TOC2"/>
        <w:tabs>
          <w:tab w:val="clear" w:pos="9355"/>
          <w:tab w:val="right" w:pos="9637" w:leader="dot"/>
        </w:tabs>
        <w:rPr/>
      </w:pPr>
      <w:hyperlink w:anchor="__RefHeading___Toc874_2830917912" w:tooltip="3.3 Technology Overview">
        <w:r>
          <w:rPr>
            <w:rStyle w:val="IndexLink"/>
          </w:rPr>
          <w:t>3.3 Technology Overview</w:t>
          <w:tab/>
          <w:t>11</w:t>
        </w:r>
      </w:hyperlink>
    </w:p>
    <w:p>
      <w:pPr>
        <w:pStyle w:val="TOC1"/>
        <w:tabs>
          <w:tab w:val="clear" w:pos="9638"/>
          <w:tab w:val="right" w:pos="9637" w:leader="dot"/>
        </w:tabs>
        <w:rPr/>
      </w:pPr>
      <w:hyperlink w:anchor="__RefHeading___Toc902_2830917912" w:tooltip="4. Market Analysis">
        <w:r>
          <w:rPr>
            <w:rStyle w:val="IndexLink"/>
          </w:rPr>
          <w:t>4. Market Analysis</w:t>
          <w:tab/>
          <w:t>12</w:t>
        </w:r>
      </w:hyperlink>
    </w:p>
    <w:p>
      <w:pPr>
        <w:pStyle w:val="TOC2"/>
        <w:tabs>
          <w:tab w:val="clear" w:pos="9355"/>
          <w:tab w:val="right" w:pos="9637" w:leader="dot"/>
        </w:tabs>
        <w:rPr/>
      </w:pPr>
      <w:hyperlink w:anchor="__RefHeading___Toc904_2830917912" w:tooltip="4.1 Market Overview">
        <w:r>
          <w:rPr>
            <w:rStyle w:val="IndexLink"/>
          </w:rPr>
          <w:t>4.1 Market Overview</w:t>
          <w:tab/>
          <w:t>12</w:t>
        </w:r>
      </w:hyperlink>
    </w:p>
    <w:p>
      <w:pPr>
        <w:pStyle w:val="TOC2"/>
        <w:tabs>
          <w:tab w:val="clear" w:pos="9355"/>
          <w:tab w:val="right" w:pos="9637" w:leader="dot"/>
        </w:tabs>
        <w:rPr/>
      </w:pPr>
      <w:hyperlink w:anchor="__RefHeading___Toc906_2830917912" w:tooltip="4.2 Government Space Agencies">
        <w:r>
          <w:rPr>
            <w:rStyle w:val="IndexLink"/>
          </w:rPr>
          <w:t>4.2 Government Space Agencies</w:t>
          <w:tab/>
          <w:t>12</w:t>
        </w:r>
      </w:hyperlink>
    </w:p>
    <w:p>
      <w:pPr>
        <w:pStyle w:val="TOC2"/>
        <w:tabs>
          <w:tab w:val="clear" w:pos="9355"/>
          <w:tab w:val="right" w:pos="9637" w:leader="dot"/>
        </w:tabs>
        <w:rPr/>
      </w:pPr>
      <w:hyperlink w:anchor="__RefHeading___Toc908_2830917912" w:tooltip="4.3 Commercial Spaceflight">
        <w:r>
          <w:rPr>
            <w:rStyle w:val="IndexLink"/>
          </w:rPr>
          <w:t>4.3 Commercial Spaceflight</w:t>
          <w:tab/>
          <w:t>12</w:t>
        </w:r>
      </w:hyperlink>
    </w:p>
    <w:p>
      <w:pPr>
        <w:pStyle w:val="TOC2"/>
        <w:tabs>
          <w:tab w:val="clear" w:pos="9355"/>
          <w:tab w:val="right" w:pos="9637" w:leader="dot"/>
        </w:tabs>
        <w:rPr/>
      </w:pPr>
      <w:hyperlink w:anchor="__RefHeading___Toc910_2830917912" w:tooltip="4.4 Terrestrial Spin-Off Markets">
        <w:r>
          <w:rPr>
            <w:rStyle w:val="IndexLink"/>
          </w:rPr>
          <w:t>4.4 Terrestrial Spin-Off Markets</w:t>
          <w:tab/>
          <w:t>12</w:t>
        </w:r>
      </w:hyperlink>
    </w:p>
    <w:p>
      <w:pPr>
        <w:pStyle w:val="TOC2"/>
        <w:tabs>
          <w:tab w:val="clear" w:pos="9355"/>
          <w:tab w:val="right" w:pos="9637" w:leader="dot"/>
        </w:tabs>
        <w:rPr/>
      </w:pPr>
      <w:hyperlink w:anchor="__RefHeading___Toc916_2830917912" w:tooltip="4.5 Competitive Landscape">
        <w:r>
          <w:rPr>
            <w:rStyle w:val="IndexLink"/>
          </w:rPr>
          <w:t>4.5 Competitive Landscape</w:t>
          <w:tab/>
          <w:t>12</w:t>
        </w:r>
      </w:hyperlink>
    </w:p>
    <w:p>
      <w:pPr>
        <w:pStyle w:val="TOC1"/>
        <w:tabs>
          <w:tab w:val="clear" w:pos="9638"/>
          <w:tab w:val="right" w:pos="9637" w:leader="dot"/>
        </w:tabs>
        <w:rPr/>
      </w:pPr>
      <w:hyperlink w:anchor="__RefHeading___Toc918_2830917912COPY_IS_" w:tooltip="5. Go-To Marketing Strategy">
        <w:r>
          <w:rPr>
            <w:rStyle w:val="IndexLink"/>
          </w:rPr>
          <w:t>5. Go-To Marketing Strategy</w:t>
          <w:tab/>
          <w:t>13</w:t>
        </w:r>
      </w:hyperlink>
    </w:p>
    <w:p>
      <w:pPr>
        <w:pStyle w:val="TOC2"/>
        <w:tabs>
          <w:tab w:val="clear" w:pos="9355"/>
          <w:tab w:val="right" w:pos="9637" w:leader="dot"/>
        </w:tabs>
        <w:rPr/>
      </w:pPr>
      <w:hyperlink w:anchor="__RefHeading___Toc952_2830917912" w:tooltip="5.1 Revenue Model">
        <w:r>
          <w:rPr>
            <w:rStyle w:val="IndexLink"/>
          </w:rPr>
          <w:t>5.1 Revenue Model</w:t>
          <w:tab/>
          <w:t>13</w:t>
        </w:r>
      </w:hyperlink>
    </w:p>
    <w:p>
      <w:pPr>
        <w:pStyle w:val="TOC2"/>
        <w:tabs>
          <w:tab w:val="clear" w:pos="9355"/>
          <w:tab w:val="right" w:pos="9637" w:leader="dot"/>
        </w:tabs>
        <w:rPr/>
      </w:pPr>
      <w:hyperlink w:anchor="__RefHeading___Toc954_2830917912" w:tooltip="5.2 Strategic Partnerships">
        <w:r>
          <w:rPr>
            <w:rStyle w:val="IndexLink"/>
          </w:rPr>
          <w:t>5.2 Strategic Partnerships</w:t>
          <w:tab/>
          <w:t>13</w:t>
        </w:r>
      </w:hyperlink>
    </w:p>
    <w:p>
      <w:pPr>
        <w:pStyle w:val="TOC2"/>
        <w:tabs>
          <w:tab w:val="clear" w:pos="9355"/>
          <w:tab w:val="right" w:pos="9637" w:leader="dot"/>
        </w:tabs>
        <w:rPr/>
      </w:pPr>
      <w:hyperlink w:anchor="__RefHeading___Toc956_2830917912" w:tooltip="5.3 Risk Analysis">
        <w:r>
          <w:rPr>
            <w:rStyle w:val="IndexLink"/>
          </w:rPr>
          <w:t>5.3 Risk Analysis</w:t>
          <w:tab/>
          <w:t>14</w:t>
        </w:r>
      </w:hyperlink>
    </w:p>
    <w:p>
      <w:pPr>
        <w:pStyle w:val="TOC2"/>
        <w:tabs>
          <w:tab w:val="clear" w:pos="9355"/>
          <w:tab w:val="right" w:pos="9637" w:leader="dot"/>
        </w:tabs>
        <w:rPr/>
      </w:pPr>
      <w:hyperlink w:anchor="__RefHeading___Toc958_2830917912" w:tooltip="5.4 Development Roadmap">
        <w:r>
          <w:rPr>
            <w:rStyle w:val="IndexLink"/>
          </w:rPr>
          <w:t>5.4 Development Roadmap</w:t>
          <w:tab/>
          <w:t>14</w:t>
        </w:r>
      </w:hyperlink>
    </w:p>
    <w:p>
      <w:pPr>
        <w:pStyle w:val="TOC2"/>
        <w:tabs>
          <w:tab w:val="clear" w:pos="9355"/>
          <w:tab w:val="right" w:pos="9637" w:leader="dot"/>
        </w:tabs>
        <w:rPr/>
      </w:pPr>
      <w:hyperlink w:anchor="__RefHeading___Toc968_2830917912" w:tooltip="5.5 Financial Projection Overview">
        <w:r>
          <w:rPr>
            <w:rStyle w:val="IndexLink"/>
          </w:rPr>
          <w:t>5.5 Financial Projection Overview</w:t>
          <w:tab/>
          <w:t>14</w:t>
        </w:r>
      </w:hyperlink>
    </w:p>
    <w:p>
      <w:pPr>
        <w:pStyle w:val="TOC2"/>
        <w:tabs>
          <w:tab w:val="clear" w:pos="9355"/>
          <w:tab w:val="right" w:pos="9637" w:leader="dot"/>
        </w:tabs>
        <w:rPr/>
      </w:pPr>
      <w:hyperlink w:anchor="__RefHeading___Toc970_2830917912" w:tooltip="5.6 Long-term vision">
        <w:r>
          <w:rPr>
            <w:rStyle w:val="IndexLink"/>
          </w:rPr>
          <w:t>5.6 Long-term vision</w:t>
          <w:tab/>
          <w:t>15</w:t>
        </w:r>
      </w:hyperlink>
      <w:r>
        <w:br w:type="page"/>
      </w:r>
    </w:p>
    <w:p>
      <w:pPr>
        <w:pStyle w:val="Heading1"/>
        <w:ind w:hanging="0" w:left="0"/>
        <w:rPr/>
      </w:pPr>
      <w:bookmarkStart w:id="0" w:name="__RefHeading___Toc868_2830917912"/>
      <w:bookmarkEnd w:id="0"/>
      <w:r>
        <w:rPr/>
        <w:t>1. Project summary: The galaxies of AI</w:t>
      </w:r>
    </w:p>
    <w:p>
      <w:pPr>
        <w:pStyle w:val="Normal"/>
        <w:bidi w:val="0"/>
        <w:spacing w:lineRule="auto" w:line="276"/>
        <w:jc w:val="left"/>
        <w:rPr>
          <w:rFonts w:ascii="Times New Roman" w:hAnsi="Times New Roman"/>
          <w:sz w:val="24"/>
          <w:szCs w:val="24"/>
        </w:rPr>
      </w:pPr>
      <w:r>
        <w:rPr>
          <w:rFonts w:ascii="Times New Roman" w:hAnsi="Times New Roman"/>
          <w:sz w:val="24"/>
          <w:szCs w:val="24"/>
        </w:rPr>
        <w:t>Just a hundred years ago humans couldn’t imagine what it would like to look at Earth from the perspective of an outside observer. Now the image of our planet, taken from miles away among stars and meteorites, has become so ingrained in our collective consciousness that not one person wouldn’t recognize it as a portrait of our one and only home. Indeed, space exploration had become the beacon of technological progress of the 20</w:t>
      </w:r>
      <w:r>
        <w:rPr>
          <w:rFonts w:ascii="Times New Roman" w:hAnsi="Times New Roman"/>
          <w:sz w:val="24"/>
          <w:szCs w:val="24"/>
          <w:vertAlign w:val="superscript"/>
        </w:rPr>
        <w:t>th</w:t>
      </w:r>
      <w:r>
        <w:rPr>
          <w:rFonts w:ascii="Times New Roman" w:hAnsi="Times New Roman"/>
          <w:sz w:val="24"/>
          <w:szCs w:val="24"/>
        </w:rPr>
        <w:t xml:space="preserve"> century, opening up a new chapter for all of humanity and changing science forever. Similarly, it is reasonable to argue that the 21</w:t>
      </w:r>
      <w:r>
        <w:rPr>
          <w:rFonts w:ascii="Times New Roman" w:hAnsi="Times New Roman"/>
          <w:sz w:val="24"/>
          <w:szCs w:val="24"/>
          <w:vertAlign w:val="superscript"/>
        </w:rPr>
        <w:t>st</w:t>
      </w:r>
      <w:r>
        <w:rPr>
          <w:rFonts w:ascii="Times New Roman" w:hAnsi="Times New Roman"/>
          <w:sz w:val="24"/>
          <w:szCs w:val="24"/>
        </w:rPr>
        <w:t xml:space="preserve"> century, so early on, had already made its scientific leap, its revolution – carrying the name of Artificial Intelligence. With only a few years in commercial usage, it’s hard to imagine our lives without AI. From the speed with which chatbots provide information, to high-level image and video generation, it has made the impossible possible and widely available. It’s mind boggling to think about how endless computation can mimic the way we think, linguistically, all while underneath being no more than numbers choosing upon probability. This enormous scope of calculations evoke images that are almost cosmic – like an endlessly expanding galaxy; progress throughout the two centuries paralleling one another. And so, it is with belief in that very progress that we’re joining the AerooSpace Hackathon. Our team is fascinated by ways different scientific fields can intersect and help each other to develop further. Human factor is incredibly important to us as well – AI not as a replacement for the human mind, but as its most powerful tool. And so, let us introduce our project.</w:t>
      </w:r>
    </w:p>
    <w:p>
      <w:pPr>
        <w:pStyle w:val="Heading1"/>
        <w:ind w:hanging="0" w:left="0"/>
        <w:rPr/>
      </w:pPr>
      <w:bookmarkStart w:id="1" w:name="__RefHeading___Toc870_2830917912"/>
      <w:bookmarkEnd w:id="1"/>
      <w:r>
        <w:rPr/>
        <w:t>2. Description: Safety in Space</w:t>
      </w:r>
    </w:p>
    <w:p>
      <w:pPr>
        <w:pStyle w:val="Normal"/>
        <w:bidi w:val="0"/>
        <w:spacing w:lineRule="auto" w:line="276"/>
        <w:jc w:val="left"/>
        <w:rPr>
          <w:rFonts w:ascii="Times New Roman" w:hAnsi="Times New Roman"/>
        </w:rPr>
      </w:pPr>
      <w:r>
        <w:rPr>
          <w:rFonts w:ascii="Times New Roman" w:hAnsi="Times New Roman"/>
          <w:b w:val="false"/>
          <w:i w:val="false"/>
          <w:caps w:val="false"/>
          <w:smallCaps w:val="false"/>
          <w:color w:val="000000"/>
          <w:spacing w:val="0"/>
          <w:sz w:val="24"/>
          <w:szCs w:val="24"/>
        </w:rPr>
        <w:t>There’s no possible way to imagine modern spaceflight without the most meticulous safety measures. The NASA Top Level Safety Standards and Requirements protocol contains consists of points regarding Policy of spacecraft</w:t>
      </w:r>
      <w:r>
        <w:rPr>
          <w:rFonts w:ascii="Times New Roman" w:hAnsi="Times New Roman"/>
          <w:b w:val="false"/>
          <w:i w:val="false"/>
          <w:caps w:val="false"/>
          <w:smallCaps w:val="false"/>
          <w:color w:val="222222"/>
          <w:spacing w:val="0"/>
          <w:sz w:val="24"/>
          <w:szCs w:val="24"/>
        </w:rPr>
        <w:t>, l</w:t>
      </w:r>
      <w:r>
        <w:rPr>
          <w:rFonts w:ascii="Times New Roman" w:hAnsi="Times New Roman"/>
        </w:rPr>
        <w:t>imiting orbital debris generation</w:t>
      </w:r>
      <w:r>
        <w:rPr>
          <w:rFonts w:ascii="Times New Roman" w:hAnsi="Times New Roman"/>
          <w:b w:val="false"/>
          <w:i w:val="false"/>
          <w:caps w:val="false"/>
          <w:smallCaps w:val="false"/>
          <w:color w:val="222222"/>
          <w:spacing w:val="0"/>
          <w:sz w:val="24"/>
          <w:szCs w:val="24"/>
        </w:rPr>
        <w:t>, p</w:t>
      </w:r>
      <w:r>
        <w:rPr>
          <w:rFonts w:ascii="Times New Roman" w:hAnsi="Times New Roman"/>
        </w:rPr>
        <w:t xml:space="preserve">ressure vessels and pressurized systems and software engineering. NASA states its mission as to maintain a world-class safety program based on management and employee commitment and involvement; system and worksite safety and risk assessment; hazard and risk prevention, mitigation, and control; and safety and health training. And yet, despite the immense standards to which every step of the space exploration process is put up to, hazards still happen nowadays, unknown to many. On </w:t>
      </w:r>
      <w:r>
        <w:rPr>
          <w:rFonts w:ascii="Times New Roman" w:hAnsi="Times New Roman"/>
          <w:b w:val="false"/>
          <w:i w:val="false"/>
          <w:caps w:val="false"/>
          <w:smallCaps w:val="false"/>
          <w:color w:val="000000"/>
          <w:spacing w:val="0"/>
          <w:sz w:val="24"/>
        </w:rPr>
        <w:t>November 5, 2025 pre-return inspection revealed cracked window on Shenzhou-20 crew capsule, with the entire crew being forced to evacuate, highlighting the preliminary state of debris removal technologies.</w:t>
      </w:r>
      <w:r>
        <w:rPr>
          <w:rFonts w:ascii="Times New Roman" w:hAnsi="Times New Roman"/>
          <w:color w:val="000000"/>
        </w:rPr>
        <w:t xml:space="preserve"> SpaceX has experienced several satellite bursts and ground-test failures. Recently, in February 2026, four astronauts have been departed to ISS due to urgent medical conditions. Satellite megaconstellations’ contribution to </w:t>
      </w:r>
      <w:r>
        <w:rPr>
          <w:rFonts w:ascii="Times New Roman" w:hAnsi="Times New Roman"/>
        </w:rPr>
        <w:t xml:space="preserve">risk contributing to space debris and potential Kessler syndrome is a growing concern among researchers. </w:t>
      </w:r>
      <w:r>
        <w:rPr>
          <w:rFonts w:ascii="Times New Roman" w:hAnsi="Times New Roman"/>
          <w:b w:val="false"/>
          <w:i w:val="false"/>
          <w:caps w:val="false"/>
          <w:smallCaps w:val="false"/>
          <w:color w:val="000000"/>
          <w:spacing w:val="0"/>
          <w:sz w:val="24"/>
          <w:szCs w:val="24"/>
        </w:rPr>
        <w:t>Software’s immense utility – enabling mission preparation, facilitating collaboration, acting as a spacecraft’s brain to enable autonomy, allowing rapid reacting to problems, and assisting astronauts on far away missions, e.g., with knowledge, psychological issues, robotic support, or in life support systems – turn it into a possible risk, as space exploration requires increasingly sophisticated functionality and therefore will not be possible without some form of computing or software power.</w:t>
      </w:r>
    </w:p>
    <w:p>
      <w:pPr>
        <w:pStyle w:val="Normal"/>
        <w:bidi w:val="0"/>
        <w:spacing w:lineRule="auto" w:line="276"/>
        <w:jc w:val="left"/>
        <w:rPr>
          <w:rFonts w:ascii="Times New Roman" w:hAnsi="Times New Roman"/>
          <w:color w:val="000000"/>
          <w:sz w:val="24"/>
        </w:rPr>
      </w:pPr>
      <w:r>
        <w:rPr>
          <w:rFonts w:ascii="Times New Roman" w:hAnsi="Times New Roman"/>
          <w:b w:val="false"/>
          <w:i w:val="false"/>
          <w:caps w:val="false"/>
          <w:smallCaps w:val="false"/>
          <w:color w:val="000000"/>
          <w:spacing w:val="0"/>
          <w:sz w:val="24"/>
          <w:szCs w:val="24"/>
        </w:rPr>
        <w:t>Clearly, the issue of safety measures is not only critical, but multilayered – encompassing and intersecting hardware production, space debris and astronauts’ physical and mental health. And so our solution, named NEFET, aims to tackle the problem from every angle, serving as a silent yet indispensable assistant throughout each part of the journey. NEFET is split into four parts, four AI models built specifically to tackle one issue at a time – its trunk, legs, head and soul. The ‘trunk’ is all about predicting faults with the actual space hardware – namely, spaceships themselves. It utilises Convolutional Neural Networks and computer vision models to detect m</w:t>
      </w:r>
      <w:r>
        <w:rPr>
          <w:rFonts w:ascii="Times New Roman" w:hAnsi="Times New Roman"/>
          <w:color w:val="000000"/>
        </w:rPr>
        <w:t>icro-cracks, corrosion, pitting, surface fatigue and weld defects, working both on the ground, during pre-launching safety checks and in-flight monitoring, immediately detecting and analyzing the cause and severity of taken damage in case of an incident. The ‘legs’ focus on an unknown but rapidly growing problem – spacesuit production. As space missions grow longer and more autonomous, they demand advanced, easily adaptable hardware. However, due to high dependence on spacesuits, their multifunctionality and the cost of material necessary to produce one – existing models become increasingly outdated. NEFET will utilize Semantic Segmentation and Object Detection models to detect external faults and Sensor-Based Anomaly detection for internal issues. The ‘head’ and ‘soul’ of NEFET switch from hardware to the humans behind it – tackling the enormous problem of astronauts mental and physical safety, named by NASA among the top give hazards of human spaceflight, an issue so documented some symptoms and long-term consequences have been given their own name. Through YOLO-object detection, LSTM and NLP models, recovery plans and a personalized approach, astronauts’ wellbeing becomes a crucial priority. NEFET is more than a singular model – it’s a layered ecosystem of safety and protection.</w:t>
      </w:r>
    </w:p>
    <w:p>
      <w:pPr>
        <w:pStyle w:val="Heading2"/>
        <w:ind w:hanging="0" w:left="0"/>
        <w:rPr/>
      </w:pPr>
      <w:bookmarkStart w:id="2" w:name="__RefHeading___Toc872_2830917912"/>
      <w:bookmarkEnd w:id="2"/>
      <w:r>
        <w:rPr/>
        <w:t>2.1 The Trunk: Spacecraft Structural Integrity</w:t>
      </w:r>
    </w:p>
    <w:p>
      <w:pPr>
        <w:pStyle w:val="Normal"/>
        <w:bidi w:val="0"/>
        <w:spacing w:lineRule="auto" w:line="276"/>
        <w:jc w:val="left"/>
        <w:rPr>
          <w:caps w:val="false"/>
          <w:smallCaps w:val="false"/>
          <w:color w:val="000000"/>
          <w:spacing w:val="0"/>
        </w:rPr>
      </w:pPr>
      <w:r>
        <w:rPr>
          <w:rFonts w:ascii="Times New Roman" w:hAnsi="Times New Roman"/>
          <w:b w:val="false"/>
          <w:i w:val="false"/>
          <w:caps w:val="false"/>
          <w:smallCaps w:val="false"/>
          <w:color w:val="000000"/>
          <w:spacing w:val="0"/>
          <w:sz w:val="24"/>
          <w:szCs w:val="24"/>
        </w:rPr>
        <w:t>On November 2025, during a routine gas system pressure test of SpaceX spaceships, the Liquid Oxygen Tank ruptured, leaving SpaceX with no Block 3 Boosters to test. Based on photos of the damage, it appears that a COPV at the bottom of one of the larger chines might have exploded during the pressure test, triggering a chain reaction that spread up the chine, ultimately blowing up the rest of the COPVs in that chine. This led to a significant rupture in the LOX tank, and remarkably, Booster 18 did not tip over immediately. Just five months ago, SpaceX lost Ship 36 to a COPV explosion during a six-engine static fire attempt on June 18, 2025.</w:t>
      </w:r>
      <w:hyperlink r:id="rId4">
        <w:r>
          <w:rPr>
            <w:rStyle w:val="Hyperlink"/>
            <w:rFonts w:ascii="Times New Roman" w:hAnsi="Times New Roman"/>
            <w:b w:val="false"/>
            <w:i w:val="false"/>
            <w:caps w:val="false"/>
            <w:smallCaps w:val="false"/>
            <w:color w:val="000000"/>
            <w:spacing w:val="0"/>
            <w:sz w:val="24"/>
            <w:szCs w:val="24"/>
          </w:rPr>
          <w:fldChar w:fldCharType="begin"/>
        </w:r>
        <w:r>
          <w:rPr>
            <w:rStyle w:val="Hyperlink"/>
            <w:rFonts w:ascii="Times New Roman" w:hAnsi="Times New Roman"/>
            <w:b w:val="false"/>
            <w:i w:val="false"/>
            <w:caps w:val="false"/>
            <w:smallCaps w:val="false"/>
            <w:color w:val="000000"/>
            <w:spacing w:val="0"/>
            <w:sz w:val="24"/>
            <w:szCs w:val="24"/>
          </w:rPr>
          <w:instrText xml:space="preserve"> CITATION  "1"</w:instrText>
        </w:r>
        <w:r>
          <w:rPr>
            <w:rStyle w:val="Hyperlink"/>
            <w:rFonts w:ascii="Times New Roman" w:hAnsi="Times New Roman"/>
            <w:b w:val="false"/>
            <w:i w:val="false"/>
            <w:caps w:val="false"/>
            <w:smallCaps w:val="false"/>
            <w:color w:val="000000"/>
            <w:spacing w:val="0"/>
            <w:sz w:val="24"/>
            <w:szCs w:val="24"/>
          </w:rPr>
          <w:fldChar w:fldCharType="separate"/>
        </w:r>
        <w:r>
          <w:rPr>
            <w:rStyle w:val="Hyperlink"/>
            <w:rFonts w:ascii="Times New Roman" w:hAnsi="Times New Roman"/>
            <w:b w:val="false"/>
            <w:i w:val="false"/>
            <w:caps w:val="false"/>
            <w:smallCaps w:val="false"/>
            <w:color w:val="000000"/>
            <w:spacing w:val="0"/>
            <w:sz w:val="24"/>
            <w:szCs w:val="24"/>
          </w:rPr>
          <w:t>1</w:t>
        </w:r>
        <w:r>
          <w:rPr>
            <w:rStyle w:val="Hyperlink"/>
            <w:rFonts w:ascii="Times New Roman" w:hAnsi="Times New Roman"/>
            <w:b w:val="false"/>
            <w:i w:val="false"/>
            <w:caps w:val="false"/>
            <w:smallCaps w:val="false"/>
            <w:color w:val="000000"/>
            <w:spacing w:val="0"/>
            <w:sz w:val="24"/>
            <w:szCs w:val="24"/>
          </w:rPr>
          <w:fldChar w:fldCharType="end"/>
        </w:r>
      </w:hyperlink>
    </w:p>
    <w:p>
      <w:pPr>
        <w:pStyle w:val="Normal"/>
        <w:bidi w:val="0"/>
        <w:spacing w:lineRule="auto" w:line="276"/>
        <w:jc w:val="left"/>
        <w:rPr>
          <w:rFonts w:ascii="Open Sans;Helvetica;Arial;sans-serif" w:hAnsi="Open Sans;Helvetica;Arial;sans-serif"/>
          <w:b w:val="false"/>
          <w:i w:val="false"/>
          <w:caps w:val="false"/>
          <w:smallCaps w:val="false"/>
          <w:color w:val="000000"/>
          <w:spacing w:val="0"/>
          <w:sz w:val="21"/>
        </w:rPr>
      </w:pPr>
      <w:r>
        <w:rPr>
          <w:rFonts w:ascii="Times New Roman" w:hAnsi="Times New Roman"/>
          <w:b w:val="false"/>
          <w:i w:val="false"/>
          <w:caps w:val="false"/>
          <w:smallCaps w:val="false"/>
          <w:color w:val="000000"/>
          <w:spacing w:val="0"/>
          <w:sz w:val="24"/>
          <w:szCs w:val="24"/>
        </w:rPr>
        <w:t>India’s first launch of 2026 ended in failure due to an issue with the third stage of its Polar Satellite Launch Vehicle, losing 16 satellites; the second consecutive failure of this four-stage rocket with both anomalies affecting the third stage. The burnout of the engine was called out about 396 seconds post liftoff while it was at an altitude of 346 km, causing a loss of attitude control and deviation from the flight path.</w:t>
      </w:r>
      <w:hyperlink r:id="rId5">
        <w:r>
          <w:rPr>
            <w:rStyle w:val="Hyperlink"/>
            <w:rFonts w:ascii="Open Sans;Helvetica;Arial;sans-serif" w:hAnsi="Open Sans;Helvetica;Arial;sans-serif"/>
            <w:b w:val="false"/>
            <w:i w:val="false"/>
            <w:caps w:val="false"/>
            <w:smallCaps w:val="false"/>
            <w:color w:val="000000"/>
            <w:spacing w:val="0"/>
            <w:sz w:val="21"/>
            <w:szCs w:val="24"/>
          </w:rPr>
          <w:fldChar w:fldCharType="begin"/>
        </w:r>
        <w:r>
          <w:rPr>
            <w:rStyle w:val="Hyperlink"/>
            <w:rFonts w:ascii="Open Sans;Helvetica;Arial;sans-serif" w:hAnsi="Open Sans;Helvetica;Arial;sans-serif"/>
            <w:b w:val="false"/>
            <w:i w:val="false"/>
            <w:caps w:val="false"/>
            <w:smallCaps w:val="false"/>
            <w:color w:val="000000"/>
            <w:spacing w:val="0"/>
            <w:sz w:val="21"/>
            <w:szCs w:val="24"/>
          </w:rPr>
          <w:instrText xml:space="preserve"> CITATION  "2"</w:instrText>
        </w:r>
        <w:r>
          <w:rPr>
            <w:rStyle w:val="Hyperlink"/>
            <w:rFonts w:ascii="Open Sans;Helvetica;Arial;sans-serif" w:hAnsi="Open Sans;Helvetica;Arial;sans-serif"/>
            <w:b w:val="false"/>
            <w:i w:val="false"/>
            <w:caps w:val="false"/>
            <w:smallCaps w:val="false"/>
            <w:color w:val="000000"/>
            <w:spacing w:val="0"/>
            <w:sz w:val="21"/>
            <w:szCs w:val="24"/>
          </w:rPr>
          <w:fldChar w:fldCharType="separate"/>
        </w:r>
        <w:r>
          <w:rPr>
            <w:rStyle w:val="Hyperlink"/>
            <w:rFonts w:ascii="Open Sans;Helvetica;Arial;sans-serif" w:hAnsi="Open Sans;Helvetica;Arial;sans-serif"/>
            <w:b w:val="false"/>
            <w:i w:val="false"/>
            <w:caps w:val="false"/>
            <w:smallCaps w:val="false"/>
            <w:color w:val="000000"/>
            <w:spacing w:val="0"/>
            <w:sz w:val="21"/>
            <w:szCs w:val="24"/>
          </w:rPr>
          <w:t>2</w:t>
        </w:r>
        <w:r>
          <w:rPr>
            <w:rStyle w:val="Hyperlink"/>
            <w:rFonts w:ascii="Open Sans;Helvetica;Arial;sans-serif" w:hAnsi="Open Sans;Helvetica;Arial;sans-serif"/>
            <w:b w:val="false"/>
            <w:i w:val="false"/>
            <w:caps w:val="false"/>
            <w:smallCaps w:val="false"/>
            <w:color w:val="000000"/>
            <w:spacing w:val="0"/>
            <w:sz w:val="21"/>
            <w:szCs w:val="24"/>
          </w:rPr>
          <w:fldChar w:fldCharType="end"/>
        </w:r>
      </w:hyperlink>
    </w:p>
    <w:p>
      <w:pPr>
        <w:pStyle w:val="Normal"/>
        <w:bidi w:val="0"/>
        <w:spacing w:lineRule="auto" w:line="276"/>
        <w:jc w:val="left"/>
        <w:rPr/>
      </w:pPr>
      <w:r>
        <w:rPr>
          <w:rFonts w:ascii="Times New Roman" w:hAnsi="Times New Roman"/>
          <w:b w:val="false"/>
          <w:i w:val="false"/>
          <w:caps w:val="false"/>
          <w:smallCaps w:val="false"/>
          <w:color w:val="000000"/>
          <w:spacing w:val="0"/>
          <w:sz w:val="24"/>
          <w:szCs w:val="24"/>
        </w:rPr>
        <w:t xml:space="preserve">Shenzhou-20’s November 2025 return showed the underdevelopment of debris-detecting technology. For the first time in Chinese history, a mission was delayed mid-journey due to in-flight damage - </w:t>
      </w:r>
      <w:r>
        <w:rPr>
          <w:caps w:val="false"/>
          <w:smallCaps w:val="false"/>
          <w:color w:val="C9C9CA"/>
          <w:spacing w:val="0"/>
        </w:rPr>
        <w:t> </w:t>
      </w:r>
      <w:r>
        <w:rPr>
          <w:rFonts w:ascii="Times New Roman" w:hAnsi="Times New Roman"/>
          <w:caps w:val="false"/>
          <w:smallCaps w:val="false"/>
          <w:color w:val="000000"/>
          <w:spacing w:val="0"/>
        </w:rPr>
        <w:t xml:space="preserve">a </w:t>
      </w:r>
      <w:r>
        <w:rPr>
          <w:rStyle w:val="Strong"/>
          <w:rFonts w:ascii="Times New Roman" w:hAnsi="Times New Roman"/>
          <w:b w:val="false"/>
          <w:i w:val="false"/>
          <w:caps w:val="false"/>
          <w:smallCaps w:val="false"/>
          <w:color w:val="000000"/>
          <w:spacing w:val="0"/>
          <w:sz w:val="24"/>
        </w:rPr>
        <w:t>minor crack</w:t>
      </w:r>
      <w:r>
        <w:rPr>
          <w:rFonts w:ascii="Times New Roman" w:hAnsi="Times New Roman"/>
          <w:caps w:val="false"/>
          <w:smallCaps w:val="false"/>
          <w:color w:val="000000"/>
          <w:spacing w:val="0"/>
        </w:rPr>
        <w:t> </w:t>
      </w:r>
      <w:r>
        <w:rPr>
          <w:rFonts w:ascii="Times New Roman" w:hAnsi="Times New Roman"/>
          <w:b w:val="false"/>
          <w:i w:val="false"/>
          <w:caps w:val="false"/>
          <w:smallCaps w:val="false"/>
          <w:color w:val="000000"/>
          <w:spacing w:val="0"/>
          <w:sz w:val="24"/>
        </w:rPr>
        <w:t>discovered in the return capsule’s viewport window during pre-departure checks, forcing the crew to evacuate to Earth aboard the Shenzhou-21 spacecraft. The spacecraft had been abandoned in orbit.</w:t>
      </w:r>
      <w:hyperlink r:id="rId6">
        <w:r>
          <w:rPr>
            <w:rStyle w:val="Hyperlink"/>
            <w:rFonts w:ascii="Times New Roman" w:hAnsi="Times New Roman"/>
            <w:b w:val="false"/>
            <w:i w:val="false"/>
            <w:caps w:val="false"/>
            <w:smallCaps w:val="false"/>
            <w:color w:val="000000"/>
            <w:spacing w:val="0"/>
            <w:sz w:val="24"/>
          </w:rPr>
          <w:fldChar w:fldCharType="begin"/>
        </w:r>
        <w:r>
          <w:rPr>
            <w:rFonts w:ascii="Times New Roman" w:hAnsi="Times New Roman"/>
            <w:b w:val="false"/>
            <w:i w:val="false"/>
            <w:caps w:val="false"/>
            <w:smallCaps w:val="false"/>
            <w:color w:val="000000"/>
            <w:spacing w:val="0"/>
            <w:sz w:val="24"/>
          </w:rPr>
          <w:instrText xml:space="preserve"> CITATION  "3"</w:instrText>
        </w:r>
        <w:r>
          <w:rPr>
            <w:rFonts w:ascii="Times New Roman" w:hAnsi="Times New Roman"/>
            <w:b w:val="false"/>
            <w:i w:val="false"/>
            <w:caps w:val="false"/>
            <w:smallCaps w:val="false"/>
            <w:color w:val="000000"/>
            <w:spacing w:val="0"/>
            <w:sz w:val="24"/>
          </w:rPr>
          <w:fldChar w:fldCharType="separate"/>
        </w:r>
        <w:r>
          <w:rPr>
            <w:rFonts w:ascii="Times New Roman" w:hAnsi="Times New Roman"/>
            <w:b w:val="false"/>
            <w:i w:val="false"/>
            <w:caps w:val="false"/>
            <w:smallCaps w:val="false"/>
            <w:color w:val="000000"/>
            <w:spacing w:val="0"/>
            <w:sz w:val="24"/>
          </w:rPr>
          <w:t>3</w:t>
        </w:r>
        <w:r>
          <w:rPr>
            <w:rFonts w:ascii="Times New Roman" w:hAnsi="Times New Roman"/>
            <w:b w:val="false"/>
            <w:i w:val="false"/>
            <w:caps w:val="false"/>
            <w:smallCaps w:val="false"/>
            <w:color w:val="000000"/>
            <w:spacing w:val="0"/>
            <w:sz w:val="24"/>
          </w:rPr>
          <w:fldChar w:fldCharType="end"/>
        </w:r>
      </w:hyperlink>
      <w:r>
        <w:rPr>
          <w:rFonts w:ascii="Times New Roman" w:hAnsi="Times New Roman"/>
          <w:b w:val="false"/>
          <w:i w:val="false"/>
          <w:caps w:val="false"/>
          <w:smallCaps w:val="false"/>
          <w:color w:val="000000"/>
          <w:spacing w:val="0"/>
          <w:sz w:val="24"/>
        </w:rPr>
        <w:t xml:space="preserve"> When the impact risk from meteoroids and orbital debris is assessed the main concern is usually structural damage; their ability to puncture pressure vessels and other walls or lead to destruction of complete subsystems or even whole spacecraft. Despite chances of collisions with such larger objects being small, particles in the size range 1–100 μm are far more abundant than larger objects and every orbiting spacecraft will encounter them with certainty. Every solar cell (8 cm2 area) of the Hubble Space Telescope encountered on average 12 impacts during its 8.25 years of space exposure, most from micron sized particles.</w:t>
      </w:r>
      <w:r>
        <w:rPr>
          <w:rFonts w:ascii="Times New Roman" w:hAnsi="Times New Roman"/>
          <w:b w:val="false"/>
          <w:i w:val="false"/>
          <w:caps w:val="false"/>
          <w:smallCaps w:val="false"/>
          <w:color w:val="000000"/>
          <w:spacing w:val="0"/>
          <w:sz w:val="24"/>
        </w:rPr>
        <w:fldChar w:fldCharType="begin"/>
      </w:r>
      <w:r>
        <w:rPr>
          <w:rFonts w:ascii="Times New Roman" w:hAnsi="Times New Roman"/>
          <w:b w:val="false"/>
          <w:i w:val="false"/>
          <w:caps w:val="false"/>
          <w:smallCaps w:val="false"/>
          <w:color w:val="000000"/>
          <w:spacing w:val="0"/>
          <w:sz w:val="24"/>
        </w:rPr>
        <w:instrText xml:space="preserve"> CITATION  "4"</w:instrText>
      </w:r>
      <w:r>
        <w:rPr>
          <w:rFonts w:ascii="Times New Roman" w:hAnsi="Times New Roman"/>
          <w:b w:val="false"/>
          <w:i w:val="false"/>
          <w:caps w:val="false"/>
          <w:smallCaps w:val="false"/>
          <w:color w:val="000000"/>
          <w:spacing w:val="0"/>
          <w:sz w:val="24"/>
        </w:rPr>
        <w:fldChar w:fldCharType="separate"/>
      </w:r>
      <w:r>
        <w:rPr>
          <w:rFonts w:ascii="Times New Roman" w:hAnsi="Times New Roman"/>
          <w:b w:val="false"/>
          <w:i w:val="false"/>
          <w:caps w:val="false"/>
          <w:smallCaps w:val="false"/>
          <w:color w:val="000000"/>
          <w:spacing w:val="0"/>
          <w:sz w:val="24"/>
        </w:rPr>
        <w:t>4</w:t>
      </w:r>
      <w:r>
        <w:rPr>
          <w:rFonts w:ascii="Times New Roman" w:hAnsi="Times New Roman"/>
          <w:b w:val="false"/>
          <w:i w:val="false"/>
          <w:caps w:val="false"/>
          <w:smallCaps w:val="false"/>
          <w:color w:val="000000"/>
          <w:spacing w:val="0"/>
          <w:sz w:val="24"/>
        </w:rPr>
        <w:fldChar w:fldCharType="end"/>
      </w:r>
    </w:p>
    <w:p>
      <w:pPr>
        <w:pStyle w:val="Normal"/>
        <w:bidi w:val="0"/>
        <w:spacing w:lineRule="auto" w:line="276"/>
        <w:jc w:val="left"/>
        <w:rPr>
          <w:rFonts w:ascii="Times New Roman" w:hAnsi="Times New Roman"/>
          <w:color w:val="313131"/>
          <w:sz w:val="24"/>
        </w:rPr>
      </w:pPr>
      <w:r>
        <w:rPr>
          <w:rFonts w:ascii="Times New Roman" w:hAnsi="Times New Roman"/>
          <w:b w:val="false"/>
          <w:i w:val="false"/>
          <w:caps w:val="false"/>
          <w:smallCaps w:val="false"/>
          <w:color w:val="000000"/>
          <w:spacing w:val="0"/>
          <w:sz w:val="24"/>
        </w:rPr>
        <w:t>While researching recent spacecraft-related impacts, a clear pattern emerged – despite the advancement of modern technology, risks still exist both on land and in space. NEFET, here, will function as a compact size scanning robot that can be taken aboard a spacecraft and preserve its functionality. The YOLO model, which uses CNNs – spatial hierarchy detection using optimized filters and parameter flattening – for class generation and object detection with Non-AI methods, primarily Non-Destructive Testing for internal structural analysis. The automated robot, modelled after NASA’s Astrobee robot, is free-flying, battery-powered, and supplied with a camera that connects to an on-board computer running a YOLO model.</w:t>
      </w:r>
      <w:hyperlink r:id="rId7">
        <w:r>
          <w:rPr>
            <w:rStyle w:val="Hyperlink"/>
            <w:rFonts w:ascii="Times New Roman" w:hAnsi="Times New Roman"/>
            <w:b w:val="false"/>
            <w:i w:val="false"/>
            <w:caps w:val="false"/>
            <w:smallCaps w:val="false"/>
            <w:color w:val="000000"/>
            <w:spacing w:val="0"/>
            <w:sz w:val="24"/>
          </w:rPr>
          <w:fldChar w:fldCharType="begin"/>
        </w:r>
        <w:r>
          <w:rPr>
            <w:rFonts w:ascii="Times New Roman" w:hAnsi="Times New Roman"/>
            <w:b w:val="false"/>
            <w:i w:val="false"/>
            <w:caps w:val="false"/>
            <w:smallCaps w:val="false"/>
            <w:color w:val="000000"/>
            <w:spacing w:val="0"/>
            <w:sz w:val="24"/>
          </w:rPr>
          <w:instrText xml:space="preserve"> CITATION  "5"</w:instrText>
        </w:r>
        <w:r>
          <w:rPr>
            <w:rFonts w:ascii="Times New Roman" w:hAnsi="Times New Roman"/>
            <w:b w:val="false"/>
            <w:i w:val="false"/>
            <w:caps w:val="false"/>
            <w:smallCaps w:val="false"/>
            <w:color w:val="000000"/>
            <w:spacing w:val="0"/>
            <w:sz w:val="24"/>
          </w:rPr>
          <w:fldChar w:fldCharType="separate"/>
        </w:r>
        <w:r>
          <w:rPr>
            <w:rFonts w:ascii="Times New Roman" w:hAnsi="Times New Roman"/>
            <w:b w:val="false"/>
            <w:i w:val="false"/>
            <w:caps w:val="false"/>
            <w:smallCaps w:val="false"/>
            <w:color w:val="000000"/>
            <w:spacing w:val="0"/>
            <w:sz w:val="24"/>
          </w:rPr>
          <w:t>5</w:t>
        </w:r>
        <w:r>
          <w:rPr>
            <w:rFonts w:ascii="Times New Roman" w:hAnsi="Times New Roman"/>
            <w:b w:val="false"/>
            <w:i w:val="false"/>
            <w:caps w:val="false"/>
            <w:smallCaps w:val="false"/>
            <w:color w:val="000000"/>
            <w:spacing w:val="0"/>
            <w:sz w:val="24"/>
          </w:rPr>
          <w:fldChar w:fldCharType="end"/>
        </w:r>
      </w:hyperlink>
      <w:r>
        <w:rPr>
          <w:rFonts w:ascii="Times New Roman" w:hAnsi="Times New Roman"/>
          <w:b w:val="false"/>
          <w:i w:val="false"/>
          <w:caps w:val="false"/>
          <w:smallCaps w:val="false"/>
          <w:color w:val="000000"/>
          <w:spacing w:val="0"/>
          <w:sz w:val="24"/>
        </w:rPr>
        <w:t xml:space="preserve"> It can, at an efficient speed, manually scan the entire spacecraft, or, in case of an emergency, only the specific area of concern. When dealing with impact in space, the robot becomes a mini-astronaut, withstanding microgravity through propulsion-based maneuvering to detect and scan the damaged area. YOLO, trained on data of corroded, impacted and degraded hardware, leverages a single-pass detection mechanism rather than region-proposal networks to achieves high-speed inference when detecting visible outer damage.</w:t>
      </w:r>
      <w:r>
        <w:rPr>
          <w:rFonts w:ascii="Times New Roman" w:hAnsi="Times New Roman"/>
          <w:b w:val="false"/>
          <w:i w:val="false"/>
          <w:caps w:val="false"/>
          <w:smallCaps w:val="false"/>
          <w:color w:val="000000"/>
          <w:spacing w:val="0"/>
          <w:sz w:val="24"/>
        </w:rPr>
        <w:fldChar w:fldCharType="begin"/>
      </w:r>
      <w:r>
        <w:rPr>
          <w:rFonts w:ascii="Times New Roman" w:hAnsi="Times New Roman"/>
          <w:b w:val="false"/>
          <w:i w:val="false"/>
          <w:caps w:val="false"/>
          <w:smallCaps w:val="false"/>
          <w:color w:val="000000"/>
          <w:spacing w:val="0"/>
          <w:sz w:val="24"/>
        </w:rPr>
        <w:instrText xml:space="preserve"> CITATION  "6"</w:instrText>
      </w:r>
      <w:r>
        <w:rPr>
          <w:rFonts w:ascii="Times New Roman" w:hAnsi="Times New Roman"/>
          <w:b w:val="false"/>
          <w:i w:val="false"/>
          <w:caps w:val="false"/>
          <w:smallCaps w:val="false"/>
          <w:color w:val="000000"/>
          <w:spacing w:val="0"/>
          <w:sz w:val="24"/>
        </w:rPr>
        <w:fldChar w:fldCharType="separate"/>
      </w:r>
      <w:r>
        <w:rPr>
          <w:rFonts w:ascii="Times New Roman" w:hAnsi="Times New Roman"/>
          <w:b w:val="false"/>
          <w:i w:val="false"/>
          <w:caps w:val="false"/>
          <w:smallCaps w:val="false"/>
          <w:color w:val="000000"/>
          <w:spacing w:val="0"/>
          <w:sz w:val="24"/>
        </w:rPr>
        <w:t>6</w:t>
      </w:r>
      <w:r>
        <w:rPr>
          <w:rFonts w:ascii="Times New Roman" w:hAnsi="Times New Roman"/>
          <w:b w:val="false"/>
          <w:i w:val="false"/>
          <w:caps w:val="false"/>
          <w:smallCaps w:val="false"/>
          <w:color w:val="000000"/>
          <w:spacing w:val="0"/>
          <w:sz w:val="24"/>
        </w:rPr>
        <w:fldChar w:fldCharType="end"/>
      </w:r>
      <w:r>
        <w:rPr>
          <w:rFonts w:ascii="Times New Roman" w:hAnsi="Times New Roman"/>
          <w:b w:val="false"/>
          <w:i w:val="false"/>
          <w:caps w:val="false"/>
          <w:smallCaps w:val="false"/>
          <w:color w:val="000000"/>
          <w:spacing w:val="0"/>
          <w:sz w:val="24"/>
        </w:rPr>
        <w:t xml:space="preserve"> NDT, on the other hand, verifies internal integrity – Ultrasonic testing for </w:t>
      </w:r>
      <w:r>
        <w:rPr>
          <w:rFonts w:ascii="Times New Roman" w:hAnsi="Times New Roman"/>
          <w:color w:val="000000"/>
        </w:rPr>
        <w:t xml:space="preserve"> internal cracks and delamination, X-ray radiography for weld inspection and hidden voids, Eddy current testing for surface or subsurface fatigue cracks and magnetic particle inspection for ferromagnetic parts. </w:t>
      </w:r>
      <w:r>
        <w:rPr>
          <w:rFonts w:ascii="Times New Roman" w:hAnsi="Times New Roman"/>
          <w:color w:val="000000"/>
        </w:rPr>
        <w:fldChar w:fldCharType="begin"/>
      </w:r>
      <w:r>
        <w:rPr>
          <w:rFonts w:ascii="Times New Roman" w:hAnsi="Times New Roman"/>
          <w:color w:val="000000"/>
        </w:rPr>
        <w:instrText xml:space="preserve"> CITATION  "7"</w:instrText>
      </w:r>
      <w:r>
        <w:rPr>
          <w:rFonts w:ascii="Times New Roman" w:hAnsi="Times New Roman"/>
          <w:color w:val="000000"/>
        </w:rPr>
        <w:fldChar w:fldCharType="separate"/>
      </w:r>
      <w:r>
        <w:rPr>
          <w:rFonts w:ascii="Times New Roman" w:hAnsi="Times New Roman"/>
          <w:color w:val="000000"/>
        </w:rPr>
        <w:t>7</w:t>
      </w:r>
      <w:r>
        <w:rPr>
          <w:rFonts w:ascii="Times New Roman" w:hAnsi="Times New Roman"/>
          <w:color w:val="000000"/>
        </w:rPr>
        <w:fldChar w:fldCharType="end"/>
      </w:r>
    </w:p>
    <w:p>
      <w:pPr>
        <w:pStyle w:val="Heading2"/>
        <w:ind w:hanging="0" w:left="0"/>
        <w:rPr/>
      </w:pPr>
      <w:bookmarkStart w:id="3" w:name="__RefHeading___Toc1355_2830917912"/>
      <w:bookmarkEnd w:id="3"/>
      <w:r>
        <w:rPr/>
        <w:t>2.2 The Legs: One-person spaceship</w:t>
      </w:r>
    </w:p>
    <w:p>
      <w:pPr>
        <w:pStyle w:val="Normal"/>
        <w:bidi w:val="0"/>
        <w:spacing w:lineRule="auto" w:line="276"/>
        <w:jc w:val="left"/>
        <w:rPr>
          <w:rFonts w:ascii="Times New Roman" w:hAnsi="Times New Roman"/>
          <w:color w:val="000000"/>
          <w:sz w:val="24"/>
          <w:szCs w:val="24"/>
        </w:rPr>
      </w:pPr>
      <w:r>
        <w:rPr>
          <w:rFonts w:ascii="Times New Roman" w:hAnsi="Times New Roman"/>
          <w:color w:val="000000"/>
          <w:sz w:val="24"/>
          <w:szCs w:val="24"/>
        </w:rPr>
        <w:t>According to NASA, spacesuits aren’t just clothing that astronauts wear, they’re a one-person spacecraft. For Extra-vehicular activity astronauts, the spacesuit provides three basic functions:</w:t>
      </w:r>
    </w:p>
    <w:p>
      <w:pPr>
        <w:pStyle w:val="Normal"/>
        <w:bidi w:val="0"/>
        <w:spacing w:lineRule="auto" w:line="276"/>
        <w:jc w:val="left"/>
        <w:rPr>
          <w:rFonts w:ascii="Times New Roman" w:hAnsi="Times New Roman"/>
          <w:color w:val="000000"/>
          <w:sz w:val="24"/>
          <w:szCs w:val="24"/>
        </w:rPr>
      </w:pPr>
      <w:r>
        <w:rPr>
          <w:rFonts w:ascii="Times New Roman" w:hAnsi="Times New Roman"/>
          <w:color w:val="000000"/>
          <w:sz w:val="24"/>
          <w:szCs w:val="24"/>
        </w:rPr>
        <w:t>- Maintaining the physiological wellbeing of the astronaut (supplying oxygen for pressurization, breathing and ventilation, carbon dioxide and metabolic heat removal)</w:t>
      </w:r>
    </w:p>
    <w:p>
      <w:pPr>
        <w:pStyle w:val="Normal"/>
        <w:bidi w:val="0"/>
        <w:spacing w:lineRule="auto" w:line="276"/>
        <w:jc w:val="left"/>
        <w:rPr>
          <w:rFonts w:ascii="Times New Roman" w:hAnsi="Times New Roman"/>
          <w:color w:val="000000"/>
          <w:sz w:val="24"/>
          <w:szCs w:val="24"/>
        </w:rPr>
      </w:pPr>
      <w:r>
        <w:rPr>
          <w:rFonts w:ascii="Times New Roman" w:hAnsi="Times New Roman"/>
          <w:color w:val="000000"/>
          <w:sz w:val="24"/>
          <w:szCs w:val="24"/>
        </w:rPr>
        <w:t>- Providing protection against the hazards of the EVA environment (thermal extremes, space debris, radiation, abrasion and sharp edges; space sand, dust and rocks)</w:t>
      </w:r>
    </w:p>
    <w:p>
      <w:pPr>
        <w:pStyle w:val="Normal"/>
        <w:bidi w:val="0"/>
        <w:spacing w:lineRule="auto" w:line="276"/>
        <w:jc w:val="left"/>
        <w:rPr>
          <w:rFonts w:ascii="Times New Roman" w:hAnsi="Times New Roman"/>
          <w:color w:val="000000"/>
          <w:sz w:val="24"/>
          <w:szCs w:val="24"/>
        </w:rPr>
      </w:pPr>
      <w:r>
        <w:rPr>
          <w:rFonts w:ascii="Times New Roman" w:hAnsi="Times New Roman"/>
          <w:color w:val="000000"/>
          <w:sz w:val="24"/>
          <w:szCs w:val="24"/>
        </w:rPr>
        <w:t>- Incorporating mobility joint system to enable astronauts to perform EVA tasks in pressurized conditions (including both dual and single-axis joints and bearings)</w:t>
      </w:r>
    </w:p>
    <w:p>
      <w:pPr>
        <w:pStyle w:val="Normal"/>
        <w:bidi w:val="0"/>
        <w:spacing w:lineRule="auto" w:line="276"/>
        <w:jc w:val="left"/>
        <w:rPr>
          <w:rFonts w:ascii="Times New Roman" w:hAnsi="Times New Roman"/>
          <w:color w:val="000000"/>
          <w:sz w:val="24"/>
          <w:szCs w:val="24"/>
        </w:rPr>
      </w:pPr>
      <w:r>
        <w:rPr>
          <w:rFonts w:ascii="Times New Roman" w:hAnsi="Times New Roman"/>
          <w:color w:val="000000"/>
          <w:sz w:val="24"/>
          <w:szCs w:val="24"/>
        </w:rPr>
        <w:t>Suits must be fully adaptable to dealing with space rocks: flexible and rugged to bend over, able to dig holes, walk up hill, bash rocks and closely observe rock specimen, collect and stash rock samples. They protect the astronaut from such EVA-specific conditions as vacuum, extreme temperatures, radiation, micrometeorites and microgravity. There are, consequently, many spacesuit-related hazards and risks, such as:</w:t>
      </w:r>
    </w:p>
    <w:p>
      <w:pPr>
        <w:pStyle w:val="Normal"/>
        <w:bidi w:val="0"/>
        <w:spacing w:lineRule="auto" w:line="276"/>
        <w:jc w:val="left"/>
        <w:rPr>
          <w:rFonts w:ascii="Times New Roman" w:hAnsi="Times New Roman"/>
          <w:color w:val="000000"/>
          <w:sz w:val="24"/>
          <w:szCs w:val="24"/>
        </w:rPr>
      </w:pPr>
      <w:r>
        <w:rPr>
          <w:rFonts w:ascii="Times New Roman" w:hAnsi="Times New Roman"/>
          <w:color w:val="000000"/>
          <w:sz w:val="24"/>
          <w:szCs w:val="24"/>
        </w:rPr>
        <w:t>- Thermal considerations (full body mobility recruits larger muscle groups resulting in greater human generated heat loads;</w:t>
      </w:r>
    </w:p>
    <w:p>
      <w:pPr>
        <w:pStyle w:val="Normal"/>
        <w:bidi w:val="0"/>
        <w:spacing w:lineRule="auto" w:line="276"/>
        <w:jc w:val="left"/>
        <w:rPr>
          <w:rFonts w:ascii="Times New Roman" w:hAnsi="Times New Roman"/>
          <w:color w:val="000000"/>
          <w:sz w:val="24"/>
          <w:szCs w:val="24"/>
        </w:rPr>
      </w:pPr>
      <w:r>
        <w:rPr>
          <w:rFonts w:ascii="Times New Roman" w:hAnsi="Times New Roman"/>
          <w:color w:val="000000"/>
          <w:sz w:val="24"/>
          <w:szCs w:val="24"/>
        </w:rPr>
        <w:t>presence of an atmosphere calls for constant means of heat transfer)</w:t>
      </w:r>
    </w:p>
    <w:p>
      <w:pPr>
        <w:pStyle w:val="Normal"/>
        <w:bidi w:val="0"/>
        <w:spacing w:lineRule="auto" w:line="276"/>
        <w:jc w:val="left"/>
        <w:rPr>
          <w:rFonts w:ascii="Times New Roman" w:hAnsi="Times New Roman"/>
          <w:color w:val="000000"/>
          <w:sz w:val="24"/>
          <w:szCs w:val="24"/>
        </w:rPr>
      </w:pPr>
      <w:r>
        <w:rPr>
          <w:rFonts w:ascii="Times New Roman" w:hAnsi="Times New Roman"/>
          <w:color w:val="000000"/>
          <w:sz w:val="24"/>
          <w:szCs w:val="24"/>
        </w:rPr>
        <w:t>- Dust hazards (the perchlorates highly present in the soil are toxic to humans;</w:t>
      </w:r>
    </w:p>
    <w:p>
      <w:pPr>
        <w:pStyle w:val="Normal"/>
        <w:bidi w:val="0"/>
        <w:spacing w:lineRule="auto" w:line="276"/>
        <w:jc w:val="left"/>
        <w:rPr>
          <w:rFonts w:ascii="Times New Roman" w:hAnsi="Times New Roman"/>
          <w:color w:val="000000"/>
          <w:sz w:val="24"/>
          <w:szCs w:val="24"/>
        </w:rPr>
      </w:pPr>
      <w:r>
        <w:rPr>
          <w:rFonts w:ascii="Times New Roman" w:hAnsi="Times New Roman"/>
          <w:color w:val="000000"/>
          <w:sz w:val="24"/>
          <w:szCs w:val="24"/>
        </w:rPr>
        <w:t>small particles can potentially create Foreign object damage in oxygen systems;</w:t>
      </w:r>
    </w:p>
    <w:p>
      <w:pPr>
        <w:pStyle w:val="Normal"/>
        <w:bidi w:val="0"/>
        <w:spacing w:lineRule="auto" w:line="276"/>
        <w:jc w:val="left"/>
        <w:rPr>
          <w:rFonts w:ascii="Times New Roman" w:hAnsi="Times New Roman"/>
          <w:color w:val="000000"/>
          <w:sz w:val="24"/>
          <w:szCs w:val="24"/>
        </w:rPr>
      </w:pPr>
      <w:r>
        <w:rPr>
          <w:rFonts w:ascii="Times New Roman" w:hAnsi="Times New Roman"/>
          <w:color w:val="000000"/>
          <w:sz w:val="24"/>
          <w:szCs w:val="24"/>
        </w:rPr>
        <w:t>particles wedged in textile fibers will accelerate space suit wear over time and potentially affect the thermal properties of the suit)</w:t>
      </w:r>
      <w:r>
        <w:rPr>
          <w:rFonts w:ascii="Times New Roman" w:hAnsi="Times New Roman"/>
          <w:color w:val="000000"/>
          <w:sz w:val="24"/>
          <w:szCs w:val="24"/>
        </w:rPr>
        <w:fldChar w:fldCharType="begin"/>
      </w:r>
      <w:r>
        <w:rPr>
          <w:rFonts w:ascii="Times New Roman" w:hAnsi="Times New Roman"/>
          <w:color w:val="000000"/>
          <w:sz w:val="24"/>
          <w:szCs w:val="24"/>
        </w:rPr>
        <w:instrText xml:space="preserve"> CITATION  "8"</w:instrText>
      </w:r>
      <w:r>
        <w:rPr>
          <w:rFonts w:ascii="Times New Roman" w:hAnsi="Times New Roman"/>
          <w:color w:val="000000"/>
          <w:sz w:val="24"/>
          <w:szCs w:val="24"/>
        </w:rPr>
        <w:fldChar w:fldCharType="separate"/>
      </w:r>
      <w:r>
        <w:rPr>
          <w:rFonts w:ascii="Times New Roman" w:hAnsi="Times New Roman"/>
          <w:color w:val="000000"/>
          <w:sz w:val="24"/>
          <w:szCs w:val="24"/>
        </w:rPr>
        <w:t>8</w:t>
      </w:r>
      <w:r>
        <w:rPr>
          <w:rFonts w:ascii="Times New Roman" w:hAnsi="Times New Roman"/>
          <w:color w:val="000000"/>
          <w:sz w:val="24"/>
          <w:szCs w:val="24"/>
        </w:rPr>
        <w:fldChar w:fldCharType="end"/>
      </w:r>
    </w:p>
    <w:p>
      <w:pPr>
        <w:pStyle w:val="Normal"/>
        <w:bidi w:val="0"/>
        <w:spacing w:lineRule="auto" w:line="276"/>
        <w:jc w:val="left"/>
        <w:rPr/>
      </w:pPr>
      <w:r>
        <w:rPr>
          <w:rFonts w:ascii="Times New Roman" w:hAnsi="Times New Roman"/>
          <w:color w:val="000000"/>
          <w:sz w:val="24"/>
          <w:szCs w:val="24"/>
        </w:rPr>
        <w:t xml:space="preserve">Thus, the production of a spacesuit is a most meticulous and costly process, each component undergoing rigorous inspection and testing throughout the manufacturing cycle. The process results in 100 million dollars for just one spacesuit. However, despite the precision required, and the stakes associated with a quality spacesuit, NASA still uses what is now expired hardware – their Extravehicular Mobility Unit. Despite being an updated model, the current EMU, still in usage for spacewalks, was originally developed in 1982 and as of 2026, is 40 years old – far beyond its original 15-year design life. </w:t>
      </w:r>
      <w:r>
        <w:rPr>
          <w:rFonts w:ascii="Times New Roman" w:hAnsi="Times New Roman"/>
          <w:b w:val="false"/>
          <w:i w:val="false"/>
          <w:caps w:val="false"/>
          <w:smallCaps w:val="false"/>
          <w:color w:val="000000"/>
          <w:spacing w:val="0"/>
          <w:sz w:val="24"/>
          <w:szCs w:val="24"/>
        </w:rPr>
        <w:t>Over the last decade, the Office of Inspector General has noted a plethora of design inadequacies, health risks, and inventory issues associated with the EMUs.</w:t>
      </w:r>
      <w:r>
        <w:rPr>
          <w:rFonts w:ascii="Times New Roman" w:hAnsi="Times New Roman"/>
          <w:b w:val="false"/>
          <w:i w:val="false"/>
          <w:caps w:val="false"/>
          <w:smallCaps w:val="false"/>
          <w:color w:val="000000"/>
          <w:spacing w:val="0"/>
          <w:sz w:val="24"/>
          <w:szCs w:val="24"/>
        </w:rPr>
        <w:fldChar w:fldCharType="begin"/>
      </w:r>
      <w:r>
        <w:rPr>
          <w:rFonts w:ascii="Times New Roman" w:hAnsi="Times New Roman"/>
          <w:b w:val="false"/>
          <w:i w:val="false"/>
          <w:caps w:val="false"/>
          <w:smallCaps w:val="false"/>
          <w:color w:val="000000"/>
          <w:spacing w:val="0"/>
          <w:sz w:val="24"/>
          <w:szCs w:val="24"/>
        </w:rPr>
        <w:instrText xml:space="preserve"> CITATION  "9"</w:instrText>
      </w:r>
      <w:r>
        <w:rPr>
          <w:rFonts w:ascii="Times New Roman" w:hAnsi="Times New Roman"/>
          <w:b w:val="false"/>
          <w:i w:val="false"/>
          <w:caps w:val="false"/>
          <w:smallCaps w:val="false"/>
          <w:color w:val="000000"/>
          <w:spacing w:val="0"/>
          <w:sz w:val="24"/>
          <w:szCs w:val="24"/>
        </w:rPr>
        <w:fldChar w:fldCharType="separate"/>
      </w:r>
      <w:r>
        <w:rPr>
          <w:rFonts w:ascii="Times New Roman" w:hAnsi="Times New Roman"/>
          <w:b w:val="false"/>
          <w:i w:val="false"/>
          <w:caps w:val="false"/>
          <w:smallCaps w:val="false"/>
          <w:color w:val="000000"/>
          <w:spacing w:val="0"/>
          <w:sz w:val="24"/>
          <w:szCs w:val="24"/>
        </w:rPr>
        <w:t>9</w:t>
      </w:r>
      <w:r>
        <w:rPr>
          <w:rFonts w:ascii="Times New Roman" w:hAnsi="Times New Roman"/>
          <w:b w:val="false"/>
          <w:i w:val="false"/>
          <w:caps w:val="false"/>
          <w:smallCaps w:val="false"/>
          <w:color w:val="000000"/>
          <w:spacing w:val="0"/>
          <w:sz w:val="24"/>
          <w:szCs w:val="24"/>
        </w:rPr>
        <w:fldChar w:fldCharType="end"/>
      </w:r>
      <w:r>
        <w:rPr>
          <w:rFonts w:ascii="Times New Roman" w:hAnsi="Times New Roman"/>
          <w:b w:val="false"/>
          <w:i w:val="false"/>
          <w:caps w:val="false"/>
          <w:smallCaps w:val="false"/>
          <w:color w:val="000000"/>
          <w:spacing w:val="0"/>
          <w:sz w:val="24"/>
          <w:szCs w:val="24"/>
        </w:rPr>
        <w:t xml:space="preserve"> On June 13, 2024, NASA cancelled an ISS spacewalk EVA 90 about an hour before scheduled, due to a "spacesuit discomfort issue" experienced by astronaut Matthew Dominick. NASA replaced Dominick with Mike Barratt and re-scheduled the spacewalk for June 24</w:t>
      </w:r>
      <w:r>
        <w:rPr>
          <w:rFonts w:ascii="Times New Roman" w:hAnsi="Times New Roman"/>
          <w:b w:val="false"/>
          <w:i w:val="false"/>
          <w:caps w:val="false"/>
          <w:smallCaps w:val="false"/>
          <w:color w:val="000000"/>
          <w:spacing w:val="0"/>
          <w:sz w:val="24"/>
          <w:szCs w:val="24"/>
          <w:vertAlign w:val="superscript"/>
        </w:rPr>
        <w:t>th</w:t>
      </w:r>
      <w:r>
        <w:rPr>
          <w:rFonts w:ascii="Times New Roman" w:hAnsi="Times New Roman"/>
          <w:b w:val="false"/>
          <w:i w:val="false"/>
          <w:caps w:val="false"/>
          <w:smallCaps w:val="false"/>
          <w:color w:val="000000"/>
          <w:spacing w:val="0"/>
          <w:sz w:val="24"/>
          <w:szCs w:val="24"/>
        </w:rPr>
        <w:t>, only to cancel it later on due to a water leak in the service and cooling umbilical unit on astronaut Tracy C. Dyson’s spacesuit. Five years ago, on March 2024, NASA had to cancel its first all-female spacewalk, citing not having enough spacesuits of smaller sizes as the reason.</w:t>
      </w:r>
      <w:hyperlink r:id="rId8">
        <w:r>
          <w:rPr>
            <w:rStyle w:val="Hyperlink"/>
            <w:rFonts w:ascii="Times New Roman" w:hAnsi="Times New Roman"/>
            <w:b w:val="false"/>
            <w:i w:val="false"/>
            <w:caps w:val="false"/>
            <w:smallCaps w:val="false"/>
            <w:color w:val="000000"/>
            <w:spacing w:val="0"/>
            <w:sz w:val="24"/>
            <w:szCs w:val="24"/>
          </w:rPr>
          <w:fldChar w:fldCharType="begin"/>
        </w:r>
        <w:r>
          <w:rPr>
            <w:rStyle w:val="Hyperlink"/>
            <w:rFonts w:ascii="Times New Roman" w:hAnsi="Times New Roman"/>
            <w:b w:val="false"/>
            <w:i w:val="false"/>
            <w:caps w:val="false"/>
            <w:smallCaps w:val="false"/>
            <w:color w:val="000000"/>
            <w:spacing w:val="0"/>
            <w:sz w:val="24"/>
            <w:szCs w:val="24"/>
          </w:rPr>
          <w:t xml:space="preserve"> </w:t>
        </w:r>
        <w:r>
          <w:rPr>
            <w:rStyle w:val="Hyperlink"/>
            <w:rFonts w:ascii="Times New Roman" w:hAnsi="Times New Roman"/>
            <w:b w:val="false"/>
            <w:i w:val="false"/>
            <w:caps w:val="false"/>
            <w:smallCaps w:val="false"/>
            <w:color w:val="000000"/>
            <w:spacing w:val="0"/>
            <w:sz w:val="24"/>
            <w:szCs w:val="24"/>
          </w:rPr>
          <w:instrText xml:space="preserve"> CITATION  "10"</w:instrText>
        </w:r>
        <w:r>
          <w:rPr>
            <w:rStyle w:val="Hyperlink"/>
            <w:rFonts w:ascii="Times New Roman" w:hAnsi="Times New Roman"/>
            <w:b w:val="false"/>
            <w:i w:val="false"/>
            <w:caps w:val="false"/>
            <w:smallCaps w:val="false"/>
            <w:color w:val="000000"/>
            <w:spacing w:val="0"/>
            <w:sz w:val="24"/>
            <w:szCs w:val="24"/>
          </w:rPr>
          <w:fldChar w:fldCharType="separate"/>
        </w:r>
        <w:r>
          <w:rPr>
            <w:rStyle w:val="Hyperlink"/>
            <w:rFonts w:ascii="Times New Roman" w:hAnsi="Times New Roman"/>
            <w:b w:val="false"/>
            <w:i w:val="false"/>
            <w:caps w:val="false"/>
            <w:smallCaps w:val="false"/>
            <w:color w:val="000000"/>
            <w:spacing w:val="0"/>
            <w:sz w:val="24"/>
            <w:szCs w:val="24"/>
          </w:rPr>
          <w:t>10</w:t>
        </w:r>
        <w:r>
          <w:rPr>
            <w:rStyle w:val="Hyperlink"/>
            <w:rFonts w:ascii="Times New Roman" w:hAnsi="Times New Roman"/>
            <w:b w:val="false"/>
            <w:i w:val="false"/>
            <w:caps w:val="false"/>
            <w:smallCaps w:val="false"/>
            <w:color w:val="000000"/>
            <w:spacing w:val="0"/>
            <w:sz w:val="24"/>
            <w:szCs w:val="24"/>
          </w:rPr>
          <w:fldChar w:fldCharType="end"/>
        </w:r>
      </w:hyperlink>
      <w:r>
        <w:rPr>
          <w:rFonts w:ascii="Times New Roman" w:hAnsi="Times New Roman"/>
          <w:b w:val="false"/>
          <w:i w:val="false"/>
          <w:caps w:val="false"/>
          <w:smallCaps w:val="false"/>
          <w:color w:val="000000"/>
          <w:spacing w:val="0"/>
          <w:sz w:val="24"/>
          <w:szCs w:val="24"/>
        </w:rPr>
        <w:t xml:space="preserve">Astronauts have also reported injuries due to the combination of spacesuit design and physical demands of performing spacewalks. The Office of Inspector General determined that Collins’ - NASA’s sole provider when it comes to spacesuits - performance had declined over the past several years, leading to considerable schedule delays and cost overruns. The EMU’s design is also so old that some historical suppliers have gone out of business or stopped producing the necessary parts. The urgency with which a new spacesuit standard is needed, prompted NASA to begin developing </w:t>
      </w:r>
      <w:r>
        <w:rPr>
          <w:rStyle w:val="Strong"/>
          <w:rFonts w:ascii="Times New Roman" w:hAnsi="Times New Roman"/>
          <w:b w:val="false"/>
          <w:i w:val="false"/>
          <w:caps w:val="false"/>
          <w:smallCaps w:val="false"/>
          <w:color w:val="000000"/>
          <w:spacing w:val="0"/>
          <w:sz w:val="24"/>
        </w:rPr>
        <w:t>the xEMU</w:t>
      </w:r>
      <w:r>
        <w:rPr>
          <w:rFonts w:ascii="Times New Roman" w:hAnsi="Times New Roman"/>
          <w:b w:val="false"/>
          <w:i w:val="false"/>
          <w:caps w:val="false"/>
          <w:smallCaps w:val="false"/>
          <w:color w:val="000000"/>
          <w:spacing w:val="0"/>
          <w:sz w:val="24"/>
        </w:rPr>
        <w:t xml:space="preserve">, which will support missions under the Artemis program, including the first human Moon landings since 1972. The xEMU features improved mobility, higher abrasion-resistance and enhanced life support systems. </w:t>
      </w:r>
      <w:hyperlink r:id="rId9">
        <w:r>
          <w:rPr>
            <w:rStyle w:val="Hyperlink"/>
            <w:rFonts w:ascii="Times New Roman" w:hAnsi="Times New Roman"/>
            <w:b w:val="false"/>
            <w:i w:val="false"/>
            <w:caps w:val="false"/>
            <w:smallCaps w:val="false"/>
            <w:color w:val="000000"/>
            <w:spacing w:val="0"/>
            <w:sz w:val="24"/>
          </w:rPr>
          <w:fldChar w:fldCharType="begin"/>
        </w:r>
        <w:r>
          <w:rPr>
            <w:rStyle w:val="Hyperlink"/>
            <w:rFonts w:ascii="Times New Roman" w:hAnsi="Times New Roman"/>
            <w:b w:val="false"/>
            <w:i w:val="false"/>
            <w:caps w:val="false"/>
            <w:smallCaps w:val="false"/>
            <w:color w:val="000000"/>
            <w:spacing w:val="0"/>
            <w:sz w:val="24"/>
          </w:rPr>
          <w:instrText xml:space="preserve"> CITATION  "11"</w:instrText>
        </w:r>
        <w:r>
          <w:rPr>
            <w:rStyle w:val="Hyperlink"/>
            <w:rFonts w:ascii="Times New Roman" w:hAnsi="Times New Roman"/>
            <w:b w:val="false"/>
            <w:i w:val="false"/>
            <w:caps w:val="false"/>
            <w:smallCaps w:val="false"/>
            <w:color w:val="000000"/>
            <w:spacing w:val="0"/>
            <w:sz w:val="24"/>
          </w:rPr>
          <w:fldChar w:fldCharType="separate"/>
        </w:r>
        <w:r>
          <w:rPr>
            <w:rStyle w:val="Hyperlink"/>
            <w:rFonts w:ascii="Times New Roman" w:hAnsi="Times New Roman"/>
            <w:b w:val="false"/>
            <w:i w:val="false"/>
            <w:caps w:val="false"/>
            <w:smallCaps w:val="false"/>
            <w:color w:val="000000"/>
            <w:spacing w:val="0"/>
            <w:sz w:val="24"/>
          </w:rPr>
          <w:t>11</w:t>
        </w:r>
        <w:r>
          <w:rPr>
            <w:rStyle w:val="Hyperlink"/>
            <w:rFonts w:ascii="Times New Roman" w:hAnsi="Times New Roman"/>
            <w:b w:val="false"/>
            <w:i w:val="false"/>
            <w:caps w:val="false"/>
            <w:smallCaps w:val="false"/>
            <w:color w:val="000000"/>
            <w:spacing w:val="0"/>
            <w:sz w:val="24"/>
          </w:rPr>
          <w:fldChar w:fldCharType="end"/>
        </w:r>
      </w:hyperlink>
    </w:p>
    <w:p>
      <w:pPr>
        <w:pStyle w:val="Normal"/>
        <w:bidi w:val="0"/>
        <w:spacing w:lineRule="auto" w:line="276"/>
        <w:jc w:val="left"/>
        <w:rPr/>
      </w:pPr>
      <w:r>
        <w:rPr>
          <w:rFonts w:ascii="Times New Roman" w:hAnsi="Times New Roman"/>
          <w:b w:val="false"/>
          <w:i w:val="false"/>
          <w:caps w:val="false"/>
          <w:smallCaps w:val="false"/>
          <w:color w:val="000000"/>
          <w:spacing w:val="0"/>
          <w:sz w:val="24"/>
        </w:rPr>
        <w:t xml:space="preserve">There’s no doubt, that, for the testing and implementation of such new hardware, advanced technology will be put to use. Here, NEFET becomes a tool which will follow the spacesuit journey from manufacturing to outer space. </w:t>
      </w:r>
      <w:r>
        <w:rPr>
          <w:rFonts w:ascii="Times New Roman" w:hAnsi="Times New Roman"/>
          <w:color w:val="000000"/>
        </w:rPr>
        <w:t xml:space="preserve">Whereas the human eye misses micro-defects under 1mm </w:t>
      </w:r>
      <w:r>
        <w:rPr>
          <w:rFonts w:ascii="Times New Roman" w:hAnsi="Times New Roman"/>
        </w:rPr>
        <w:t>due to visual acuity limits and lighting variability</w:t>
      </w:r>
      <w:r>
        <w:rPr>
          <w:rFonts w:ascii="Times New Roman" w:hAnsi="Times New Roman"/>
          <w:color w:val="000000"/>
        </w:rPr>
        <w:t xml:space="preserve">, deep learning computer vision can </w:t>
      </w:r>
      <w:r>
        <w:rPr>
          <w:rFonts w:ascii="Times New Roman" w:hAnsi="Times New Roman"/>
        </w:rPr>
        <w:t>detect pixel-level anomalies at sub-millimeter resolution depending on sensor quality.</w:t>
      </w:r>
      <w:r>
        <w:rPr>
          <w:rFonts w:ascii="Times New Roman" w:hAnsi="Times New Roman"/>
        </w:rPr>
        <w:fldChar w:fldCharType="begin"/>
      </w:r>
      <w:r>
        <w:rPr>
          <w:rFonts w:ascii="Times New Roman" w:hAnsi="Times New Roman"/>
        </w:rPr>
        <w:instrText xml:space="preserve"> CITATION  "12"</w:instrText>
      </w:r>
      <w:r>
        <w:rPr>
          <w:rFonts w:ascii="Times New Roman" w:hAnsi="Times New Roman"/>
        </w:rPr>
        <w:fldChar w:fldCharType="separate"/>
      </w:r>
      <w:r>
        <w:rPr>
          <w:rFonts w:ascii="Times New Roman" w:hAnsi="Times New Roman"/>
        </w:rPr>
        <w:t>12</w:t>
      </w:r>
      <w:r>
        <w:rPr>
          <w:rFonts w:ascii="Times New Roman" w:hAnsi="Times New Roman"/>
        </w:rPr>
        <w:fldChar w:fldCharType="end"/>
      </w:r>
      <w:r>
        <w:rPr>
          <w:rFonts w:ascii="Times New Roman" w:hAnsi="Times New Roman"/>
        </w:rPr>
        <w:t xml:space="preserve"> Those anomalies include </w:t>
      </w:r>
      <w:r>
        <w:rPr>
          <w:rFonts w:ascii="Times New Roman" w:hAnsi="Times New Roman"/>
          <w:b w:val="false"/>
          <w:i w:val="false"/>
          <w:caps w:val="false"/>
          <w:smallCaps w:val="false"/>
          <w:color w:val="000000"/>
          <w:spacing w:val="0"/>
          <w:sz w:val="24"/>
        </w:rPr>
        <w:t>a</w:t>
      </w:r>
      <w:r>
        <w:rPr>
          <w:rFonts w:ascii="Times New Roman" w:hAnsi="Times New Roman"/>
          <w:color w:val="000000"/>
        </w:rPr>
        <w:t xml:space="preserve">brasions, seam degradation, micrometeoroid punctures, thermal discoloration </w:t>
      </w:r>
      <w:r>
        <w:rPr>
          <w:rFonts w:ascii="Times New Roman" w:hAnsi="Times New Roman"/>
        </w:rPr>
        <w:t xml:space="preserve">caused by UV and atomic oxygen exposure, </w:t>
      </w:r>
      <w:r>
        <w:rPr>
          <w:rFonts w:ascii="Times New Roman" w:hAnsi="Times New Roman"/>
          <w:color w:val="000000"/>
        </w:rPr>
        <w:t xml:space="preserve">and dust infiltration - </w:t>
      </w:r>
      <w:r>
        <w:rPr>
          <w:rFonts w:ascii="Times New Roman" w:hAnsi="Times New Roman"/>
        </w:rPr>
        <w:t>critical for lunar regolith, with its angular, electrostatically charged, and highly abrasive particles</w:t>
      </w:r>
      <w:r>
        <w:rPr>
          <w:rFonts w:ascii="Times New Roman" w:hAnsi="Times New Roman"/>
          <w:color w:val="000000"/>
        </w:rPr>
        <w:t>.</w:t>
      </w:r>
      <w:r>
        <w:rPr>
          <w:rFonts w:ascii="Times New Roman" w:hAnsi="Times New Roman"/>
          <w:color w:val="000000"/>
        </w:rPr>
        <w:fldChar w:fldCharType="begin"/>
      </w:r>
      <w:r>
        <w:rPr>
          <w:rFonts w:ascii="Times New Roman" w:hAnsi="Times New Roman"/>
          <w:color w:val="000000"/>
        </w:rPr>
        <w:instrText xml:space="preserve"> CITATION  "13"</w:instrText>
      </w:r>
      <w:r>
        <w:rPr>
          <w:rFonts w:ascii="Times New Roman" w:hAnsi="Times New Roman"/>
          <w:color w:val="000000"/>
        </w:rPr>
        <w:fldChar w:fldCharType="separate"/>
      </w:r>
      <w:r>
        <w:rPr>
          <w:rFonts w:ascii="Times New Roman" w:hAnsi="Times New Roman"/>
          <w:color w:val="000000"/>
        </w:rPr>
        <w:t>13</w:t>
      </w:r>
      <w:r>
        <w:rPr>
          <w:rFonts w:ascii="Times New Roman" w:hAnsi="Times New Roman"/>
          <w:color w:val="000000"/>
        </w:rPr>
        <w:fldChar w:fldCharType="end"/>
      </w:r>
      <w:r>
        <w:rPr>
          <w:rFonts w:ascii="Times New Roman" w:hAnsi="Times New Roman"/>
          <w:color w:val="000000"/>
        </w:rPr>
        <w:t xml:space="preserve"> The training data includes labelled damaged vs. intact fabric images and synthetic and thermal damage patterns.</w:t>
      </w:r>
    </w:p>
    <w:p>
      <w:pPr>
        <w:pStyle w:val="Normal"/>
        <w:bidi w:val="0"/>
        <w:spacing w:lineRule="auto" w:line="276"/>
        <w:jc w:val="left"/>
        <w:rPr>
          <w:rFonts w:ascii="Times New Roman" w:hAnsi="Times New Roman"/>
        </w:rPr>
      </w:pPr>
      <w:r>
        <w:rPr>
          <w:rFonts w:ascii="Times New Roman" w:hAnsi="Times New Roman"/>
          <w:color w:val="000000"/>
        </w:rPr>
        <w:t xml:space="preserve">AI models can also predict synthetic fiber degradation rate and probability of tear propagation using regression-based machine learning and fracture mechanics-informed neural networks. </w:t>
      </w:r>
      <w:r>
        <w:rPr>
          <w:rFonts w:ascii="Times New Roman" w:hAnsi="Times New Roman"/>
        </w:rPr>
        <w:t>By incorporating Paris’ Law parameters for crack growth, stress-intensity factors, and experimentally derived tensile stress–strain curves, the system can estimate the Remaining Useful Life of suit joints and soft-goods components, ensuring outdated spacesuit models won’t remain in operational service. Input datasets, here, include tensile stress curves, flex cycle counts (often exceeding tens of thousands during qualification testing), radiation exposure levels, and thermal cycling histories.</w:t>
      </w:r>
    </w:p>
    <w:p>
      <w:pPr>
        <w:pStyle w:val="Normal"/>
        <w:bidi w:val="0"/>
        <w:spacing w:lineRule="auto" w:line="276"/>
        <w:jc w:val="left"/>
        <w:rPr>
          <w:rFonts w:ascii="Times New Roman" w:hAnsi="Times New Roman"/>
        </w:rPr>
      </w:pPr>
      <w:r>
        <w:rPr>
          <w:rFonts w:ascii="Times New Roman" w:hAnsi="Times New Roman"/>
        </w:rPr>
        <w:t>Recurrent Neural Networks can analyze time-series telemetry from pressure sensors, oxygen regulators, and CO₂ scrubber systems to identify micro-leaks not detectable by static thresholding methods. By modeling transient pressure oscillations and gas flow anomalies, the system can detect early leak signatures before catastrophic failure, enabling predictive maintenance and rapid intervention during Extravehicular Activity.</w:t>
      </w:r>
    </w:p>
    <w:p>
      <w:pPr>
        <w:pStyle w:val="Heading2"/>
        <w:ind w:hanging="0" w:left="0"/>
        <w:rPr/>
      </w:pPr>
      <w:bookmarkStart w:id="4" w:name="__RefHeading___Toc1357_2830917912"/>
      <w:bookmarkEnd w:id="4"/>
      <w:r>
        <w:rPr/>
        <w:t>2.3 The Head: One astronaut at a time</w:t>
      </w:r>
    </w:p>
    <w:p>
      <w:pPr>
        <w:pStyle w:val="Normal"/>
        <w:bidi w:val="0"/>
        <w:spacing w:lineRule="auto" w:line="276"/>
        <w:jc w:val="left"/>
        <w:rPr/>
      </w:pPr>
      <w:r>
        <w:rPr>
          <w:rFonts w:ascii="Times New Roman" w:hAnsi="Times New Roman"/>
          <w:sz w:val="24"/>
          <w:szCs w:val="24"/>
        </w:rPr>
        <w:t>Astronauts get back from space in a state of physical weakness, with no organ system in the human body spared from the effects of microgravity: space travel impacts the neurological, ophthalmological, cardiovascular, pulmonary, gastrointestinal, urinary, musculoskeletal, hematological, oncological systems. Some symptoms, such as muscle atrophy and bone density loss, are well-known by everyone. Ocularly, astronauts  have experienced optic disc edema, globe flattening, choroidal folds, hyperopic shifts and an increased intracranial pressure during or after long-duration flights</w:t>
      </w:r>
      <w:r>
        <w:rPr>
          <w:rFonts w:ascii="Times New Roman" w:hAnsi="Times New Roman"/>
          <w:b w:val="false"/>
          <w:i w:val="false"/>
          <w:caps w:val="false"/>
          <w:smallCaps w:val="false"/>
          <w:color w:val="202122"/>
          <w:spacing w:val="0"/>
          <w:sz w:val="24"/>
        </w:rPr>
        <w:t xml:space="preserve">. </w:t>
      </w:r>
      <w:r>
        <w:rPr>
          <w:rFonts w:ascii="Times New Roman" w:hAnsi="Times New Roman"/>
          <w:sz w:val="24"/>
          <w:szCs w:val="24"/>
        </w:rPr>
        <w:t>To exacerbate the aforementioned problems, data acquisition and analysis of astronauts’ wellbeing is imperfect. It is not known which parameters should be monitored to maximise benefit and decrease harm. More invasive tests such as intraocular pressure, pulmonary function, kidney function, and cancer surveillance require specialty devices and/or trained technicians. Diagnostics such as imaging and blood work are limited and communications with earth is delayed, to the point where even if a disease is correctly identified, in-flight capacity for medical interventions such as pharmaceuticals and surgery are greatly reduced.</w:t>
      </w:r>
      <w:r>
        <w:rPr>
          <w:rFonts w:ascii="Times New Roman" w:hAnsi="Times New Roman"/>
          <w:sz w:val="24"/>
          <w:szCs w:val="24"/>
        </w:rPr>
        <w:fldChar w:fldCharType="begin"/>
      </w:r>
      <w:r>
        <w:rPr>
          <w:rFonts w:ascii="Times New Roman" w:hAnsi="Times New Roman"/>
          <w:sz w:val="24"/>
          <w:szCs w:val="24"/>
        </w:rPr>
        <w:instrText xml:space="preserve"> CITATION  "14"</w:instrText>
      </w:r>
      <w:r>
        <w:rPr>
          <w:rFonts w:ascii="Times New Roman" w:hAnsi="Times New Roman"/>
          <w:sz w:val="24"/>
          <w:szCs w:val="24"/>
        </w:rPr>
        <w:fldChar w:fldCharType="separate"/>
      </w:r>
      <w:r>
        <w:rPr>
          <w:rFonts w:ascii="Times New Roman" w:hAnsi="Times New Roman"/>
          <w:sz w:val="24"/>
          <w:szCs w:val="24"/>
        </w:rPr>
        <w:t>14</w:t>
      </w:r>
      <w:r>
        <w:rPr>
          <w:rFonts w:ascii="Times New Roman" w:hAnsi="Times New Roman"/>
          <w:sz w:val="24"/>
          <w:szCs w:val="24"/>
        </w:rPr>
        <w:fldChar w:fldCharType="end"/>
      </w:r>
    </w:p>
    <w:p>
      <w:pPr>
        <w:pStyle w:val="Normal"/>
        <w:bidi w:val="0"/>
        <w:spacing w:lineRule="auto" w:line="276"/>
        <w:jc w:val="left"/>
        <w:rPr/>
      </w:pPr>
      <w:r>
        <w:rPr>
          <w:rFonts w:ascii="Times New Roman" w:hAnsi="Times New Roman"/>
          <w:sz w:val="24"/>
          <w:szCs w:val="24"/>
        </w:rPr>
        <w:t>The guiding philosophy of NEFET rests on the belied that astronauts’ wellbeing is central to the mission’s success; and that with utilization of modern technology, such numerous symptoms can be ameliorated. NEFET will work to offer a personalized AI assistant for each member of the spacecraft crew, focusing on individualized care. Returning to robotic technology once again, each astronaut on board will receive his own mini-robot unit. Through biometric chips embedded into spacesuits, the AI model will continuously monitor their heartbeat and pressure.</w:t>
      </w:r>
      <w:hyperlink r:id="rId10">
        <w:r>
          <w:rPr>
            <w:rStyle w:val="Hyperlink"/>
            <w:rFonts w:ascii="Times New Roman" w:hAnsi="Times New Roman"/>
            <w:sz w:val="24"/>
            <w:szCs w:val="24"/>
          </w:rPr>
          <w:fldChar w:fldCharType="begin"/>
        </w:r>
        <w:r>
          <w:rPr>
            <w:rFonts w:ascii="Times New Roman" w:hAnsi="Times New Roman"/>
            <w:sz w:val="24"/>
            <w:szCs w:val="24"/>
          </w:rPr>
          <w:instrText xml:space="preserve"> CITATION  "15"</w:instrText>
        </w:r>
        <w:r>
          <w:rPr>
            <w:rFonts w:ascii="Times New Roman" w:hAnsi="Times New Roman"/>
            <w:sz w:val="24"/>
            <w:szCs w:val="24"/>
          </w:rPr>
          <w:fldChar w:fldCharType="separate"/>
        </w:r>
        <w:r>
          <w:rPr>
            <w:rFonts w:ascii="Times New Roman" w:hAnsi="Times New Roman"/>
            <w:sz w:val="24"/>
            <w:szCs w:val="24"/>
          </w:rPr>
          <w:t>15</w:t>
        </w:r>
        <w:r>
          <w:rPr>
            <w:rFonts w:ascii="Times New Roman" w:hAnsi="Times New Roman"/>
            <w:sz w:val="24"/>
            <w:szCs w:val="24"/>
          </w:rPr>
          <w:fldChar w:fldCharType="end"/>
        </w:r>
      </w:hyperlink>
      <w:r>
        <w:rPr>
          <w:rFonts w:ascii="Times New Roman" w:hAnsi="Times New Roman"/>
          <w:sz w:val="24"/>
          <w:szCs w:val="24"/>
        </w:rPr>
        <w:t xml:space="preserve"> </w:t>
      </w:r>
      <w:r>
        <w:rPr>
          <w:rFonts w:ascii="Times New Roman" w:hAnsi="Times New Roman"/>
        </w:rPr>
        <w:t xml:space="preserve">These measurements will be analyzed in real time to detect early signs of cardiovascular strain or abnormal physiological responses to microgravity. </w:t>
      </w:r>
      <w:r>
        <w:rPr>
          <w:rFonts w:ascii="Times New Roman" w:hAnsi="Times New Roman"/>
          <w:sz w:val="24"/>
          <w:szCs w:val="24"/>
        </w:rPr>
        <w:t xml:space="preserve">The mini-robot assigned to the members will also perform daily face scanning, as often astronauts aren’t able to notice or perceive their own symptoms due to microgravity pushing back their senses. Deep learning methods will detect symptoms of exhaustion, sleep deprivation, dehydration, improper diet, or dermatological issues based on </w:t>
      </w:r>
      <w:r>
        <w:rPr>
          <w:rFonts w:ascii="Times New Roman" w:hAnsi="Times New Roman"/>
        </w:rPr>
        <w:t>micro-expressions,</w:t>
      </w:r>
      <w:r>
        <w:rPr/>
        <w:t xml:space="preserve"> </w:t>
      </w:r>
      <w:r>
        <w:rPr>
          <w:rFonts w:ascii="Times New Roman" w:hAnsi="Times New Roman"/>
        </w:rPr>
        <w:t>swelling, and skin irritation.</w:t>
      </w:r>
      <w:r>
        <w:rPr>
          <w:rFonts w:ascii="Times New Roman" w:hAnsi="Times New Roman"/>
        </w:rPr>
        <w:fldChar w:fldCharType="begin"/>
      </w:r>
      <w:r>
        <w:rPr>
          <w:rFonts w:ascii="Times New Roman" w:hAnsi="Times New Roman"/>
        </w:rPr>
        <w:instrText xml:space="preserve"> CITATION  "16"</w:instrText>
      </w:r>
      <w:r>
        <w:rPr>
          <w:rFonts w:ascii="Times New Roman" w:hAnsi="Times New Roman"/>
        </w:rPr>
        <w:fldChar w:fldCharType="separate"/>
      </w:r>
      <w:r>
        <w:rPr>
          <w:rFonts w:ascii="Times New Roman" w:hAnsi="Times New Roman"/>
        </w:rPr>
        <w:t>16</w:t>
      </w:r>
      <w:r>
        <w:rPr>
          <w:rFonts w:ascii="Times New Roman" w:hAnsi="Times New Roman"/>
        </w:rPr>
        <w:fldChar w:fldCharType="end"/>
      </w:r>
      <w:r>
        <w:rPr>
          <w:rFonts w:ascii="Times New Roman" w:hAnsi="Times New Roman"/>
        </w:rPr>
        <w:t xml:space="preserve"> Based on its analysis, NEFET will securely transmit structured health summaries to ground-based monitoring centers, enabling their medical teams to design personalized recovery plans and adjust countermeasures before minor symptoms escalate into mission-threatening conditions. The accumulation of such analysis long term, will help researchers modify the training process and diets of astronauts, helping lessen physiological degradation during long-duration missions.</w:t>
      </w:r>
    </w:p>
    <w:p>
      <w:pPr>
        <w:pStyle w:val="Heading2"/>
        <w:ind w:hanging="0" w:left="0"/>
        <w:rPr/>
      </w:pPr>
      <w:bookmarkStart w:id="5" w:name="__RefHeading___Toc1359_2830917912"/>
      <w:bookmarkEnd w:id="5"/>
      <w:r>
        <w:rPr/>
        <w:t>2.4 The Soul: A life-saving conversation</w:t>
      </w:r>
    </w:p>
    <w:p>
      <w:pPr>
        <w:pStyle w:val="Normal"/>
        <w:bidi w:val="0"/>
        <w:spacing w:lineRule="auto" w:line="276"/>
        <w:jc w:val="left"/>
        <w:rPr>
          <w:rFonts w:ascii="Times New Roman" w:hAnsi="Times New Roman"/>
          <w:sz w:val="24"/>
          <w:szCs w:val="24"/>
        </w:rPr>
      </w:pPr>
      <w:r>
        <w:rPr>
          <w:rFonts w:ascii="Times New Roman" w:hAnsi="Times New Roman"/>
          <w:sz w:val="24"/>
          <w:szCs w:val="24"/>
        </w:rPr>
        <w:t xml:space="preserve">While there's not much emotional intelligence required to understand the isolation that may come from being confined in a mental tube isolated not just from civilization, but from sunlight - the deterioration of astronauts' mental health is a highly documented and scientifically proven event. According to NASA, the psychological issues arising among astronauts are among the top five hazards of cosmic travel. Astronauts face sleep loss, circadian desynchronization, and work overload that all lead to decreased performance, adverse health outcomes, and compromised mission objectives. </w:t>
      </w:r>
    </w:p>
    <w:p>
      <w:pPr>
        <w:pStyle w:val="Normal"/>
        <w:bidi w:val="0"/>
        <w:spacing w:lineRule="auto" w:line="276"/>
        <w:jc w:val="left"/>
        <w:rPr/>
      </w:pPr>
      <w:r>
        <w:rPr>
          <w:rFonts w:ascii="Times New Roman" w:hAnsi="Times New Roman"/>
          <w:sz w:val="24"/>
          <w:szCs w:val="24"/>
        </w:rPr>
        <w:t xml:space="preserve">The prolonged isolation and confinement that astronauts face in space can increase risks of behavioral issues and psychiatric disorders, such as anxiety and depression. Studies have simulated the confined environments of a spacecraft, once again proving symptoms of </w:t>
      </w:r>
      <w:r>
        <w:rPr>
          <w:rFonts w:ascii="Times New Roman" w:hAnsi="Times New Roman"/>
          <w:b w:val="false"/>
          <w:i w:val="false"/>
          <w:caps w:val="false"/>
          <w:smallCaps w:val="false"/>
          <w:color w:val="000000"/>
          <w:spacing w:val="0"/>
          <w:sz w:val="24"/>
        </w:rPr>
        <w:t xml:space="preserve">irritability, fatigue, and emotional lability - conditions sometimes referred to as "asthenization." </w:t>
      </w:r>
      <w:r>
        <w:rPr>
          <w:rFonts w:ascii="Times New Roman" w:hAnsi="Times New Roman"/>
          <w:b w:val="false"/>
          <w:i w:val="false"/>
          <w:caps w:val="false"/>
          <w:smallCaps w:val="false"/>
          <w:color w:val="000000"/>
          <w:spacing w:val="0"/>
          <w:sz w:val="24"/>
        </w:rPr>
        <w:fldChar w:fldCharType="begin"/>
      </w:r>
      <w:r>
        <w:rPr>
          <w:rFonts w:ascii="Times New Roman" w:hAnsi="Times New Roman"/>
          <w:b w:val="false"/>
          <w:i w:val="false"/>
          <w:caps w:val="false"/>
          <w:smallCaps w:val="false"/>
          <w:color w:val="000000"/>
          <w:spacing w:val="0"/>
          <w:sz w:val="24"/>
        </w:rPr>
        <w:instrText xml:space="preserve"> CITATION  "17"</w:instrText>
      </w:r>
      <w:r>
        <w:rPr>
          <w:rFonts w:ascii="Times New Roman" w:hAnsi="Times New Roman"/>
          <w:b w:val="false"/>
          <w:i w:val="false"/>
          <w:caps w:val="false"/>
          <w:smallCaps w:val="false"/>
          <w:color w:val="000000"/>
          <w:spacing w:val="0"/>
          <w:sz w:val="24"/>
        </w:rPr>
        <w:fldChar w:fldCharType="separate"/>
      </w:r>
      <w:r>
        <w:rPr>
          <w:rFonts w:ascii="Times New Roman" w:hAnsi="Times New Roman"/>
          <w:b w:val="false"/>
          <w:i w:val="false"/>
          <w:caps w:val="false"/>
          <w:smallCaps w:val="false"/>
          <w:color w:val="000000"/>
          <w:spacing w:val="0"/>
          <w:sz w:val="24"/>
        </w:rPr>
        <w:t>17</w:t>
      </w:r>
      <w:r>
        <w:rPr>
          <w:rFonts w:ascii="Times New Roman" w:hAnsi="Times New Roman"/>
          <w:b w:val="false"/>
          <w:i w:val="false"/>
          <w:caps w:val="false"/>
          <w:smallCaps w:val="false"/>
          <w:color w:val="000000"/>
          <w:spacing w:val="0"/>
          <w:sz w:val="24"/>
        </w:rPr>
        <w:fldChar w:fldCharType="end"/>
      </w:r>
    </w:p>
    <w:p>
      <w:pPr>
        <w:pStyle w:val="Normal"/>
        <w:bidi w:val="0"/>
        <w:spacing w:lineRule="auto" w:line="276"/>
        <w:jc w:val="left"/>
        <w:rPr>
          <w:rFonts w:ascii="Times New Roman" w:hAnsi="Times New Roman"/>
          <w:b w:val="false"/>
          <w:i w:val="false"/>
          <w:caps w:val="false"/>
          <w:smallCaps w:val="false"/>
          <w:color w:val="000000"/>
          <w:spacing w:val="0"/>
          <w:sz w:val="24"/>
        </w:rPr>
      </w:pPr>
      <w:r>
        <w:rPr>
          <w:rFonts w:ascii="Times New Roman" w:hAnsi="Times New Roman"/>
          <w:b w:val="false"/>
          <w:i w:val="false"/>
          <w:caps w:val="false"/>
          <w:smallCaps w:val="false"/>
          <w:color w:val="000000"/>
          <w:spacing w:val="0"/>
          <w:sz w:val="24"/>
        </w:rPr>
        <w:t xml:space="preserve"> </w:t>
      </w:r>
      <w:r>
        <w:rPr>
          <w:rFonts w:ascii="Times New Roman" w:hAnsi="Times New Roman"/>
          <w:b w:val="false"/>
          <w:i w:val="false"/>
          <w:caps w:val="false"/>
          <w:smallCaps w:val="false"/>
          <w:color w:val="000000"/>
          <w:spacing w:val="0"/>
          <w:sz w:val="24"/>
        </w:rPr>
        <w:t xml:space="preserve">The rapid 90-minute day-night cycle in orbit disrupts circadian rhythms, while limited social interaction and separation from loved ones heighten feelings of loneliness. While at first glance, it sounds ridiculous that Artificial Intelligence, a process of automation and calculation, might help with the matters of the heart and soul, AI is already being successfully implemented as a therapeutic method, successful in enhancing early intervention, personalizing treatment plans and improving overall mental well-being. </w:t>
      </w:r>
      <w:r>
        <w:rPr>
          <w:rFonts w:ascii="Times New Roman" w:hAnsi="Times New Roman"/>
          <w:b w:val="false"/>
          <w:i w:val="false"/>
          <w:caps w:val="false"/>
          <w:smallCaps w:val="false"/>
          <w:color w:val="000000"/>
          <w:spacing w:val="0"/>
          <w:sz w:val="24"/>
        </w:rPr>
        <w:fldChar w:fldCharType="begin"/>
      </w:r>
      <w:r>
        <w:rPr>
          <w:rFonts w:ascii="Times New Roman" w:hAnsi="Times New Roman"/>
          <w:b w:val="false"/>
          <w:i w:val="false"/>
          <w:caps w:val="false"/>
          <w:smallCaps w:val="false"/>
          <w:color w:val="000000"/>
          <w:spacing w:val="0"/>
          <w:sz w:val="24"/>
        </w:rPr>
        <w:instrText xml:space="preserve"> CITATION  "18"</w:instrText>
      </w:r>
      <w:r>
        <w:rPr>
          <w:rFonts w:ascii="Times New Roman" w:hAnsi="Times New Roman"/>
          <w:b w:val="false"/>
          <w:i w:val="false"/>
          <w:caps w:val="false"/>
          <w:smallCaps w:val="false"/>
          <w:color w:val="000000"/>
          <w:spacing w:val="0"/>
          <w:sz w:val="24"/>
        </w:rPr>
        <w:fldChar w:fldCharType="separate"/>
      </w:r>
      <w:r>
        <w:rPr>
          <w:rFonts w:ascii="Times New Roman" w:hAnsi="Times New Roman"/>
          <w:b w:val="false"/>
          <w:i w:val="false"/>
          <w:caps w:val="false"/>
          <w:smallCaps w:val="false"/>
          <w:color w:val="000000"/>
          <w:spacing w:val="0"/>
          <w:sz w:val="24"/>
        </w:rPr>
        <w:t>18</w:t>
      </w:r>
      <w:r>
        <w:rPr>
          <w:rFonts w:ascii="Times New Roman" w:hAnsi="Times New Roman"/>
          <w:b w:val="false"/>
          <w:i w:val="false"/>
          <w:caps w:val="false"/>
          <w:smallCaps w:val="false"/>
          <w:color w:val="000000"/>
          <w:spacing w:val="0"/>
          <w:sz w:val="24"/>
        </w:rPr>
        <w:fldChar w:fldCharType="end"/>
      </w:r>
    </w:p>
    <w:p>
      <w:pPr>
        <w:pStyle w:val="Normal"/>
        <w:bidi w:val="0"/>
        <w:spacing w:lineRule="auto" w:line="276"/>
        <w:jc w:val="left"/>
        <w:rPr/>
      </w:pPr>
      <w:r>
        <w:rPr>
          <w:rFonts w:ascii="Times New Roman" w:hAnsi="Times New Roman"/>
          <w:b w:val="false"/>
          <w:i w:val="false"/>
          <w:caps w:val="false"/>
          <w:smallCaps w:val="false"/>
          <w:color w:val="000000"/>
          <w:spacing w:val="0"/>
          <w:sz w:val="24"/>
        </w:rPr>
      </w:r>
      <w:r>
        <w:rPr>
          <w:rFonts w:ascii="Times New Roman" w:hAnsi="Times New Roman"/>
          <w:b w:val="false"/>
          <w:i w:val="false"/>
          <w:caps w:val="false"/>
          <w:smallCaps w:val="false"/>
          <w:color w:val="000000"/>
          <w:spacing w:val="0"/>
          <w:sz w:val="24"/>
        </w:rPr>
      </w:r>
      <w:r>
        <w:rPr>
          <w:rFonts w:ascii="Times New Roman" w:hAnsi="Times New Roman"/>
          <w:b w:val="false"/>
          <w:i w:val="false"/>
          <w:caps w:val="false"/>
          <w:smallCaps w:val="false"/>
          <w:color w:val="000000"/>
          <w:spacing w:val="0"/>
          <w:sz w:val="24"/>
        </w:rPr>
        <w:t xml:space="preserve"> </w:t>
      </w:r>
      <w:r>
        <w:rPr>
          <w:rFonts w:ascii="Times New Roman" w:hAnsi="Times New Roman"/>
          <w:b w:val="false"/>
          <w:i w:val="false"/>
          <w:caps w:val="false"/>
          <w:smallCaps w:val="false"/>
          <w:color w:val="000000"/>
          <w:spacing w:val="0"/>
          <w:sz w:val="24"/>
        </w:rPr>
        <w:t xml:space="preserve">NEFET will ‘mimic’ ELIZA – one of the earliest AI applications in psychology, created by Joseph Weizenbaum in the early 1970s – a simplistic chatbot yielding the power of engaging users in text-based conversations. NEFET will serve as an interlocutor for each member of the spacecraft crew, able to become their friend, therapist or trusted face. On top of analyzing the content of human speech, Natural Languages Processing techniques embedded into the model will implement </w:t>
      </w:r>
      <w:r>
        <w:rPr/>
        <w:t>Mel-frequency cepstral coefficients</w:t>
      </w:r>
      <w:r>
        <w:rPr>
          <w:rFonts w:ascii="Times New Roman" w:hAnsi="Times New Roman"/>
          <w:b w:val="false"/>
          <w:i w:val="false"/>
          <w:caps w:val="false"/>
          <w:smallCaps w:val="false"/>
          <w:color w:val="000000"/>
          <w:spacing w:val="0"/>
          <w:sz w:val="24"/>
        </w:rPr>
        <w:t xml:space="preserve"> to extract pitch, tone and rhythm to detect alterations in speech patterns, finding potential signs of early depression: r</w:t>
      </w:r>
      <w:r>
        <w:rPr>
          <w:rFonts w:ascii="Times New Roman" w:hAnsi="Times New Roman"/>
          <w:color w:val="000000"/>
        </w:rPr>
        <w:t>educed pitch variability, lower mean fundamental frequency, slower speech rate, increased pause duration, reduced articulation energy; and anxiety: increased pitch variability, elevated speech rate, tremor in voice, irregular breathing patterns, increased vocal intensity fluctuation.</w:t>
      </w:r>
      <w:r>
        <w:rPr>
          <w:rFonts w:ascii="Times New Roman" w:hAnsi="Times New Roman"/>
          <w:color w:val="000000"/>
        </w:rPr>
        <w:fldChar w:fldCharType="begin"/>
      </w:r>
      <w:r>
        <w:rPr>
          <w:rFonts w:ascii="Times New Roman" w:hAnsi="Times New Roman"/>
          <w:color w:val="000000"/>
        </w:rPr>
        <w:instrText xml:space="preserve"> CITATION  "19"</w:instrText>
      </w:r>
      <w:r>
        <w:rPr>
          <w:rFonts w:ascii="Times New Roman" w:hAnsi="Times New Roman"/>
          <w:color w:val="000000"/>
        </w:rPr>
        <w:fldChar w:fldCharType="separate"/>
      </w:r>
      <w:r>
        <w:rPr>
          <w:rFonts w:ascii="Times New Roman" w:hAnsi="Times New Roman"/>
          <w:color w:val="000000"/>
        </w:rPr>
        <w:t>19</w:t>
      </w:r>
      <w:r>
        <w:rPr>
          <w:rFonts w:ascii="Times New Roman" w:hAnsi="Times New Roman"/>
          <w:color w:val="000000"/>
        </w:rPr>
        <w:fldChar w:fldCharType="end"/>
      </w:r>
      <w:r>
        <w:rPr>
          <w:rFonts w:ascii="Times New Roman" w:hAnsi="Times New Roman"/>
          <w:color w:val="000000"/>
        </w:rPr>
        <w:t xml:space="preserve"> </w:t>
      </w:r>
      <w:r>
        <w:rPr>
          <w:rFonts w:ascii="Times New Roman" w:hAnsi="Times New Roman"/>
          <w:b w:val="false"/>
          <w:i w:val="false"/>
          <w:caps w:val="false"/>
          <w:smallCaps w:val="false"/>
          <w:color w:val="000000"/>
          <w:spacing w:val="0"/>
          <w:sz w:val="24"/>
        </w:rPr>
        <w:t>Despite possibility of such early intervention and prediction, all of the conversations between NEFET and the crew will remain strictly confidential, and unlike data about the physical state of the astronauts, won’t be shared with any outside source. Instead, in the case of NEFET detecting potential mental deterioration, it will do its best to manage symptoms on its own. NEFET can d</w:t>
      </w:r>
      <w:r>
        <w:rPr>
          <w:rFonts w:ascii="Times New Roman" w:hAnsi="Times New Roman"/>
          <w:color w:val="000000"/>
        </w:rPr>
        <w:t>eliver structured Cognitive bahavioral therapy modules, guide breathing exercises, offer behavioral activation prompts, encourages journaling, and detect harmful cognitive patterns</w:t>
      </w:r>
      <w:r>
        <w:rPr>
          <w:rFonts w:ascii="Times New Roman" w:hAnsi="Times New Roman"/>
          <w:b w:val="false"/>
          <w:i w:val="false"/>
          <w:caps w:val="false"/>
          <w:smallCaps w:val="false"/>
          <w:color w:val="000000"/>
          <w:spacing w:val="0"/>
          <w:sz w:val="24"/>
        </w:rPr>
        <w:t>. This kind of approach is a prime example of ethical AI usage with concern for the human factor: developing groundbreaking technology while putting trust and comfort of the crew at the forefront.</w:t>
      </w:r>
    </w:p>
    <w:p>
      <w:pPr>
        <w:pStyle w:val="Heading1"/>
        <w:ind w:hanging="0" w:left="0"/>
        <w:rPr/>
      </w:pPr>
      <w:bookmarkStart w:id="6" w:name="__RefHeading___Toc1361_2830917912"/>
      <w:bookmarkEnd w:id="6"/>
      <w:r>
        <w:rPr/>
        <w:t>3. Business Plan</w:t>
      </w:r>
    </w:p>
    <w:p>
      <w:pPr>
        <w:pStyle w:val="Heading2"/>
        <w:ind w:hanging="0" w:left="0"/>
        <w:rPr>
          <w:i w:val="false"/>
          <w:caps w:val="false"/>
          <w:smallCaps w:val="false"/>
          <w:spacing w:val="0"/>
        </w:rPr>
      </w:pPr>
      <w:bookmarkStart w:id="7" w:name="__RefHeading___Toc2806_2830917912"/>
      <w:bookmarkEnd w:id="7"/>
      <w:r>
        <w:rPr/>
        <w:t>3.1 Summary</w:t>
      </w:r>
    </w:p>
    <w:p>
      <w:pPr>
        <w:pStyle w:val="BodyText"/>
        <w:bidi w:val="0"/>
        <w:spacing w:lineRule="auto" w:line="276"/>
        <w:jc w:val="left"/>
        <w:rPr>
          <w:rFonts w:ascii="Times New Roman" w:hAnsi="Times New Roman"/>
          <w:b w:val="false"/>
          <w:i w:val="false"/>
          <w:caps w:val="false"/>
          <w:smallCaps w:val="false"/>
          <w:color w:val="000000"/>
          <w:spacing w:val="0"/>
          <w:sz w:val="24"/>
          <w:szCs w:val="24"/>
        </w:rPr>
      </w:pPr>
      <w:r>
        <w:rPr>
          <w:rFonts w:ascii="Times New Roman" w:hAnsi="Times New Roman"/>
          <w:b w:val="false"/>
          <w:i w:val="false"/>
          <w:caps w:val="false"/>
          <w:smallCaps w:val="false"/>
          <w:color w:val="000000"/>
          <w:spacing w:val="0"/>
          <w:sz w:val="24"/>
          <w:szCs w:val="24"/>
        </w:rPr>
        <w:t>Human space exploration has transitioned from short-duration orbital missions to long-term habitation in orbital stations and planned surface operations on the Moon and Mars. This evolution introduces unprecedented cumulative risks: mechanical system failures, physiological degradation due to microgravity, and behavioral health deterioration from isolation and operational stress.</w:t>
      </w:r>
    </w:p>
    <w:p>
      <w:pPr>
        <w:pStyle w:val="BodyText"/>
        <w:bidi w:val="0"/>
        <w:jc w:val="left"/>
        <w:rPr>
          <w:rFonts w:ascii="Times New Roman" w:hAnsi="Times New Roman"/>
          <w:color w:val="000000"/>
        </w:rPr>
      </w:pPr>
      <w:r>
        <w:rPr>
          <w:rFonts w:ascii="Times New Roman" w:hAnsi="Times New Roman"/>
          <w:color w:val="000000"/>
        </w:rPr>
        <w:t>Historical incidents illustrate the need for integrated safety monitoring. Apollo 13’s oxygen tank explosion demonstrated the catastrophic potential of mechanical failures, while ISS crew studies indicate substantial bone loss, muscle atrophy, and circadian rhythm disruption during extended missions. Behavioral risks, including anxiety, depression, and social conflict, have been documented in analog missions such as HI-SEAS and Antarctic research stations.</w:t>
      </w:r>
    </w:p>
    <w:p>
      <w:pPr>
        <w:pStyle w:val="BodyText"/>
        <w:bidi w:val="0"/>
        <w:jc w:val="left"/>
        <w:rPr>
          <w:rFonts w:ascii="Times New Roman" w:hAnsi="Times New Roman"/>
          <w:color w:val="000000"/>
        </w:rPr>
      </w:pPr>
      <w:r>
        <w:rPr>
          <w:rFonts w:ascii="Times New Roman" w:hAnsi="Times New Roman"/>
          <w:color w:val="000000"/>
        </w:rPr>
        <w:t>Current mitigation strategies remain siloed: engineering diagnostics, biomedical monitoring, and psychological support operate largely independently, with minimal predictive capability. NEFET addresses these gaps by integrating AI-driven analysis of spacecraft systems, spacesuits, physiological data, and behavioral indicators, providing proactive and adaptive interventions to mitigate risk.</w:t>
      </w:r>
    </w:p>
    <w:p>
      <w:pPr>
        <w:pStyle w:val="BodyText"/>
        <w:bidi w:val="0"/>
        <w:jc w:val="left"/>
        <w:rPr>
          <w:rFonts w:ascii="Times New Roman" w:hAnsi="Times New Roman"/>
          <w:color w:val="000000"/>
        </w:rPr>
      </w:pPr>
      <w:r>
        <w:rPr>
          <w:rFonts w:ascii="Times New Roman" w:hAnsi="Times New Roman"/>
          <w:color w:val="000000"/>
        </w:rPr>
        <w:t>Despite technological advances, spacecraft anomalies persist. Historical data from NASA and ESA missions report incidents including launch anomalies, thermal protection failures, electrical system disruptions, and micrometeoroid damage. Traditional monitoring relies on threshold-based sensor readings and post-failure diagnostics, limiting predictive capability.</w:t>
      </w:r>
    </w:p>
    <w:p>
      <w:pPr>
        <w:pStyle w:val="BodyText"/>
        <w:bidi w:val="0"/>
        <w:jc w:val="left"/>
        <w:rPr>
          <w:rFonts w:ascii="Times New Roman" w:hAnsi="Times New Roman"/>
          <w:color w:val="000000"/>
        </w:rPr>
      </w:pPr>
      <w:r>
        <w:rPr>
          <w:rFonts w:ascii="Times New Roman" w:hAnsi="Times New Roman"/>
          <w:color w:val="000000"/>
        </w:rPr>
        <w:t>Emerging approaches use AI for anomaly detection. Convolutional neural networks (CNNs) and vision transformers have demonstrated effectiveness in identifying structural defects in aerospace materials, though integration with live spacecraft monitoring remains limited.</w:t>
      </w:r>
    </w:p>
    <w:p>
      <w:pPr>
        <w:pStyle w:val="BodyText"/>
        <w:bidi w:val="0"/>
        <w:jc w:val="left"/>
        <w:rPr>
          <w:rFonts w:ascii="Times New Roman" w:hAnsi="Times New Roman"/>
          <w:color w:val="000000"/>
        </w:rPr>
      </w:pPr>
      <w:r>
        <w:rPr>
          <w:rFonts w:ascii="Times New Roman" w:hAnsi="Times New Roman"/>
          <w:color w:val="000000"/>
        </w:rPr>
        <w:t>Extravehicular activity (EVA) exposes astronauts to extreme risks. Spacesuit micro-tears, joint seal fatigue, and thermal/cooling system failures can rapidly escalate into life-threatening emergencies. NASA’s Apollo and ISS missions reported several minor suit anomalies that, while non-catastrophic, highlight the importance of continuous monitoring.</w:t>
      </w:r>
    </w:p>
    <w:p>
      <w:pPr>
        <w:pStyle w:val="BodyText"/>
        <w:bidi w:val="0"/>
        <w:jc w:val="left"/>
        <w:rPr>
          <w:rFonts w:ascii="Times New Roman" w:hAnsi="Times New Roman"/>
          <w:color w:val="000000"/>
        </w:rPr>
      </w:pPr>
      <w:r>
        <w:rPr>
          <w:rFonts w:ascii="Times New Roman" w:hAnsi="Times New Roman"/>
          <w:color w:val="000000"/>
        </w:rPr>
        <w:t>Nondestructive testing (NDT) techniques such as infrared thermography, ultrasound, and acoustic emission sensing have proven effective for detecting material degradation; however, real-time AI-assisted analysis can enhance predictive intervention.</w:t>
      </w:r>
    </w:p>
    <w:p>
      <w:pPr>
        <w:pStyle w:val="BodyText"/>
        <w:bidi w:val="0"/>
        <w:jc w:val="left"/>
        <w:rPr>
          <w:rFonts w:ascii="Times New Roman" w:hAnsi="Times New Roman"/>
          <w:color w:val="000000"/>
        </w:rPr>
      </w:pPr>
      <w:r>
        <w:rPr>
          <w:rFonts w:ascii="Times New Roman" w:hAnsi="Times New Roman"/>
          <w:color w:val="000000"/>
        </w:rPr>
        <w:t>Microgravity causes measurable physiological deterioration: bone mineral density loss of 1–1.5% per month, muscle atrophy up to 20% without adequate countermeasures, cardiovascular deconditioning, and circadian rhythm disruption. Current exercise and nutrition protocols are generalized and reactive, lacking adaptive optimization based on individual responses.</w:t>
      </w:r>
    </w:p>
    <w:p>
      <w:pPr>
        <w:pStyle w:val="BodyText"/>
        <w:bidi w:val="0"/>
        <w:jc w:val="left"/>
        <w:rPr>
          <w:rFonts w:ascii="Times New Roman" w:hAnsi="Times New Roman"/>
          <w:color w:val="000000"/>
        </w:rPr>
      </w:pPr>
      <w:r>
        <w:rPr>
          <w:rFonts w:ascii="Times New Roman" w:hAnsi="Times New Roman"/>
          <w:color w:val="000000"/>
        </w:rPr>
        <w:t>Isolation, confinement, communication delays, and operational stress can precipitate early depressive symptoms, anxiety, cognitive inflexibility, and social withdrawa</w:t>
      </w:r>
      <w:r>
        <w:rPr>
          <w:rFonts w:ascii="Times New Roman" w:hAnsi="Times New Roman"/>
          <w:color w:val="000000"/>
        </w:rPr>
        <w:t>l</w:t>
      </w:r>
      <w:r>
        <w:rPr>
          <w:rFonts w:ascii="Times New Roman" w:hAnsi="Times New Roman"/>
          <w:color w:val="000000"/>
        </w:rPr>
        <w:t>. Studies of long-duration analog missions reveal a correlation between behavioral health deterioration and mission performance decline, emphasizing the need for early detection and confidential intervention systems.</w:t>
      </w:r>
    </w:p>
    <w:p>
      <w:pPr>
        <w:pStyle w:val="BodyText"/>
        <w:bidi w:val="0"/>
        <w:jc w:val="left"/>
        <w:rPr>
          <w:rFonts w:ascii="Times New Roman" w:hAnsi="Times New Roman"/>
          <w:color w:val="000000"/>
        </w:rPr>
      </w:pPr>
      <w:r>
        <w:rPr>
          <w:rFonts w:ascii="Times New Roman" w:hAnsi="Times New Roman"/>
          <w:color w:val="000000"/>
        </w:rPr>
        <w:t>NEFET employs deep learning models for real-time detection of mechanical anomalies:</w:t>
      </w:r>
    </w:p>
    <w:p>
      <w:pPr>
        <w:pStyle w:val="BodyText"/>
        <w:bidi w:val="0"/>
        <w:jc w:val="left"/>
        <w:rPr>
          <w:rFonts w:ascii="Times New Roman" w:hAnsi="Times New Roman"/>
          <w:color w:val="000000"/>
        </w:rPr>
      </w:pPr>
      <w:r>
        <w:rPr>
          <w:rFonts w:ascii="Times New Roman" w:hAnsi="Times New Roman"/>
          <w:color w:val="000000"/>
        </w:rPr>
        <w:t>- CNNs identify microfractures in panels and seals.</w:t>
      </w:r>
    </w:p>
    <w:p>
      <w:pPr>
        <w:pStyle w:val="BodyText"/>
        <w:bidi w:val="0"/>
        <w:jc w:val="left"/>
        <w:rPr>
          <w:rFonts w:ascii="Times New Roman" w:hAnsi="Times New Roman"/>
          <w:color w:val="000000"/>
        </w:rPr>
      </w:pPr>
      <w:r>
        <w:rPr>
          <w:rFonts w:ascii="Times New Roman" w:hAnsi="Times New Roman"/>
          <w:color w:val="000000"/>
        </w:rPr>
        <w:t>- Vision transformers detect structural asymmetry and thermal tile degradation.</w:t>
      </w:r>
    </w:p>
    <w:p>
      <w:pPr>
        <w:pStyle w:val="BodyText"/>
        <w:bidi w:val="0"/>
        <w:jc w:val="left"/>
        <w:rPr>
          <w:rFonts w:ascii="Times New Roman" w:hAnsi="Times New Roman"/>
          <w:color w:val="000000"/>
        </w:rPr>
      </w:pPr>
      <w:r>
        <w:rPr>
          <w:rFonts w:ascii="Times New Roman" w:hAnsi="Times New Roman"/>
          <w:color w:val="000000"/>
        </w:rPr>
        <w:t>Non-AI NDT methods (ultrasound, infrared thermography, acoustic emission sensing) generate raw data, which AI interprets for predictive alerts.</w:t>
      </w:r>
    </w:p>
    <w:p>
      <w:pPr>
        <w:pStyle w:val="BodyText"/>
        <w:bidi w:val="0"/>
        <w:jc w:val="left"/>
        <w:rPr>
          <w:rFonts w:ascii="Times New Roman" w:hAnsi="Times New Roman"/>
          <w:color w:val="000000"/>
        </w:rPr>
      </w:pPr>
      <w:r>
        <w:rPr>
          <w:rFonts w:ascii="Times New Roman" w:hAnsi="Times New Roman"/>
          <w:color w:val="000000"/>
        </w:rPr>
        <w:t>Embedded sensors in spacesuits monitor:</w:t>
      </w:r>
    </w:p>
    <w:p>
      <w:pPr>
        <w:pStyle w:val="BodyText"/>
        <w:bidi w:val="0"/>
        <w:jc w:val="left"/>
        <w:rPr>
          <w:rFonts w:ascii="Times New Roman" w:hAnsi="Times New Roman"/>
          <w:color w:val="000000"/>
        </w:rPr>
      </w:pPr>
      <w:r>
        <w:rPr>
          <w:rFonts w:ascii="Times New Roman" w:hAnsi="Times New Roman"/>
          <w:color w:val="000000"/>
        </w:rPr>
        <w:t>- Pressure stability</w:t>
      </w:r>
    </w:p>
    <w:p>
      <w:pPr>
        <w:pStyle w:val="BodyText"/>
        <w:bidi w:val="0"/>
        <w:jc w:val="left"/>
        <w:rPr>
          <w:rFonts w:ascii="Times New Roman" w:hAnsi="Times New Roman"/>
          <w:color w:val="000000"/>
        </w:rPr>
      </w:pPr>
      <w:r>
        <w:rPr>
          <w:rFonts w:ascii="Times New Roman" w:hAnsi="Times New Roman"/>
          <w:color w:val="000000"/>
        </w:rPr>
        <w:t>- Oxygen flow and humidity</w:t>
      </w:r>
    </w:p>
    <w:p>
      <w:pPr>
        <w:pStyle w:val="BodyText"/>
        <w:bidi w:val="0"/>
        <w:jc w:val="left"/>
        <w:rPr>
          <w:rFonts w:ascii="Times New Roman" w:hAnsi="Times New Roman"/>
          <w:color w:val="000000"/>
        </w:rPr>
      </w:pPr>
      <w:r>
        <w:rPr>
          <w:rFonts w:ascii="Times New Roman" w:hAnsi="Times New Roman"/>
          <w:color w:val="000000"/>
        </w:rPr>
        <w:t>- Temperature distribution</w:t>
      </w:r>
    </w:p>
    <w:p>
      <w:pPr>
        <w:pStyle w:val="BodyText"/>
        <w:bidi w:val="0"/>
        <w:jc w:val="left"/>
        <w:rPr>
          <w:rFonts w:ascii="Times New Roman" w:hAnsi="Times New Roman"/>
          <w:color w:val="000000"/>
        </w:rPr>
      </w:pPr>
      <w:r>
        <w:rPr>
          <w:rFonts w:ascii="Times New Roman" w:hAnsi="Times New Roman"/>
          <w:color w:val="000000"/>
        </w:rPr>
        <w:t>Anomaly detection algorithms, including autoencoders, flag deviations from individual baselines, enabling preemptive EVA interventions.</w:t>
      </w:r>
    </w:p>
    <w:p>
      <w:pPr>
        <w:pStyle w:val="BodyText"/>
        <w:bidi w:val="0"/>
        <w:jc w:val="left"/>
        <w:rPr>
          <w:rFonts w:ascii="Times New Roman" w:hAnsi="Times New Roman"/>
          <w:color w:val="000000"/>
        </w:rPr>
      </w:pPr>
      <w:r>
        <w:rPr>
          <w:rFonts w:ascii="Times New Roman" w:hAnsi="Times New Roman"/>
          <w:color w:val="000000"/>
        </w:rPr>
        <w:t>Robotic assistants track:</w:t>
      </w:r>
    </w:p>
    <w:p>
      <w:pPr>
        <w:pStyle w:val="BodyText"/>
        <w:bidi w:val="0"/>
        <w:jc w:val="left"/>
        <w:rPr>
          <w:rFonts w:ascii="Times New Roman" w:hAnsi="Times New Roman"/>
          <w:color w:val="000000"/>
        </w:rPr>
      </w:pPr>
      <w:r>
        <w:rPr>
          <w:rFonts w:ascii="Times New Roman" w:hAnsi="Times New Roman"/>
          <w:color w:val="000000"/>
        </w:rPr>
        <w:t>- Heart rate variability (HRV)</w:t>
      </w:r>
    </w:p>
    <w:p>
      <w:pPr>
        <w:pStyle w:val="BodyText"/>
        <w:bidi w:val="0"/>
        <w:jc w:val="left"/>
        <w:rPr>
          <w:rFonts w:ascii="Times New Roman" w:hAnsi="Times New Roman"/>
          <w:color w:val="000000"/>
        </w:rPr>
      </w:pPr>
      <w:r>
        <w:rPr>
          <w:rFonts w:ascii="Times New Roman" w:hAnsi="Times New Roman"/>
          <w:color w:val="000000"/>
        </w:rPr>
        <w:t>- Blood pressure trends</w:t>
      </w:r>
    </w:p>
    <w:p>
      <w:pPr>
        <w:pStyle w:val="BodyText"/>
        <w:bidi w:val="0"/>
        <w:jc w:val="left"/>
        <w:rPr>
          <w:rFonts w:ascii="Times New Roman" w:hAnsi="Times New Roman"/>
          <w:color w:val="000000"/>
        </w:rPr>
      </w:pPr>
      <w:r>
        <w:rPr>
          <w:rFonts w:ascii="Times New Roman" w:hAnsi="Times New Roman"/>
          <w:color w:val="000000"/>
        </w:rPr>
        <w:t>- Sleep quality and circadian alignment</w:t>
      </w:r>
    </w:p>
    <w:p>
      <w:pPr>
        <w:pStyle w:val="BodyText"/>
        <w:bidi w:val="0"/>
        <w:jc w:val="left"/>
        <w:rPr>
          <w:rFonts w:ascii="Times New Roman" w:hAnsi="Times New Roman"/>
          <w:color w:val="000000"/>
        </w:rPr>
      </w:pPr>
      <w:r>
        <w:rPr>
          <w:rFonts w:ascii="Times New Roman" w:hAnsi="Times New Roman"/>
          <w:color w:val="000000"/>
        </w:rPr>
        <w:t>- Movement biomechanics and fatigue</w:t>
      </w:r>
    </w:p>
    <w:p>
      <w:pPr>
        <w:pStyle w:val="BodyText"/>
        <w:bidi w:val="0"/>
        <w:jc w:val="left"/>
        <w:rPr>
          <w:rFonts w:ascii="Times New Roman" w:hAnsi="Times New Roman"/>
          <w:color w:val="000000"/>
        </w:rPr>
      </w:pPr>
      <w:r>
        <w:rPr>
          <w:rFonts w:ascii="Times New Roman" w:hAnsi="Times New Roman"/>
          <w:color w:val="000000"/>
        </w:rPr>
        <w:t>Machine learning models estimate cardiovascular stress, overtraining risk, and musculoskeletal degradation. Adaptive exercise and dietary protocols optimize astronaut health in real-time.</w:t>
      </w:r>
    </w:p>
    <w:p>
      <w:pPr>
        <w:pStyle w:val="BodyText"/>
        <w:bidi w:val="0"/>
        <w:jc w:val="left"/>
        <w:rPr>
          <w:rFonts w:ascii="Times New Roman" w:hAnsi="Times New Roman"/>
          <w:color w:val="000000"/>
        </w:rPr>
      </w:pPr>
      <w:r>
        <w:rPr>
          <w:rFonts w:ascii="Times New Roman" w:hAnsi="Times New Roman"/>
          <w:color w:val="000000"/>
        </w:rPr>
        <w:t>NEFET functions as a confidential AI interlocutor, analyzing:</w:t>
      </w:r>
    </w:p>
    <w:p>
      <w:pPr>
        <w:pStyle w:val="BodyText"/>
        <w:bidi w:val="0"/>
        <w:jc w:val="left"/>
        <w:rPr>
          <w:rFonts w:ascii="Times New Roman" w:hAnsi="Times New Roman"/>
          <w:color w:val="000000"/>
        </w:rPr>
      </w:pPr>
      <w:r>
        <w:rPr>
          <w:rFonts w:ascii="Times New Roman" w:hAnsi="Times New Roman"/>
          <w:color w:val="000000"/>
        </w:rPr>
        <w:t>- Speech pitch, rate, and pause duration</w:t>
      </w:r>
    </w:p>
    <w:p>
      <w:pPr>
        <w:pStyle w:val="BodyText"/>
        <w:bidi w:val="0"/>
        <w:jc w:val="left"/>
        <w:rPr>
          <w:rFonts w:ascii="Times New Roman" w:hAnsi="Times New Roman"/>
          <w:color w:val="000000"/>
        </w:rPr>
      </w:pPr>
      <w:r>
        <w:rPr>
          <w:rFonts w:ascii="Times New Roman" w:hAnsi="Times New Roman"/>
          <w:color w:val="000000"/>
        </w:rPr>
        <w:t>- Emotional valence shifts over time</w:t>
      </w:r>
    </w:p>
    <w:p>
      <w:pPr>
        <w:pStyle w:val="BodyText"/>
        <w:bidi w:val="0"/>
        <w:jc w:val="left"/>
        <w:rPr>
          <w:rFonts w:ascii="Times New Roman" w:hAnsi="Times New Roman"/>
          <w:color w:val="000000"/>
        </w:rPr>
      </w:pPr>
      <w:r>
        <w:rPr>
          <w:rFonts w:ascii="Times New Roman" w:hAnsi="Times New Roman"/>
          <w:color w:val="000000"/>
        </w:rPr>
        <w:t>- Facial expression and microgesture patterns</w:t>
      </w:r>
    </w:p>
    <w:p>
      <w:pPr>
        <w:pStyle w:val="BodyText"/>
        <w:bidi w:val="0"/>
        <w:jc w:val="left"/>
        <w:rPr>
          <w:rFonts w:ascii="Times New Roman" w:hAnsi="Times New Roman"/>
          <w:color w:val="000000"/>
        </w:rPr>
      </w:pPr>
      <w:r>
        <w:rPr>
          <w:rFonts w:ascii="Times New Roman" w:hAnsi="Times New Roman"/>
          <w:color w:val="000000"/>
        </w:rPr>
        <w:t>Multimodal integration with HRV and sleep data enables early detection of psychological strain. Structured cognitive-behavioral interventions are deployed autonomously when predefined thresholds are exceeded.</w:t>
      </w:r>
    </w:p>
    <w:p>
      <w:pPr>
        <w:pStyle w:val="BodyText"/>
        <w:bidi w:val="0"/>
        <w:jc w:val="left"/>
        <w:rPr>
          <w:rFonts w:ascii="Times New Roman" w:hAnsi="Times New Roman"/>
          <w:color w:val="000000"/>
        </w:rPr>
      </w:pPr>
      <w:r>
        <w:rPr>
          <w:rFonts w:ascii="Times New Roman" w:hAnsi="Times New Roman"/>
          <w:color w:val="000000"/>
        </w:rPr>
        <w:t>Each robotic assistant contains:</w:t>
      </w:r>
    </w:p>
    <w:p>
      <w:pPr>
        <w:pStyle w:val="BodyText"/>
        <w:bidi w:val="0"/>
        <w:jc w:val="left"/>
        <w:rPr>
          <w:rFonts w:ascii="Times New Roman" w:hAnsi="Times New Roman"/>
          <w:color w:val="000000"/>
        </w:rPr>
      </w:pPr>
      <w:r>
        <w:rPr>
          <w:rFonts w:ascii="Times New Roman" w:hAnsi="Times New Roman"/>
          <w:color w:val="000000"/>
        </w:rPr>
        <w:t>- Embedded GPU processor for local AI inference</w:t>
      </w:r>
    </w:p>
    <w:p>
      <w:pPr>
        <w:pStyle w:val="BodyText"/>
        <w:bidi w:val="0"/>
        <w:jc w:val="left"/>
        <w:rPr>
          <w:rFonts w:ascii="Times New Roman" w:hAnsi="Times New Roman"/>
          <w:color w:val="000000"/>
        </w:rPr>
      </w:pPr>
      <w:r>
        <w:rPr>
          <w:rFonts w:ascii="Times New Roman" w:hAnsi="Times New Roman"/>
          <w:color w:val="000000"/>
        </w:rPr>
        <w:t>- Quantized neural networks for reduced computational load</w:t>
      </w:r>
    </w:p>
    <w:p>
      <w:pPr>
        <w:pStyle w:val="BodyText"/>
        <w:bidi w:val="0"/>
        <w:jc w:val="left"/>
        <w:rPr>
          <w:rFonts w:ascii="Times New Roman" w:hAnsi="Times New Roman"/>
          <w:color w:val="000000"/>
        </w:rPr>
      </w:pPr>
      <w:r>
        <w:rPr>
          <w:rFonts w:ascii="Times New Roman" w:hAnsi="Times New Roman"/>
          <w:color w:val="000000"/>
        </w:rPr>
        <w:t>- Encrypted local storage for sensitive data</w:t>
      </w:r>
    </w:p>
    <w:p>
      <w:pPr>
        <w:pStyle w:val="BodyText"/>
        <w:bidi w:val="0"/>
        <w:jc w:val="left"/>
        <w:rPr>
          <w:rFonts w:ascii="Times New Roman" w:hAnsi="Times New Roman"/>
          <w:color w:val="000000"/>
        </w:rPr>
      </w:pPr>
      <w:r>
        <w:rPr>
          <w:rFonts w:ascii="Times New Roman" w:hAnsi="Times New Roman"/>
          <w:color w:val="000000"/>
        </w:rPr>
        <w:t>Critical alerts are processed onboard to mitigate communication latency with Earth-based ground control. The spacecraft-level AI hub aggregates mechanical, biomedical, and behavioral data. Predictive models calculate a mission-wide safety index and generate adaptive countermeasures.</w:t>
      </w:r>
    </w:p>
    <w:p>
      <w:pPr>
        <w:pStyle w:val="Heading2"/>
        <w:ind w:hanging="0" w:left="0"/>
        <w:rPr>
          <w:color w:val="000000"/>
          <w:sz w:val="32"/>
          <w:szCs w:val="32"/>
        </w:rPr>
      </w:pPr>
      <w:bookmarkStart w:id="8" w:name="__RefHeading___Toc2808_2830917912"/>
      <w:bookmarkEnd w:id="8"/>
      <w:r>
        <w:rPr/>
        <w:t>3.2 Marketing Strategy</w:t>
      </w:r>
    </w:p>
    <w:p>
      <w:pPr>
        <w:pStyle w:val="BodyText"/>
        <w:bidi w:val="0"/>
        <w:jc w:val="left"/>
        <w:rPr>
          <w:rFonts w:ascii="Times New Roman" w:hAnsi="Times New Roman"/>
          <w:color w:val="000000"/>
        </w:rPr>
      </w:pPr>
      <w:r>
        <w:rPr>
          <w:rFonts w:ascii="Times New Roman" w:hAnsi="Times New Roman"/>
          <w:color w:val="000000"/>
        </w:rPr>
        <w:t xml:space="preserve">NEFET (Neural Edge Fault and Emotion Tracker) is a </w:t>
      </w:r>
      <w:r>
        <w:rPr>
          <w:rStyle w:val="Strong"/>
          <w:rFonts w:ascii="Times New Roman" w:hAnsi="Times New Roman"/>
          <w:b w:val="false"/>
          <w:bCs w:val="false"/>
          <w:color w:val="000000"/>
        </w:rPr>
        <w:t>modular AI-driven safety system</w:t>
      </w:r>
      <w:r>
        <w:rPr>
          <w:rFonts w:ascii="Times New Roman" w:hAnsi="Times New Roman"/>
          <w:color w:val="000000"/>
        </w:rPr>
        <w:t xml:space="preserve"> designed to mitigate risks in human spaceflight by integrating:</w:t>
      </w:r>
    </w:p>
    <w:p>
      <w:pPr>
        <w:pStyle w:val="BodyText"/>
        <w:numPr>
          <w:ilvl w:val="0"/>
          <w:numId w:val="2"/>
        </w:numPr>
        <w:tabs>
          <w:tab w:val="left" w:pos="709" w:leader="none"/>
        </w:tabs>
        <w:bidi w:val="0"/>
        <w:ind w:hanging="283" w:left="709"/>
        <w:jc w:val="left"/>
        <w:rPr>
          <w:rFonts w:ascii="Times New Roman" w:hAnsi="Times New Roman"/>
          <w:color w:val="000000"/>
        </w:rPr>
      </w:pPr>
      <w:r>
        <w:rPr>
          <w:rStyle w:val="Strong"/>
          <w:rFonts w:ascii="Times New Roman" w:hAnsi="Times New Roman"/>
          <w:b w:val="false"/>
          <w:bCs w:val="false"/>
          <w:color w:val="000000"/>
        </w:rPr>
        <w:t>Spacecraft &amp; Spacesuit Fault Detection</w:t>
      </w:r>
    </w:p>
    <w:p>
      <w:pPr>
        <w:pStyle w:val="BodyText"/>
        <w:numPr>
          <w:ilvl w:val="0"/>
          <w:numId w:val="2"/>
        </w:numPr>
        <w:tabs>
          <w:tab w:val="left" w:pos="709" w:leader="none"/>
        </w:tabs>
        <w:bidi w:val="0"/>
        <w:ind w:hanging="283" w:left="709"/>
        <w:jc w:val="left"/>
        <w:rPr>
          <w:rFonts w:ascii="Times New Roman" w:hAnsi="Times New Roman"/>
          <w:color w:val="000000"/>
        </w:rPr>
      </w:pPr>
      <w:r>
        <w:rPr>
          <w:rStyle w:val="Strong"/>
          <w:rFonts w:ascii="Times New Roman" w:hAnsi="Times New Roman"/>
          <w:b w:val="false"/>
          <w:bCs w:val="false"/>
          <w:color w:val="000000"/>
        </w:rPr>
        <w:t>Astronaut Physiological Health Monitoring</w:t>
      </w:r>
    </w:p>
    <w:p>
      <w:pPr>
        <w:pStyle w:val="BodyText"/>
        <w:numPr>
          <w:ilvl w:val="0"/>
          <w:numId w:val="2"/>
        </w:numPr>
        <w:tabs>
          <w:tab w:val="left" w:pos="709" w:leader="none"/>
        </w:tabs>
        <w:bidi w:val="0"/>
        <w:ind w:hanging="283" w:left="709"/>
        <w:jc w:val="left"/>
        <w:rPr>
          <w:rFonts w:ascii="Times New Roman" w:hAnsi="Times New Roman"/>
          <w:color w:val="000000"/>
        </w:rPr>
      </w:pPr>
      <w:r>
        <w:rPr>
          <w:rStyle w:val="Strong"/>
          <w:rFonts w:ascii="Times New Roman" w:hAnsi="Times New Roman"/>
          <w:b w:val="false"/>
          <w:bCs w:val="false"/>
          <w:color w:val="000000"/>
        </w:rPr>
        <w:t>Behavioral &amp; Psychological Stability Support</w:t>
      </w:r>
    </w:p>
    <w:p>
      <w:pPr>
        <w:pStyle w:val="BodyText"/>
        <w:bidi w:val="0"/>
        <w:jc w:val="left"/>
        <w:rPr>
          <w:rFonts w:ascii="Times New Roman" w:hAnsi="Times New Roman"/>
          <w:color w:val="000000"/>
        </w:rPr>
      </w:pPr>
      <w:r>
        <w:rPr>
          <w:rFonts w:ascii="Times New Roman" w:hAnsi="Times New Roman"/>
          <w:color w:val="000000"/>
        </w:rPr>
        <w:t xml:space="preserve">Long-duration missions—such as lunar surface habitation and Mars expeditions—introduce cumulative risks across mechanical systems, human physiology, and psychological resilience. Traditional safety measures are compartmentalized and reactive. NEFET’s integrated architecture provides </w:t>
      </w:r>
      <w:r>
        <w:rPr>
          <w:rStyle w:val="Strong"/>
          <w:rFonts w:ascii="Times New Roman" w:hAnsi="Times New Roman"/>
          <w:b w:val="false"/>
          <w:bCs w:val="false"/>
          <w:color w:val="000000"/>
        </w:rPr>
        <w:t>predictive risk modelling and adaptive countermeasures</w:t>
      </w:r>
      <w:r>
        <w:rPr>
          <w:rFonts w:ascii="Times New Roman" w:hAnsi="Times New Roman"/>
          <w:b w:val="false"/>
          <w:bCs w:val="false"/>
          <w:color w:val="000000"/>
        </w:rPr>
        <w:t>,</w:t>
      </w:r>
      <w:r>
        <w:rPr>
          <w:rFonts w:ascii="Times New Roman" w:hAnsi="Times New Roman"/>
          <w:color w:val="000000"/>
        </w:rPr>
        <w:t xml:space="preserve"> implemented through </w:t>
      </w:r>
      <w:r>
        <w:rPr>
          <w:rStyle w:val="Strong"/>
          <w:rFonts w:ascii="Times New Roman" w:hAnsi="Times New Roman"/>
          <w:b w:val="false"/>
          <w:bCs w:val="false"/>
          <w:color w:val="000000"/>
        </w:rPr>
        <w:t>edge AI modules embedded in robotic assistants</w:t>
      </w:r>
      <w:r>
        <w:rPr>
          <w:rFonts w:ascii="Times New Roman" w:hAnsi="Times New Roman"/>
          <w:color w:val="000000"/>
        </w:rPr>
        <w:t xml:space="preserve"> and managed through a central spacecraft hub.</w:t>
      </w:r>
    </w:p>
    <w:p>
      <w:pPr>
        <w:pStyle w:val="BodyText"/>
        <w:bidi w:val="0"/>
        <w:jc w:val="left"/>
        <w:rPr>
          <w:rFonts w:ascii="Times New Roman" w:hAnsi="Times New Roman"/>
          <w:color w:val="000000"/>
        </w:rPr>
      </w:pPr>
      <w:r>
        <w:rPr>
          <w:rStyle w:val="Strong"/>
          <w:rFonts w:ascii="Times New Roman" w:hAnsi="Times New Roman"/>
          <w:b w:val="false"/>
          <w:bCs w:val="false"/>
          <w:color w:val="000000"/>
        </w:rPr>
        <w:t>Key Value Proposition:</w:t>
      </w:r>
    </w:p>
    <w:p>
      <w:pPr>
        <w:pStyle w:val="BodyText"/>
        <w:bidi w:val="0"/>
        <w:jc w:val="left"/>
        <w:rPr>
          <w:rFonts w:ascii="Times New Roman" w:hAnsi="Times New Roman"/>
          <w:color w:val="000000"/>
        </w:rPr>
      </w:pPr>
      <w:r>
        <w:rPr>
          <w:rStyle w:val="Strong"/>
          <w:rFonts w:ascii="Times New Roman" w:hAnsi="Times New Roman"/>
          <w:b w:val="false"/>
          <w:bCs w:val="false"/>
          <w:color w:val="000000"/>
        </w:rPr>
        <w:t xml:space="preserve">- </w:t>
      </w:r>
      <w:r>
        <w:rPr>
          <w:rFonts w:ascii="Times New Roman" w:hAnsi="Times New Roman"/>
          <w:color w:val="000000"/>
        </w:rPr>
        <w:t>Reduce mission risk and prevent avoidable failures</w:t>
      </w:r>
    </w:p>
    <w:p>
      <w:pPr>
        <w:pStyle w:val="BodyText"/>
        <w:bidi w:val="0"/>
        <w:jc w:val="left"/>
        <w:rPr>
          <w:rFonts w:ascii="Times New Roman" w:hAnsi="Times New Roman"/>
          <w:color w:val="000000"/>
        </w:rPr>
      </w:pPr>
      <w:r>
        <w:rPr>
          <w:rFonts w:ascii="Times New Roman" w:hAnsi="Times New Roman"/>
          <w:color w:val="000000"/>
        </w:rPr>
        <w:t>- Optimize crew performance and resilience</w:t>
      </w:r>
    </w:p>
    <w:p>
      <w:pPr>
        <w:pStyle w:val="BodyText"/>
        <w:bidi w:val="0"/>
        <w:jc w:val="left"/>
        <w:rPr>
          <w:rFonts w:ascii="Times New Roman" w:hAnsi="Times New Roman"/>
          <w:color w:val="000000"/>
        </w:rPr>
      </w:pPr>
      <w:r>
        <w:rPr>
          <w:rFonts w:ascii="Times New Roman" w:hAnsi="Times New Roman"/>
          <w:color w:val="000000"/>
        </w:rPr>
        <w:t>- Enable deep-space mission readiness for both government and commercial operators</w:t>
      </w:r>
    </w:p>
    <w:p>
      <w:pPr>
        <w:pStyle w:val="HorizontalLine"/>
        <w:bidi w:val="0"/>
        <w:spacing w:lineRule="auto" w:line="276" w:before="0" w:after="140"/>
        <w:jc w:val="left"/>
        <w:rPr>
          <w:rFonts w:ascii="Times New Roman" w:hAnsi="Times New Roman"/>
          <w:color w:val="000000"/>
        </w:rPr>
      </w:pPr>
      <w:r>
        <w:rPr>
          <w:rFonts w:ascii="Times New Roman" w:hAnsi="Times New Roman"/>
          <w:color w:val="000000"/>
        </w:rPr>
      </w:r>
    </w:p>
    <w:p>
      <w:pPr>
        <w:pStyle w:val="BodyText"/>
        <w:bidi w:val="0"/>
        <w:jc w:val="left"/>
        <w:rPr>
          <w:rFonts w:ascii="Times New Roman" w:hAnsi="Times New Roman"/>
          <w:color w:val="000000"/>
        </w:rPr>
      </w:pPr>
      <w:r>
        <w:rPr>
          <w:rFonts w:ascii="Times New Roman" w:hAnsi="Times New Roman"/>
          <w:color w:val="000000"/>
        </w:rPr>
        <w:t>Spacecraft anomalies continue to occur despite technological advances:</w:t>
      </w:r>
    </w:p>
    <w:p>
      <w:pPr>
        <w:pStyle w:val="BodyText"/>
        <w:bidi w:val="0"/>
        <w:jc w:val="left"/>
        <w:rPr>
          <w:rFonts w:ascii="Times New Roman" w:hAnsi="Times New Roman"/>
          <w:color w:val="000000"/>
        </w:rPr>
      </w:pPr>
      <w:r>
        <w:rPr>
          <w:rFonts w:ascii="Times New Roman" w:hAnsi="Times New Roman"/>
          <w:color w:val="000000"/>
        </w:rPr>
        <w:t>- Launch system failures</w:t>
      </w:r>
    </w:p>
    <w:p>
      <w:pPr>
        <w:pStyle w:val="BodyText"/>
        <w:bidi w:val="0"/>
        <w:jc w:val="left"/>
        <w:rPr>
          <w:rFonts w:ascii="Times New Roman" w:hAnsi="Times New Roman"/>
          <w:color w:val="000000"/>
        </w:rPr>
      </w:pPr>
      <w:r>
        <w:rPr>
          <w:rFonts w:ascii="Times New Roman" w:hAnsi="Times New Roman"/>
          <w:color w:val="000000"/>
        </w:rPr>
        <w:t>- Thermal protection issues</w:t>
      </w:r>
    </w:p>
    <w:p>
      <w:pPr>
        <w:pStyle w:val="BodyText"/>
        <w:bidi w:val="0"/>
        <w:jc w:val="left"/>
        <w:rPr>
          <w:rFonts w:ascii="Times New Roman" w:hAnsi="Times New Roman"/>
          <w:color w:val="000000"/>
        </w:rPr>
      </w:pPr>
      <w:r>
        <w:rPr>
          <w:rFonts w:ascii="Times New Roman" w:hAnsi="Times New Roman"/>
          <w:color w:val="000000"/>
        </w:rPr>
        <w:t>- Electrical disruptions</w:t>
      </w:r>
    </w:p>
    <w:p>
      <w:pPr>
        <w:pStyle w:val="BodyText"/>
        <w:bidi w:val="0"/>
        <w:jc w:val="left"/>
        <w:rPr>
          <w:rFonts w:ascii="Times New Roman" w:hAnsi="Times New Roman"/>
          <w:color w:val="000000"/>
        </w:rPr>
      </w:pPr>
      <w:r>
        <w:rPr>
          <w:rFonts w:ascii="Times New Roman" w:hAnsi="Times New Roman"/>
          <w:color w:val="000000"/>
        </w:rPr>
        <w:t>- Pressure seal leaks</w:t>
      </w:r>
    </w:p>
    <w:p>
      <w:pPr>
        <w:pStyle w:val="BodyText"/>
        <w:bidi w:val="0"/>
        <w:jc w:val="left"/>
        <w:rPr>
          <w:rFonts w:ascii="Times New Roman" w:hAnsi="Times New Roman"/>
          <w:color w:val="000000"/>
        </w:rPr>
      </w:pPr>
      <w:r>
        <w:rPr>
          <w:rFonts w:ascii="Times New Roman" w:hAnsi="Times New Roman"/>
          <w:color w:val="000000"/>
        </w:rPr>
        <w:t>- Micrometeoroid damage</w:t>
      </w:r>
    </w:p>
    <w:p>
      <w:pPr>
        <w:pStyle w:val="BodyText"/>
        <w:bidi w:val="0"/>
        <w:jc w:val="left"/>
        <w:rPr>
          <w:rFonts w:ascii="Times New Roman" w:hAnsi="Times New Roman"/>
          <w:color w:val="000000"/>
        </w:rPr>
      </w:pPr>
      <w:r>
        <w:rPr>
          <w:rFonts w:ascii="Times New Roman" w:hAnsi="Times New Roman"/>
          <w:color w:val="000000"/>
        </w:rPr>
        <w:t xml:space="preserve">Traditional monitoring is largely </w:t>
      </w:r>
      <w:r>
        <w:rPr>
          <w:rStyle w:val="Strong"/>
          <w:rFonts w:ascii="Times New Roman" w:hAnsi="Times New Roman"/>
          <w:b w:val="false"/>
          <w:bCs w:val="false"/>
          <w:color w:val="000000"/>
        </w:rPr>
        <w:t>threshold-based</w:t>
      </w:r>
      <w:r>
        <w:rPr>
          <w:rFonts w:ascii="Times New Roman" w:hAnsi="Times New Roman"/>
          <w:b w:val="false"/>
          <w:bCs w:val="false"/>
          <w:color w:val="000000"/>
        </w:rPr>
        <w:t>,</w:t>
      </w:r>
      <w:r>
        <w:rPr>
          <w:rFonts w:ascii="Times New Roman" w:hAnsi="Times New Roman"/>
          <w:color w:val="000000"/>
        </w:rPr>
        <w:t xml:space="preserve"> offering </w:t>
      </w:r>
      <w:r>
        <w:rPr>
          <w:rStyle w:val="Strong"/>
          <w:rFonts w:ascii="Times New Roman" w:hAnsi="Times New Roman"/>
          <w:b w:val="false"/>
          <w:bCs w:val="false"/>
          <w:color w:val="000000"/>
        </w:rPr>
        <w:t>post-failure detection rather than predictive capability</w:t>
      </w:r>
      <w:r>
        <w:rPr>
          <w:rFonts w:ascii="Times New Roman" w:hAnsi="Times New Roman"/>
          <w:color w:val="000000"/>
        </w:rPr>
        <w:t>, leading to high contingency costs.</w:t>
      </w:r>
    </w:p>
    <w:p>
      <w:pPr>
        <w:pStyle w:val="BodyText"/>
        <w:bidi w:val="0"/>
        <w:jc w:val="left"/>
        <w:rPr>
          <w:rFonts w:ascii="Times New Roman" w:hAnsi="Times New Roman"/>
          <w:color w:val="000000"/>
        </w:rPr>
      </w:pPr>
      <w:r>
        <w:rPr>
          <w:rFonts w:ascii="Times New Roman" w:hAnsi="Times New Roman"/>
          <w:color w:val="000000"/>
        </w:rPr>
        <w:t>Extravehicular activity introduces life-threatening risks:</w:t>
      </w:r>
    </w:p>
    <w:p>
      <w:pPr>
        <w:pStyle w:val="BodyText"/>
        <w:bidi w:val="0"/>
        <w:jc w:val="left"/>
        <w:rPr>
          <w:rFonts w:ascii="Times New Roman" w:hAnsi="Times New Roman"/>
          <w:color w:val="000000"/>
        </w:rPr>
      </w:pPr>
      <w:r>
        <w:rPr>
          <w:rFonts w:ascii="Times New Roman" w:hAnsi="Times New Roman"/>
          <w:color w:val="000000"/>
        </w:rPr>
        <w:t>- Micro-tears in suit fabric</w:t>
      </w:r>
    </w:p>
    <w:p>
      <w:pPr>
        <w:pStyle w:val="BodyText"/>
        <w:bidi w:val="0"/>
        <w:jc w:val="left"/>
        <w:rPr>
          <w:rFonts w:ascii="Times New Roman" w:hAnsi="Times New Roman"/>
          <w:color w:val="000000"/>
        </w:rPr>
      </w:pPr>
      <w:r>
        <w:rPr>
          <w:rFonts w:ascii="Times New Roman" w:hAnsi="Times New Roman"/>
          <w:color w:val="000000"/>
        </w:rPr>
        <w:t>- Joint seal fatigue</w:t>
      </w:r>
    </w:p>
    <w:p>
      <w:pPr>
        <w:pStyle w:val="BodyText"/>
        <w:bidi w:val="0"/>
        <w:jc w:val="left"/>
        <w:rPr>
          <w:rFonts w:ascii="Times New Roman" w:hAnsi="Times New Roman"/>
          <w:color w:val="000000"/>
        </w:rPr>
      </w:pPr>
      <w:r>
        <w:rPr>
          <w:rFonts w:ascii="Times New Roman" w:hAnsi="Times New Roman"/>
          <w:color w:val="000000"/>
        </w:rPr>
        <w:t>- Cooling system irregularities</w:t>
      </w:r>
    </w:p>
    <w:p>
      <w:pPr>
        <w:pStyle w:val="BodyText"/>
        <w:bidi w:val="0"/>
        <w:jc w:val="left"/>
        <w:rPr>
          <w:rFonts w:ascii="Times New Roman" w:hAnsi="Times New Roman"/>
          <w:color w:val="000000"/>
        </w:rPr>
      </w:pPr>
      <w:r>
        <w:rPr>
          <w:rFonts w:ascii="Times New Roman" w:hAnsi="Times New Roman"/>
          <w:color w:val="000000"/>
        </w:rPr>
        <w:t>- Pressure instability</w:t>
      </w:r>
    </w:p>
    <w:p>
      <w:pPr>
        <w:pStyle w:val="BodyText"/>
        <w:bidi w:val="0"/>
        <w:jc w:val="left"/>
        <w:rPr>
          <w:rFonts w:ascii="Times New Roman" w:hAnsi="Times New Roman"/>
          <w:color w:val="000000"/>
        </w:rPr>
      </w:pPr>
      <w:r>
        <w:rPr>
          <w:rFonts w:ascii="Times New Roman" w:hAnsi="Times New Roman"/>
          <w:color w:val="000000"/>
        </w:rPr>
        <w:t xml:space="preserve">Even minor undetected anomalies can escalate into </w:t>
      </w:r>
      <w:r>
        <w:rPr>
          <w:rStyle w:val="Strong"/>
          <w:rFonts w:ascii="Times New Roman" w:hAnsi="Times New Roman"/>
          <w:b w:val="false"/>
          <w:bCs w:val="false"/>
          <w:color w:val="000000"/>
        </w:rPr>
        <w:t>critical safety incidents</w:t>
      </w:r>
      <w:r>
        <w:rPr>
          <w:rFonts w:ascii="Times New Roman" w:hAnsi="Times New Roman"/>
          <w:b w:val="false"/>
          <w:bCs w:val="false"/>
          <w:color w:val="000000"/>
        </w:rPr>
        <w:t>.</w:t>
      </w:r>
    </w:p>
    <w:p>
      <w:pPr>
        <w:pStyle w:val="BodyText"/>
        <w:bidi w:val="0"/>
        <w:jc w:val="left"/>
        <w:rPr>
          <w:rFonts w:ascii="Times New Roman" w:hAnsi="Times New Roman"/>
          <w:color w:val="000000"/>
        </w:rPr>
      </w:pPr>
      <w:r>
        <w:rPr>
          <w:rFonts w:ascii="Times New Roman" w:hAnsi="Times New Roman"/>
          <w:color w:val="000000"/>
        </w:rPr>
        <w:t>Microgravity and long-duration missions cause:</w:t>
      </w:r>
    </w:p>
    <w:p>
      <w:pPr>
        <w:pStyle w:val="BodyText"/>
        <w:bidi w:val="0"/>
        <w:jc w:val="left"/>
        <w:rPr>
          <w:rFonts w:ascii="Times New Roman" w:hAnsi="Times New Roman"/>
          <w:color w:val="000000"/>
        </w:rPr>
      </w:pPr>
      <w:r>
        <w:rPr>
          <w:rFonts w:ascii="Times New Roman" w:hAnsi="Times New Roman"/>
          <w:color w:val="000000"/>
        </w:rPr>
        <w:t>- Bone mineral density loss (1–1.5% per month)</w:t>
      </w:r>
    </w:p>
    <w:p>
      <w:pPr>
        <w:pStyle w:val="BodyText"/>
        <w:bidi w:val="0"/>
        <w:jc w:val="left"/>
        <w:rPr>
          <w:rFonts w:ascii="Times New Roman" w:hAnsi="Times New Roman"/>
          <w:color w:val="000000"/>
        </w:rPr>
      </w:pPr>
      <w:r>
        <w:rPr>
          <w:rFonts w:ascii="Times New Roman" w:hAnsi="Times New Roman"/>
          <w:color w:val="000000"/>
        </w:rPr>
        <w:t>- Muscle atrophy (up to 20% without countermeasures)</w:t>
      </w:r>
    </w:p>
    <w:p>
      <w:pPr>
        <w:pStyle w:val="BodyText"/>
        <w:bidi w:val="0"/>
        <w:jc w:val="left"/>
        <w:rPr>
          <w:rFonts w:ascii="Times New Roman" w:hAnsi="Times New Roman"/>
          <w:color w:val="000000"/>
        </w:rPr>
      </w:pPr>
      <w:r>
        <w:rPr>
          <w:rFonts w:ascii="Times New Roman" w:hAnsi="Times New Roman"/>
          <w:color w:val="000000"/>
        </w:rPr>
        <w:t>- Cardiovascular deconditioning</w:t>
      </w:r>
    </w:p>
    <w:p>
      <w:pPr>
        <w:pStyle w:val="BodyText"/>
        <w:bidi w:val="0"/>
        <w:jc w:val="left"/>
        <w:rPr>
          <w:rFonts w:ascii="Times New Roman" w:hAnsi="Times New Roman"/>
          <w:color w:val="000000"/>
        </w:rPr>
      </w:pPr>
      <w:r>
        <w:rPr>
          <w:rFonts w:ascii="Times New Roman" w:hAnsi="Times New Roman"/>
          <w:color w:val="000000"/>
        </w:rPr>
        <w:t>- Circadian rhythm disruption</w:t>
      </w:r>
    </w:p>
    <w:p>
      <w:pPr>
        <w:pStyle w:val="BodyText"/>
        <w:bidi w:val="0"/>
        <w:jc w:val="left"/>
        <w:rPr>
          <w:rFonts w:ascii="Times New Roman" w:hAnsi="Times New Roman"/>
          <w:color w:val="000000"/>
        </w:rPr>
      </w:pPr>
      <w:r>
        <w:rPr>
          <w:rFonts w:ascii="Times New Roman" w:hAnsi="Times New Roman"/>
          <w:color w:val="000000"/>
        </w:rPr>
        <w:t xml:space="preserve">Current countermeasures are </w:t>
      </w:r>
      <w:r>
        <w:rPr>
          <w:rStyle w:val="Strong"/>
          <w:rFonts w:ascii="Times New Roman" w:hAnsi="Times New Roman"/>
          <w:b w:val="false"/>
          <w:bCs w:val="false"/>
          <w:color w:val="000000"/>
        </w:rPr>
        <w:t>generalized</w:t>
      </w:r>
      <w:r>
        <w:rPr>
          <w:rFonts w:ascii="Times New Roman" w:hAnsi="Times New Roman"/>
          <w:color w:val="000000"/>
        </w:rPr>
        <w:t>, not adaptive to individual astronauts’ needs.</w:t>
      </w:r>
    </w:p>
    <w:p>
      <w:pPr>
        <w:pStyle w:val="BodyText"/>
        <w:bidi w:val="0"/>
        <w:jc w:val="left"/>
        <w:rPr>
          <w:rFonts w:ascii="Times New Roman" w:hAnsi="Times New Roman"/>
          <w:color w:val="000000"/>
        </w:rPr>
      </w:pPr>
      <w:r>
        <w:rPr>
          <w:rFonts w:ascii="Times New Roman" w:hAnsi="Times New Roman"/>
          <w:color w:val="000000"/>
        </w:rPr>
        <w:t>Isolation, delayed communication, and operational stress contribute to:</w:t>
      </w:r>
    </w:p>
    <w:p>
      <w:pPr>
        <w:pStyle w:val="BodyText"/>
        <w:bidi w:val="0"/>
        <w:jc w:val="left"/>
        <w:rPr>
          <w:rFonts w:ascii="Times New Roman" w:hAnsi="Times New Roman"/>
          <w:color w:val="000000"/>
        </w:rPr>
      </w:pPr>
      <w:r>
        <w:rPr>
          <w:rFonts w:ascii="Times New Roman" w:hAnsi="Times New Roman"/>
          <w:color w:val="000000"/>
        </w:rPr>
        <w:t>- Anxiety and depression</w:t>
      </w:r>
    </w:p>
    <w:p>
      <w:pPr>
        <w:pStyle w:val="BodyText"/>
        <w:bidi w:val="0"/>
        <w:jc w:val="left"/>
        <w:rPr>
          <w:rFonts w:ascii="Times New Roman" w:hAnsi="Times New Roman"/>
          <w:color w:val="000000"/>
        </w:rPr>
      </w:pPr>
      <w:r>
        <w:rPr>
          <w:rFonts w:ascii="Times New Roman" w:hAnsi="Times New Roman"/>
          <w:color w:val="000000"/>
        </w:rPr>
        <w:t>- Reduced cognitive flexibility</w:t>
      </w:r>
    </w:p>
    <w:p>
      <w:pPr>
        <w:pStyle w:val="BodyText"/>
        <w:bidi w:val="0"/>
        <w:jc w:val="left"/>
        <w:rPr>
          <w:rFonts w:ascii="Times New Roman" w:hAnsi="Times New Roman"/>
          <w:color w:val="000000"/>
        </w:rPr>
      </w:pPr>
      <w:r>
        <w:rPr>
          <w:rFonts w:ascii="Times New Roman" w:hAnsi="Times New Roman"/>
          <w:color w:val="000000"/>
        </w:rPr>
        <w:t>- Social withdrawal and interpersonal conflict</w:t>
      </w:r>
    </w:p>
    <w:p>
      <w:pPr>
        <w:pStyle w:val="BodyText"/>
        <w:bidi w:val="0"/>
        <w:jc w:val="left"/>
        <w:rPr>
          <w:rFonts w:ascii="Times New Roman" w:hAnsi="Times New Roman"/>
          <w:color w:val="000000"/>
        </w:rPr>
      </w:pPr>
      <w:r>
        <w:rPr>
          <w:rFonts w:ascii="Times New Roman" w:hAnsi="Times New Roman"/>
          <w:color w:val="000000"/>
        </w:rPr>
        <w:t xml:space="preserve">Current monitoring is </w:t>
      </w:r>
      <w:r>
        <w:rPr>
          <w:rStyle w:val="Strong"/>
          <w:rFonts w:ascii="Times New Roman" w:hAnsi="Times New Roman"/>
          <w:b w:val="false"/>
          <w:bCs w:val="false"/>
          <w:color w:val="000000"/>
        </w:rPr>
        <w:t>reactive and non-confidential</w:t>
      </w:r>
      <w:r>
        <w:rPr>
          <w:rFonts w:ascii="Times New Roman" w:hAnsi="Times New Roman"/>
          <w:color w:val="000000"/>
        </w:rPr>
        <w:t>, limiting early intervention effectiveness.</w:t>
      </w:r>
    </w:p>
    <w:p>
      <w:pPr>
        <w:pStyle w:val="HorizontalLine"/>
        <w:bidi w:val="0"/>
        <w:spacing w:lineRule="auto" w:line="276" w:before="0" w:after="140"/>
        <w:jc w:val="left"/>
        <w:rPr>
          <w:rFonts w:ascii="Times New Roman" w:hAnsi="Times New Roman"/>
          <w:color w:val="000000"/>
        </w:rPr>
      </w:pPr>
      <w:r>
        <w:rPr>
          <w:rFonts w:ascii="Times New Roman" w:hAnsi="Times New Roman"/>
          <w:color w:val="000000"/>
        </w:rPr>
      </w:r>
    </w:p>
    <w:p>
      <w:pPr>
        <w:pStyle w:val="BodyText"/>
        <w:bidi w:val="0"/>
        <w:jc w:val="left"/>
        <w:rPr>
          <w:rFonts w:ascii="Times New Roman" w:hAnsi="Times New Roman"/>
          <w:color w:val="000000"/>
        </w:rPr>
      </w:pPr>
      <w:r>
        <w:rPr>
          <w:rFonts w:ascii="Times New Roman" w:hAnsi="Times New Roman"/>
          <w:color w:val="000000"/>
        </w:rPr>
        <w:t xml:space="preserve">NEFET integrates </w:t>
      </w:r>
      <w:r>
        <w:rPr>
          <w:rStyle w:val="Strong"/>
          <w:rFonts w:ascii="Times New Roman" w:hAnsi="Times New Roman"/>
          <w:b w:val="false"/>
          <w:bCs w:val="false"/>
          <w:color w:val="000000"/>
        </w:rPr>
        <w:t>four core pillars</w:t>
      </w:r>
      <w:r>
        <w:rPr>
          <w:rFonts w:ascii="Times New Roman" w:hAnsi="Times New Roman"/>
          <w:b w:val="false"/>
          <w:bCs w:val="false"/>
          <w:color w:val="000000"/>
        </w:rPr>
        <w:t>:</w:t>
      </w:r>
    </w:p>
    <w:p>
      <w:pPr>
        <w:pStyle w:val="BodyText"/>
        <w:numPr>
          <w:ilvl w:val="0"/>
          <w:numId w:val="3"/>
        </w:numPr>
        <w:tabs>
          <w:tab w:val="left" w:pos="709" w:leader="none"/>
        </w:tabs>
        <w:bidi w:val="0"/>
        <w:ind w:hanging="283" w:left="709"/>
        <w:jc w:val="left"/>
        <w:rPr>
          <w:rFonts w:ascii="Times New Roman" w:hAnsi="Times New Roman"/>
          <w:color w:val="000000"/>
        </w:rPr>
      </w:pPr>
      <w:r>
        <w:rPr>
          <w:rStyle w:val="Strong"/>
          <w:rFonts w:ascii="Times New Roman" w:hAnsi="Times New Roman"/>
          <w:b w:val="false"/>
          <w:bCs w:val="false"/>
          <w:color w:val="000000"/>
        </w:rPr>
        <w:t>Computer Vision Fault Detection:</w:t>
      </w:r>
      <w:r>
        <w:rPr>
          <w:rFonts w:ascii="Times New Roman" w:hAnsi="Times New Roman"/>
          <w:color w:val="000000"/>
        </w:rPr>
        <w:t xml:space="preserve"> Detects microfractures, thermal tile anomalies, seal degradation; combines AI with NDT techniques (ultrasound, infrared, acoustic emission).</w:t>
      </w:r>
    </w:p>
    <w:p>
      <w:pPr>
        <w:pStyle w:val="BodyText"/>
        <w:numPr>
          <w:ilvl w:val="0"/>
          <w:numId w:val="3"/>
        </w:numPr>
        <w:tabs>
          <w:tab w:val="left" w:pos="709" w:leader="none"/>
        </w:tabs>
        <w:bidi w:val="0"/>
        <w:ind w:hanging="283" w:left="709"/>
        <w:jc w:val="left"/>
        <w:rPr>
          <w:rFonts w:ascii="Times New Roman" w:hAnsi="Times New Roman"/>
          <w:color w:val="000000"/>
        </w:rPr>
      </w:pPr>
      <w:r>
        <w:rPr>
          <w:rStyle w:val="Strong"/>
          <w:rFonts w:ascii="Times New Roman" w:hAnsi="Times New Roman"/>
          <w:b w:val="false"/>
          <w:bCs w:val="false"/>
          <w:color w:val="000000"/>
        </w:rPr>
        <w:t>Spacesuit Health Module:</w:t>
      </w:r>
      <w:r>
        <w:rPr>
          <w:rFonts w:ascii="Times New Roman" w:hAnsi="Times New Roman"/>
          <w:color w:val="000000"/>
        </w:rPr>
        <w:t xml:space="preserve"> Embedded sensors monitor pressure, oxygen flow, temperature, and humidity; anomaly detection algorithms flag deviations.</w:t>
      </w:r>
    </w:p>
    <w:p>
      <w:pPr>
        <w:pStyle w:val="BodyText"/>
        <w:numPr>
          <w:ilvl w:val="0"/>
          <w:numId w:val="3"/>
        </w:numPr>
        <w:tabs>
          <w:tab w:val="left" w:pos="709" w:leader="none"/>
        </w:tabs>
        <w:bidi w:val="0"/>
        <w:ind w:hanging="283" w:left="709"/>
        <w:jc w:val="left"/>
        <w:rPr>
          <w:rFonts w:ascii="Times New Roman" w:hAnsi="Times New Roman"/>
          <w:color w:val="000000"/>
        </w:rPr>
      </w:pPr>
      <w:r>
        <w:rPr>
          <w:rStyle w:val="Strong"/>
          <w:rFonts w:ascii="Times New Roman" w:hAnsi="Times New Roman"/>
          <w:b w:val="false"/>
          <w:bCs w:val="false"/>
          <w:color w:val="000000"/>
        </w:rPr>
        <w:t>Physiological Monitoring System:</w:t>
      </w:r>
      <w:r>
        <w:rPr>
          <w:rFonts w:ascii="Times New Roman" w:hAnsi="Times New Roman"/>
          <w:color w:val="000000"/>
        </w:rPr>
        <w:t xml:space="preserve"> Edge AI robotic assistants track HRV, sleep, movement biomechanics, and fatigue; adaptive exercise and diet protocols.</w:t>
      </w:r>
    </w:p>
    <w:p>
      <w:pPr>
        <w:pStyle w:val="BodyText"/>
        <w:numPr>
          <w:ilvl w:val="0"/>
          <w:numId w:val="3"/>
        </w:numPr>
        <w:tabs>
          <w:tab w:val="left" w:pos="709" w:leader="none"/>
        </w:tabs>
        <w:bidi w:val="0"/>
        <w:ind w:hanging="283" w:left="709"/>
        <w:jc w:val="left"/>
        <w:rPr>
          <w:rFonts w:ascii="Times New Roman" w:hAnsi="Times New Roman"/>
          <w:color w:val="000000"/>
        </w:rPr>
      </w:pPr>
      <w:r>
        <w:rPr>
          <w:rStyle w:val="Strong"/>
          <w:rFonts w:ascii="Times New Roman" w:hAnsi="Times New Roman"/>
          <w:b w:val="false"/>
          <w:bCs w:val="false"/>
          <w:color w:val="000000"/>
        </w:rPr>
        <w:t>Behavioral &amp; NLP Module:</w:t>
      </w:r>
      <w:r>
        <w:rPr>
          <w:rFonts w:ascii="Times New Roman" w:hAnsi="Times New Roman"/>
          <w:color w:val="000000"/>
        </w:rPr>
        <w:t xml:space="preserve"> Confidential AI interlocutor; tracks speech, facial expression, emotional valence, and HRV for early psychological intervention.</w:t>
      </w:r>
    </w:p>
    <w:p>
      <w:pPr>
        <w:pStyle w:val="BodyText"/>
        <w:bidi w:val="0"/>
        <w:jc w:val="left"/>
        <w:rPr>
          <w:rFonts w:ascii="Times New Roman" w:hAnsi="Times New Roman"/>
          <w:color w:val="000000"/>
        </w:rPr>
      </w:pPr>
      <w:r>
        <w:rPr>
          <w:rStyle w:val="Strong"/>
          <w:rFonts w:ascii="Times New Roman" w:hAnsi="Times New Roman"/>
          <w:b w:val="false"/>
          <w:bCs w:val="false"/>
          <w:color w:val="000000"/>
        </w:rPr>
        <w:t>Differentiation:</w:t>
      </w:r>
      <w:r>
        <w:rPr>
          <w:rFonts w:ascii="Times New Roman" w:hAnsi="Times New Roman"/>
          <w:color w:val="000000"/>
        </w:rPr>
        <w:t xml:space="preserve"> NEFET operates </w:t>
      </w:r>
      <w:r>
        <w:rPr>
          <w:rStyle w:val="Strong"/>
          <w:rFonts w:ascii="Times New Roman" w:hAnsi="Times New Roman"/>
          <w:b w:val="false"/>
          <w:bCs w:val="false"/>
          <w:color w:val="000000"/>
        </w:rPr>
        <w:t>autonomously in communication-delay environments</w:t>
      </w:r>
      <w:r>
        <w:rPr>
          <w:rFonts w:ascii="Times New Roman" w:hAnsi="Times New Roman"/>
          <w:b w:val="false"/>
          <w:bCs w:val="false"/>
          <w:color w:val="000000"/>
        </w:rPr>
        <w:t>,</w:t>
      </w:r>
      <w:r>
        <w:rPr>
          <w:rFonts w:ascii="Times New Roman" w:hAnsi="Times New Roman"/>
          <w:color w:val="000000"/>
        </w:rPr>
        <w:t xml:space="preserve"> integrating engineering diagnostics, physiological monitoring, and behavioral health support.</w:t>
      </w:r>
    </w:p>
    <w:p>
      <w:pPr>
        <w:pStyle w:val="HorizontalLine"/>
        <w:bidi w:val="0"/>
        <w:spacing w:lineRule="auto" w:line="276" w:before="0" w:after="140"/>
        <w:jc w:val="left"/>
        <w:rPr>
          <w:rFonts w:ascii="Times New Roman" w:hAnsi="Times New Roman"/>
          <w:color w:val="000000"/>
        </w:rPr>
      </w:pPr>
      <w:r>
        <w:rPr>
          <w:rFonts w:ascii="Times New Roman" w:hAnsi="Times New Roman"/>
          <w:color w:val="000000"/>
        </w:rPr>
      </w:r>
    </w:p>
    <w:p>
      <w:pPr>
        <w:pStyle w:val="Heading2"/>
        <w:ind w:hanging="0" w:left="0"/>
        <w:rPr/>
      </w:pPr>
      <w:bookmarkStart w:id="9" w:name="__RefHeading___Toc874_2830917912"/>
      <w:bookmarkEnd w:id="9"/>
      <w:r>
        <w:rPr>
          <w:rFonts w:ascii="Times New Roman" w:hAnsi="Times New Roman"/>
          <w:color w:val="000000"/>
          <w:sz w:val="32"/>
          <w:szCs w:val="32"/>
        </w:rPr>
        <w:t>3.</w:t>
      </w:r>
      <w:r>
        <w:rPr>
          <w:rFonts w:ascii="Times New Roman" w:hAnsi="Times New Roman"/>
          <w:color w:val="000000"/>
          <w:sz w:val="32"/>
          <w:szCs w:val="32"/>
        </w:rPr>
        <w:t>3</w:t>
      </w:r>
      <w:r>
        <w:rPr>
          <w:rFonts w:ascii="Times New Roman" w:hAnsi="Times New Roman"/>
          <w:color w:val="000000"/>
          <w:sz w:val="32"/>
          <w:szCs w:val="32"/>
        </w:rPr>
        <w:t xml:space="preserve"> Technology Overview</w:t>
      </w:r>
    </w:p>
    <w:p>
      <w:pPr>
        <w:pStyle w:val="TableContents"/>
        <w:spacing w:lineRule="auto" w:line="276"/>
        <w:ind w:hanging="0" w:left="709"/>
        <w:rPr>
          <w:rFonts w:ascii="Times New Roman" w:hAnsi="Times New Roman"/>
          <w:b w:val="false"/>
          <w:bCs w:val="false"/>
          <w:color w:val="000000"/>
        </w:rPr>
      </w:pPr>
      <w:bookmarkStart w:id="10" w:name="__RefHeading___Toc876_2830917912"/>
      <w:bookmarkEnd w:id="10"/>
      <w:r>
        <w:rPr>
          <w:rFonts w:ascii="Times New Roman" w:hAnsi="Times New Roman"/>
          <w:b w:val="false"/>
          <w:bCs w:val="false"/>
          <w:color w:val="000000"/>
        </w:rPr>
        <w:t>Edge AI</w:t>
      </w:r>
    </w:p>
    <w:p>
      <w:pPr>
        <w:pStyle w:val="TableContents"/>
        <w:spacing w:lineRule="auto" w:line="276"/>
        <w:ind w:hanging="0" w:left="709"/>
        <w:rPr>
          <w:rFonts w:ascii="Times New Roman" w:hAnsi="Times New Roman"/>
        </w:rPr>
      </w:pPr>
      <w:r>
        <w:rPr>
          <w:rFonts w:ascii="Times New Roman" w:hAnsi="Times New Roman"/>
          <w:b w:val="false"/>
          <w:bCs w:val="false"/>
          <w:color w:val="000000"/>
        </w:rPr>
        <w:br/>
      </w:r>
      <w:r>
        <w:rPr>
          <w:rFonts w:ascii="Times New Roman" w:hAnsi="Times New Roman"/>
          <w:b w:val="false"/>
          <w:bCs w:val="false"/>
          <w:color w:val="000000"/>
          <w:sz w:val="24"/>
          <w:szCs w:val="24"/>
        </w:rPr>
        <w:t xml:space="preserve">- Embedded GPU processors </w:t>
      </w:r>
    </w:p>
    <w:p>
      <w:pPr>
        <w:pStyle w:val="TableContents"/>
        <w:spacing w:lineRule="auto" w:line="276"/>
        <w:ind w:hanging="0" w:left="709"/>
        <w:rPr>
          <w:b w:val="false"/>
          <w:bCs w:val="false"/>
          <w:color w:val="000000"/>
          <w:sz w:val="24"/>
          <w:szCs w:val="24"/>
        </w:rPr>
      </w:pPr>
      <w:bookmarkStart w:id="11" w:name="__RefHeading___Toc878_2830917912"/>
      <w:bookmarkEnd w:id="11"/>
      <w:r>
        <w:rPr>
          <w:rFonts w:ascii="Times New Roman" w:hAnsi="Times New Roman"/>
        </w:rPr>
        <w:t xml:space="preserve">- Quantized neural network models </w:t>
      </w:r>
    </w:p>
    <w:p>
      <w:pPr>
        <w:pStyle w:val="TableContents"/>
        <w:spacing w:lineRule="auto" w:line="276"/>
        <w:ind w:hanging="0" w:left="709"/>
        <w:rPr>
          <w:b w:val="false"/>
          <w:bCs w:val="false"/>
          <w:color w:val="000000"/>
          <w:sz w:val="24"/>
          <w:szCs w:val="24"/>
        </w:rPr>
      </w:pPr>
      <w:bookmarkStart w:id="12" w:name="__RefHeading___Toc880_2830917912"/>
      <w:bookmarkEnd w:id="12"/>
      <w:r>
        <w:rPr>
          <w:rFonts w:ascii="Times New Roman" w:hAnsi="Times New Roman"/>
        </w:rPr>
        <w:t xml:space="preserve">- Encrypted local storage </w:t>
      </w:r>
    </w:p>
    <w:p>
      <w:pPr>
        <w:pStyle w:val="TableContents"/>
        <w:spacing w:lineRule="auto" w:line="276"/>
        <w:ind w:hanging="0" w:left="709"/>
        <w:rPr>
          <w:rFonts w:ascii="Times New Roman" w:hAnsi="Times New Roman"/>
        </w:rPr>
      </w:pPr>
      <w:bookmarkStart w:id="13" w:name="__RefHeading___Toc882_2830917912"/>
      <w:bookmarkEnd w:id="13"/>
      <w:r>
        <w:rPr>
          <w:rFonts w:ascii="Times New Roman" w:hAnsi="Times New Roman"/>
        </w:rPr>
        <w:t>- Immediate on-board processing for critical alerts</w:t>
      </w:r>
    </w:p>
    <w:p>
      <w:pPr>
        <w:pStyle w:val="TableContents"/>
        <w:spacing w:lineRule="auto" w:line="276"/>
        <w:ind w:hanging="0" w:left="709"/>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TableContents"/>
        <w:spacing w:lineRule="auto" w:line="276"/>
        <w:ind w:hanging="0" w:left="709"/>
        <w:rPr>
          <w:rFonts w:ascii="Times New Roman" w:hAnsi="Times New Roman"/>
        </w:rPr>
      </w:pPr>
      <w:bookmarkStart w:id="14" w:name="__RefHeading___Toc884_2830917912"/>
      <w:bookmarkEnd w:id="14"/>
      <w:r>
        <w:rPr>
          <w:rFonts w:ascii="Times New Roman" w:hAnsi="Times New Roman"/>
        </w:rPr>
        <w:t xml:space="preserve">Central Integration Core </w:t>
      </w:r>
    </w:p>
    <w:p>
      <w:pPr>
        <w:pStyle w:val="TableContents"/>
        <w:spacing w:lineRule="auto" w:line="276"/>
        <w:ind w:hanging="0" w:left="709"/>
        <w:rPr>
          <w:rFonts w:ascii="Times New Roman" w:hAnsi="Times New Roman"/>
          <w:b w:val="false"/>
          <w:bCs w:val="false"/>
          <w:color w:val="000000"/>
        </w:rPr>
      </w:pPr>
      <w:r>
        <w:rPr>
          <w:rFonts w:ascii="Times New Roman" w:hAnsi="Times New Roman"/>
          <w:b w:val="false"/>
          <w:bCs w:val="false"/>
          <w:color w:val="000000"/>
        </w:rPr>
      </w:r>
    </w:p>
    <w:p>
      <w:pPr>
        <w:pStyle w:val="TableContents"/>
        <w:spacing w:lineRule="auto" w:line="276"/>
        <w:ind w:hanging="0" w:left="709"/>
        <w:rPr>
          <w:b w:val="false"/>
          <w:bCs w:val="false"/>
          <w:color w:val="000000"/>
          <w:sz w:val="24"/>
          <w:szCs w:val="24"/>
        </w:rPr>
      </w:pPr>
      <w:bookmarkStart w:id="15" w:name="__RefHeading___Toc886_2830917912"/>
      <w:bookmarkEnd w:id="15"/>
      <w:r>
        <w:rPr>
          <w:rFonts w:ascii="Times New Roman" w:hAnsi="Times New Roman"/>
        </w:rPr>
        <w:t xml:space="preserve">- Aggregates mechanical, physiological, and behavioral data </w:t>
      </w:r>
    </w:p>
    <w:p>
      <w:pPr>
        <w:pStyle w:val="TableContents"/>
        <w:spacing w:lineRule="auto" w:line="276"/>
        <w:ind w:hanging="0" w:left="709"/>
        <w:rPr>
          <w:b w:val="false"/>
          <w:bCs w:val="false"/>
          <w:color w:val="000000"/>
          <w:sz w:val="24"/>
          <w:szCs w:val="24"/>
        </w:rPr>
      </w:pPr>
      <w:bookmarkStart w:id="16" w:name="__RefHeading___Toc888_2830917912"/>
      <w:bookmarkEnd w:id="16"/>
      <w:r>
        <w:rPr>
          <w:rFonts w:ascii="Times New Roman" w:hAnsi="Times New Roman"/>
        </w:rPr>
        <w:t xml:space="preserve">- Performs predictive risk modeling </w:t>
      </w:r>
    </w:p>
    <w:p>
      <w:pPr>
        <w:pStyle w:val="TableContents"/>
        <w:spacing w:lineRule="auto" w:line="276"/>
        <w:ind w:hanging="0" w:left="709"/>
        <w:rPr>
          <w:b w:val="false"/>
          <w:bCs w:val="false"/>
          <w:color w:val="000000"/>
          <w:sz w:val="24"/>
          <w:szCs w:val="24"/>
        </w:rPr>
      </w:pPr>
      <w:bookmarkStart w:id="17" w:name="__RefHeading___Toc890_2830917912"/>
      <w:bookmarkEnd w:id="17"/>
      <w:r>
        <w:rPr>
          <w:rFonts w:ascii="Times New Roman" w:hAnsi="Times New Roman"/>
        </w:rPr>
        <w:t xml:space="preserve">- Generates mission-wide safety index </w:t>
      </w:r>
    </w:p>
    <w:p>
      <w:pPr>
        <w:pStyle w:val="TableContents"/>
        <w:spacing w:lineRule="auto" w:line="276"/>
        <w:ind w:hanging="0" w:left="709"/>
        <w:rPr>
          <w:rFonts w:ascii="Times New Roman" w:hAnsi="Times New Roman"/>
        </w:rPr>
      </w:pPr>
      <w:bookmarkStart w:id="18" w:name="__RefHeading___Toc892_2830917912"/>
      <w:bookmarkEnd w:id="18"/>
      <w:r>
        <w:rPr>
          <w:rFonts w:ascii="Times New Roman" w:hAnsi="Times New Roman"/>
        </w:rPr>
        <w:t>- Interfaces with ground control when appropriate</w:t>
      </w:r>
    </w:p>
    <w:p>
      <w:pPr>
        <w:pStyle w:val="TableContents"/>
        <w:spacing w:lineRule="auto" w:line="276"/>
        <w:ind w:hanging="0" w:left="709"/>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TableContents"/>
        <w:spacing w:lineRule="auto" w:line="276"/>
        <w:ind w:hanging="0" w:left="709"/>
        <w:rPr>
          <w:rFonts w:ascii="Times New Roman" w:hAnsi="Times New Roman"/>
        </w:rPr>
      </w:pPr>
      <w:bookmarkStart w:id="19" w:name="__RefHeading___Toc894_2830917912"/>
      <w:bookmarkEnd w:id="19"/>
      <w:r>
        <w:rPr>
          <w:rFonts w:ascii="Times New Roman" w:hAnsi="Times New Roman"/>
        </w:rPr>
        <w:t xml:space="preserve">Predictive Modeling </w:t>
      </w:r>
    </w:p>
    <w:p>
      <w:pPr>
        <w:pStyle w:val="TableContents"/>
        <w:spacing w:lineRule="auto" w:line="276"/>
        <w:ind w:hanging="0" w:left="709"/>
        <w:rPr>
          <w:rFonts w:ascii="Times New Roman" w:hAnsi="Times New Roman"/>
          <w:b w:val="false"/>
          <w:bCs w:val="false"/>
          <w:color w:val="000000"/>
        </w:rPr>
      </w:pPr>
      <w:r>
        <w:rPr>
          <w:rFonts w:ascii="Times New Roman" w:hAnsi="Times New Roman"/>
          <w:b w:val="false"/>
          <w:bCs w:val="false"/>
          <w:color w:val="000000"/>
        </w:rPr>
      </w:r>
    </w:p>
    <w:p>
      <w:pPr>
        <w:pStyle w:val="TableContents"/>
        <w:spacing w:lineRule="auto" w:line="276"/>
        <w:ind w:hanging="0" w:left="709"/>
        <w:rPr>
          <w:b w:val="false"/>
          <w:bCs w:val="false"/>
          <w:color w:val="000000"/>
          <w:sz w:val="24"/>
          <w:szCs w:val="24"/>
        </w:rPr>
      </w:pPr>
      <w:bookmarkStart w:id="20" w:name="__RefHeading___Toc896_2830917912"/>
      <w:bookmarkEnd w:id="20"/>
      <w:r>
        <w:rPr>
          <w:rFonts w:ascii="Times New Roman" w:hAnsi="Times New Roman"/>
        </w:rPr>
        <w:t xml:space="preserve">- LSTM/Transformer time-series forecasting </w:t>
      </w:r>
    </w:p>
    <w:p>
      <w:pPr>
        <w:pStyle w:val="TableContents"/>
        <w:spacing w:lineRule="auto" w:line="276"/>
        <w:ind w:hanging="0" w:left="709"/>
        <w:rPr>
          <w:b w:val="false"/>
          <w:bCs w:val="false"/>
          <w:color w:val="000000"/>
          <w:sz w:val="24"/>
          <w:szCs w:val="24"/>
        </w:rPr>
      </w:pPr>
      <w:bookmarkStart w:id="21" w:name="__RefHeading___Toc898_2830917912"/>
      <w:bookmarkEnd w:id="21"/>
      <w:r>
        <w:rPr>
          <w:rFonts w:ascii="Times New Roman" w:hAnsi="Times New Roman"/>
        </w:rPr>
        <w:t xml:space="preserve">- Reinforcement learning for adaptive countermeasures </w:t>
      </w:r>
    </w:p>
    <w:p>
      <w:pPr>
        <w:pStyle w:val="TableContents"/>
        <w:spacing w:lineRule="auto" w:line="276"/>
        <w:ind w:hanging="0" w:left="709"/>
        <w:rPr>
          <w:b w:val="false"/>
          <w:bCs w:val="false"/>
          <w:color w:val="000000"/>
          <w:sz w:val="24"/>
          <w:szCs w:val="24"/>
        </w:rPr>
      </w:pPr>
      <w:bookmarkStart w:id="22" w:name="__RefHeading___Toc900_2830917912"/>
      <w:bookmarkEnd w:id="22"/>
      <w:r>
        <w:rPr>
          <w:rFonts w:ascii="Times New Roman" w:hAnsi="Times New Roman"/>
        </w:rPr>
        <w:t>- Bayesian risk estimation for integrated risk scoring</w:t>
      </w:r>
    </w:p>
    <w:p>
      <w:pPr>
        <w:pStyle w:val="HorizontalLine"/>
        <w:bidi w:val="0"/>
        <w:spacing w:lineRule="auto" w:line="276" w:before="0" w:after="140"/>
        <w:jc w:val="left"/>
        <w:rPr>
          <w:rFonts w:ascii="Times New Roman" w:hAnsi="Times New Roman"/>
          <w:color w:val="000000"/>
        </w:rPr>
      </w:pPr>
      <w:r>
        <w:rPr>
          <w:rFonts w:ascii="Times New Roman" w:hAnsi="Times New Roman"/>
          <w:color w:val="000000"/>
        </w:rPr>
      </w:r>
    </w:p>
    <w:p>
      <w:pPr>
        <w:pStyle w:val="Heading1"/>
        <w:ind w:hanging="0" w:left="0"/>
        <w:rPr>
          <w:rFonts w:ascii="Times New Roman" w:hAnsi="Times New Roman"/>
          <w:b w:val="false"/>
          <w:bCs w:val="false"/>
          <w:color w:val="000000"/>
        </w:rPr>
      </w:pPr>
      <w:bookmarkStart w:id="23" w:name="__RefHeading___Toc902_2830917912"/>
      <w:bookmarkEnd w:id="23"/>
      <w:r>
        <w:rPr>
          <w:sz w:val="36"/>
          <w:szCs w:val="36"/>
        </w:rPr>
        <w:t>4. Market Analysis</w:t>
      </w:r>
    </w:p>
    <w:p>
      <w:pPr>
        <w:pStyle w:val="Heading2"/>
        <w:ind w:hanging="0" w:left="0"/>
        <w:rPr>
          <w:rFonts w:ascii="Times New Roman" w:hAnsi="Times New Roman"/>
          <w:b w:val="false"/>
          <w:bCs w:val="false"/>
          <w:color w:val="000000"/>
          <w:sz w:val="32"/>
          <w:szCs w:val="32"/>
        </w:rPr>
      </w:pPr>
      <w:bookmarkStart w:id="24" w:name="__RefHeading___Toc904_2830917912"/>
      <w:bookmarkEnd w:id="24"/>
      <w:r>
        <w:rPr/>
        <w:t>4.1 Market Overview</w:t>
      </w:r>
    </w:p>
    <w:p>
      <w:pPr>
        <w:pStyle w:val="BodyText"/>
        <w:bidi w:val="0"/>
        <w:jc w:val="left"/>
        <w:rPr>
          <w:rFonts w:ascii="Times New Roman" w:hAnsi="Times New Roman"/>
          <w:color w:val="000000"/>
        </w:rPr>
      </w:pPr>
      <w:r>
        <w:rPr>
          <w:rFonts w:ascii="Times New Roman" w:hAnsi="Times New Roman"/>
          <w:b w:val="false"/>
          <w:bCs w:val="false"/>
          <w:color w:val="000000"/>
        </w:rPr>
        <w:t xml:space="preserve">The </w:t>
      </w:r>
      <w:r>
        <w:rPr>
          <w:rStyle w:val="Strong"/>
          <w:rFonts w:ascii="Times New Roman" w:hAnsi="Times New Roman"/>
          <w:b w:val="false"/>
          <w:bCs w:val="false"/>
          <w:color w:val="000000"/>
        </w:rPr>
        <w:t>human spaceflight market</w:t>
      </w:r>
      <w:r>
        <w:rPr>
          <w:rFonts w:ascii="Times New Roman" w:hAnsi="Times New Roman"/>
          <w:b w:val="false"/>
          <w:bCs w:val="false"/>
          <w:color w:val="000000"/>
        </w:rPr>
        <w:t xml:space="preserve"> is expanding rapidly:</w:t>
      </w:r>
    </w:p>
    <w:p>
      <w:pPr>
        <w:pStyle w:val="BodyText"/>
        <w:bidi w:val="0"/>
        <w:jc w:val="left"/>
        <w:rPr>
          <w:rFonts w:ascii="Times New Roman" w:hAnsi="Times New Roman"/>
          <w:color w:val="000000"/>
        </w:rPr>
      </w:pPr>
      <w:r>
        <w:rPr>
          <w:rFonts w:ascii="Times New Roman" w:hAnsi="Times New Roman"/>
          <w:b w:val="false"/>
          <w:bCs w:val="false"/>
          <w:color w:val="000000"/>
        </w:rPr>
        <w:t xml:space="preserve">- Global space economy projected to exceed </w:t>
      </w:r>
      <w:r>
        <w:rPr>
          <w:rStyle w:val="Strong"/>
          <w:rFonts w:ascii="Times New Roman" w:hAnsi="Times New Roman"/>
          <w:b w:val="false"/>
          <w:bCs w:val="false"/>
          <w:color w:val="000000"/>
        </w:rPr>
        <w:t>$600B by 2030</w:t>
      </w:r>
    </w:p>
    <w:p>
      <w:pPr>
        <w:pStyle w:val="BodyText"/>
        <w:bidi w:val="0"/>
        <w:jc w:val="left"/>
        <w:rPr>
          <w:rFonts w:ascii="Times New Roman" w:hAnsi="Times New Roman"/>
          <w:color w:val="000000"/>
        </w:rPr>
      </w:pPr>
      <w:r>
        <w:rPr>
          <w:rStyle w:val="Strong"/>
          <w:rFonts w:ascii="Times New Roman" w:hAnsi="Times New Roman"/>
          <w:b w:val="false"/>
          <w:bCs w:val="false"/>
          <w:color w:val="000000"/>
        </w:rPr>
        <w:t xml:space="preserve">- </w:t>
      </w:r>
      <w:r>
        <w:rPr>
          <w:rFonts w:ascii="Times New Roman" w:hAnsi="Times New Roman"/>
          <w:b w:val="false"/>
          <w:bCs w:val="false"/>
          <w:color w:val="000000"/>
        </w:rPr>
        <w:t>Human spaceflight segment growing due to lunar and Mars mission</w:t>
      </w:r>
    </w:p>
    <w:p>
      <w:pPr>
        <w:pStyle w:val="BodyText"/>
        <w:bidi w:val="0"/>
        <w:jc w:val="left"/>
        <w:rPr>
          <w:rFonts w:ascii="Times New Roman" w:hAnsi="Times New Roman"/>
          <w:b w:val="false"/>
          <w:bCs w:val="false"/>
          <w:color w:val="000000"/>
        </w:rPr>
      </w:pPr>
      <w:r>
        <w:rPr>
          <w:rFonts w:ascii="Times New Roman" w:hAnsi="Times New Roman"/>
          <w:b w:val="false"/>
          <w:bCs w:val="false"/>
          <w:color w:val="000000"/>
        </w:rPr>
        <w:t>- Safety and risk mitigation are high-value, mission-critical areas</w:t>
      </w:r>
    </w:p>
    <w:p>
      <w:pPr>
        <w:pStyle w:val="BodyText"/>
        <w:bidi w:val="0"/>
        <w:jc w:val="left"/>
        <w:rPr>
          <w:rFonts w:ascii="Times New Roman" w:hAnsi="Times New Roman"/>
          <w:color w:val="000000"/>
        </w:rPr>
      </w:pPr>
      <w:r>
        <w:rPr>
          <w:rFonts w:ascii="Times New Roman" w:hAnsi="Times New Roman"/>
          <w:b w:val="false"/>
          <w:bCs w:val="false"/>
          <w:color w:val="000000"/>
        </w:rPr>
        <w:t xml:space="preserve">NEFET targets </w:t>
      </w:r>
      <w:r>
        <w:rPr>
          <w:rStyle w:val="Strong"/>
          <w:rFonts w:ascii="Times New Roman" w:hAnsi="Times New Roman"/>
          <w:b w:val="false"/>
          <w:bCs w:val="false"/>
          <w:color w:val="000000"/>
        </w:rPr>
        <w:t>both government and commercial markets</w:t>
      </w:r>
      <w:r>
        <w:rPr>
          <w:rFonts w:ascii="Times New Roman" w:hAnsi="Times New Roman"/>
          <w:b w:val="false"/>
          <w:bCs w:val="false"/>
          <w:color w:val="000000"/>
        </w:rPr>
        <w:t xml:space="preserve">, as well as </w:t>
      </w:r>
      <w:r>
        <w:rPr>
          <w:rStyle w:val="Strong"/>
          <w:rFonts w:ascii="Times New Roman" w:hAnsi="Times New Roman"/>
          <w:b w:val="false"/>
          <w:bCs w:val="false"/>
          <w:color w:val="000000"/>
        </w:rPr>
        <w:t>terrestrial spin-offs</w:t>
      </w:r>
      <w:r>
        <w:rPr>
          <w:rFonts w:ascii="Times New Roman" w:hAnsi="Times New Roman"/>
          <w:b w:val="false"/>
          <w:bCs w:val="false"/>
          <w:color w:val="000000"/>
        </w:rPr>
        <w:t xml:space="preserve"> in high-risk industries.</w:t>
      </w:r>
    </w:p>
    <w:p>
      <w:pPr>
        <w:pStyle w:val="Heading2"/>
        <w:ind w:hanging="0" w:left="0"/>
        <w:rPr>
          <w:rFonts w:ascii="Times New Roman" w:hAnsi="Times New Roman"/>
          <w:b w:val="false"/>
          <w:bCs w:val="false"/>
          <w:color w:val="000000"/>
          <w:sz w:val="32"/>
          <w:szCs w:val="32"/>
        </w:rPr>
      </w:pPr>
      <w:bookmarkStart w:id="25" w:name="__RefHeading___Toc906_2830917912"/>
      <w:bookmarkEnd w:id="25"/>
      <w:r>
        <w:rPr/>
        <w:t>4.2 Government Space Agencies</w:t>
      </w:r>
    </w:p>
    <w:p>
      <w:pPr>
        <w:pStyle w:val="BodyText"/>
        <w:bidi w:val="0"/>
        <w:jc w:val="left"/>
        <w:rPr>
          <w:rFonts w:ascii="Times New Roman" w:hAnsi="Times New Roman"/>
          <w:color w:val="000000"/>
        </w:rPr>
      </w:pPr>
      <w:r>
        <w:rPr>
          <w:rStyle w:val="Strong"/>
          <w:rFonts w:ascii="Times New Roman" w:hAnsi="Times New Roman"/>
          <w:b w:val="false"/>
          <w:bCs w:val="false"/>
          <w:color w:val="000000"/>
        </w:rPr>
        <w:t>Primary clients:</w:t>
      </w:r>
      <w:r>
        <w:rPr>
          <w:rFonts w:ascii="Times New Roman" w:hAnsi="Times New Roman"/>
          <w:b w:val="false"/>
          <w:bCs w:val="false"/>
          <w:color w:val="000000"/>
        </w:rPr>
        <w:t xml:space="preserve"> NASA, ESA, JAXA, CNSA, ISRO</w:t>
      </w:r>
    </w:p>
    <w:p>
      <w:pPr>
        <w:pStyle w:val="BodyText"/>
        <w:bidi w:val="0"/>
        <w:jc w:val="left"/>
        <w:rPr>
          <w:rFonts w:ascii="Times New Roman" w:hAnsi="Times New Roman"/>
          <w:b w:val="false"/>
          <w:bCs w:val="false"/>
          <w:color w:val="000000"/>
        </w:rPr>
      </w:pPr>
      <w:r>
        <w:rPr>
          <w:rFonts w:ascii="Times New Roman" w:hAnsi="Times New Roman"/>
          <w:b w:val="false"/>
          <w:bCs w:val="false"/>
          <w:color w:val="000000"/>
        </w:rPr>
        <w:t>- Budgets for long-duration missions increasing</w:t>
      </w:r>
    </w:p>
    <w:p>
      <w:pPr>
        <w:pStyle w:val="BodyText"/>
        <w:bidi w:val="0"/>
        <w:jc w:val="left"/>
        <w:rPr>
          <w:rFonts w:ascii="Times New Roman" w:hAnsi="Times New Roman"/>
          <w:color w:val="000000"/>
        </w:rPr>
      </w:pPr>
      <w:r>
        <w:rPr>
          <w:rFonts w:ascii="Times New Roman" w:hAnsi="Times New Roman"/>
          <w:b w:val="false"/>
          <w:bCs w:val="false"/>
          <w:color w:val="000000"/>
        </w:rPr>
        <w:t xml:space="preserve">- NEFET reduces mission contingency costs by </w:t>
      </w:r>
      <w:r>
        <w:rPr>
          <w:rStyle w:val="Strong"/>
          <w:rFonts w:ascii="Times New Roman" w:hAnsi="Times New Roman"/>
          <w:b w:val="false"/>
          <w:bCs w:val="false"/>
          <w:color w:val="000000"/>
        </w:rPr>
        <w:t>15–25%</w:t>
      </w:r>
    </w:p>
    <w:p>
      <w:pPr>
        <w:pStyle w:val="BodyText"/>
        <w:bidi w:val="0"/>
        <w:jc w:val="left"/>
        <w:rPr>
          <w:rFonts w:ascii="Times New Roman" w:hAnsi="Times New Roman"/>
          <w:color w:val="000000"/>
        </w:rPr>
      </w:pPr>
      <w:r>
        <w:rPr>
          <w:rStyle w:val="Strong"/>
          <w:rFonts w:ascii="Times New Roman" w:hAnsi="Times New Roman"/>
          <w:b w:val="false"/>
          <w:bCs w:val="false"/>
          <w:color w:val="000000"/>
        </w:rPr>
        <w:t xml:space="preserve">- </w:t>
      </w:r>
      <w:r>
        <w:rPr>
          <w:rFonts w:ascii="Times New Roman" w:hAnsi="Times New Roman"/>
          <w:b w:val="false"/>
          <w:bCs w:val="false"/>
          <w:color w:val="000000"/>
        </w:rPr>
        <w:t xml:space="preserve">Pilot deployment through </w:t>
      </w:r>
      <w:r>
        <w:rPr>
          <w:rStyle w:val="Strong"/>
          <w:rFonts w:ascii="Times New Roman" w:hAnsi="Times New Roman"/>
          <w:b w:val="false"/>
          <w:bCs w:val="false"/>
          <w:color w:val="000000"/>
        </w:rPr>
        <w:t>analog missions</w:t>
      </w:r>
      <w:r>
        <w:rPr>
          <w:rFonts w:ascii="Times New Roman" w:hAnsi="Times New Roman"/>
          <w:b w:val="false"/>
          <w:bCs w:val="false"/>
          <w:color w:val="000000"/>
        </w:rPr>
        <w:t xml:space="preserve"> → orbital → lunar → Mars</w:t>
      </w:r>
    </w:p>
    <w:p>
      <w:pPr>
        <w:pStyle w:val="Heading2"/>
        <w:ind w:hanging="0" w:left="0"/>
        <w:rPr>
          <w:rFonts w:ascii="Times New Roman" w:hAnsi="Times New Roman"/>
          <w:b w:val="false"/>
          <w:bCs w:val="false"/>
          <w:color w:val="000000"/>
          <w:sz w:val="32"/>
          <w:szCs w:val="32"/>
        </w:rPr>
      </w:pPr>
      <w:bookmarkStart w:id="26" w:name="__RefHeading___Toc908_2830917912"/>
      <w:bookmarkEnd w:id="26"/>
      <w:r>
        <w:rPr/>
        <w:t>4.3 Commercial Spaceflight</w:t>
      </w:r>
    </w:p>
    <w:p>
      <w:pPr>
        <w:pStyle w:val="BodyText"/>
        <w:bidi w:val="0"/>
        <w:jc w:val="left"/>
        <w:rPr>
          <w:rFonts w:ascii="Times New Roman" w:hAnsi="Times New Roman"/>
          <w:color w:val="000000"/>
        </w:rPr>
      </w:pPr>
      <w:r>
        <w:rPr>
          <w:rStyle w:val="Strong"/>
          <w:rFonts w:ascii="Times New Roman" w:hAnsi="Times New Roman"/>
          <w:b w:val="false"/>
          <w:bCs w:val="false"/>
          <w:color w:val="000000"/>
        </w:rPr>
        <w:t>Emerging clients:</w:t>
      </w:r>
      <w:r>
        <w:rPr>
          <w:rFonts w:ascii="Times New Roman" w:hAnsi="Times New Roman"/>
          <w:b w:val="false"/>
          <w:bCs w:val="false"/>
          <w:color w:val="000000"/>
        </w:rPr>
        <w:t xml:space="preserve"> SpaceX, Blue Origin, Axiom Space</w:t>
      </w:r>
    </w:p>
    <w:p>
      <w:pPr>
        <w:pStyle w:val="BodyText"/>
        <w:bidi w:val="0"/>
        <w:jc w:val="left"/>
        <w:rPr>
          <w:rFonts w:ascii="Times New Roman" w:hAnsi="Times New Roman"/>
          <w:b w:val="false"/>
          <w:bCs w:val="false"/>
          <w:color w:val="000000"/>
        </w:rPr>
      </w:pPr>
      <w:r>
        <w:rPr>
          <w:rFonts w:ascii="Times New Roman" w:hAnsi="Times New Roman"/>
          <w:b w:val="false"/>
          <w:bCs w:val="false"/>
          <w:color w:val="000000"/>
        </w:rPr>
        <w:t>- Human spaceflight CAGR: 12–15%</w:t>
      </w:r>
    </w:p>
    <w:p>
      <w:pPr>
        <w:pStyle w:val="BodyText"/>
        <w:bidi w:val="0"/>
        <w:jc w:val="left"/>
        <w:rPr>
          <w:rFonts w:ascii="Times New Roman" w:hAnsi="Times New Roman"/>
          <w:color w:val="000000"/>
        </w:rPr>
      </w:pPr>
      <w:r>
        <w:rPr>
          <w:rFonts w:ascii="Times New Roman" w:hAnsi="Times New Roman"/>
          <w:b w:val="false"/>
          <w:bCs w:val="false"/>
          <w:color w:val="000000"/>
        </w:rPr>
        <w:t xml:space="preserve">- NEFET reduces liability and insurance premiums by </w:t>
      </w:r>
      <w:r>
        <w:rPr>
          <w:rStyle w:val="Strong"/>
          <w:rFonts w:ascii="Times New Roman" w:hAnsi="Times New Roman"/>
          <w:b w:val="false"/>
          <w:bCs w:val="false"/>
          <w:color w:val="000000"/>
        </w:rPr>
        <w:t>10–15% per mission</w:t>
      </w:r>
    </w:p>
    <w:p>
      <w:pPr>
        <w:pStyle w:val="BodyText"/>
        <w:bidi w:val="0"/>
        <w:jc w:val="left"/>
        <w:rPr>
          <w:rFonts w:ascii="Times New Roman" w:hAnsi="Times New Roman"/>
          <w:color w:val="000000"/>
        </w:rPr>
      </w:pPr>
      <w:r>
        <w:rPr>
          <w:rStyle w:val="Strong"/>
          <w:rFonts w:ascii="Times New Roman" w:hAnsi="Times New Roman"/>
          <w:b w:val="false"/>
          <w:bCs w:val="false"/>
          <w:color w:val="000000"/>
        </w:rPr>
        <w:t xml:space="preserve"> </w:t>
      </w:r>
      <w:r>
        <w:rPr>
          <w:rStyle w:val="Strong"/>
          <w:rFonts w:ascii="Times New Roman" w:hAnsi="Times New Roman"/>
          <w:b w:val="false"/>
          <w:bCs w:val="false"/>
          <w:color w:val="000000"/>
        </w:rPr>
        <w:t xml:space="preserve">- </w:t>
      </w:r>
      <w:r>
        <w:rPr>
          <w:rFonts w:ascii="Times New Roman" w:hAnsi="Times New Roman"/>
          <w:b w:val="false"/>
          <w:bCs w:val="false"/>
          <w:color w:val="000000"/>
        </w:rPr>
        <w:t>Subscription and per-mission licensing models provide recurring revenue</w:t>
      </w:r>
    </w:p>
    <w:p>
      <w:pPr>
        <w:pStyle w:val="Heading2"/>
        <w:ind w:hanging="0" w:left="0"/>
        <w:rPr>
          <w:rFonts w:ascii="Times New Roman" w:hAnsi="Times New Roman"/>
          <w:b w:val="false"/>
          <w:bCs w:val="false"/>
          <w:color w:val="000000"/>
          <w:sz w:val="32"/>
          <w:szCs w:val="32"/>
        </w:rPr>
      </w:pPr>
      <w:bookmarkStart w:id="27" w:name="__RefHeading___Toc910_2830917912"/>
      <w:bookmarkEnd w:id="27"/>
      <w:r>
        <w:rPr/>
        <w:t>4.4 Terrestrial Spin-Off Markets</w:t>
      </w:r>
    </w:p>
    <w:p>
      <w:pPr>
        <w:pStyle w:val="TableContents"/>
        <w:spacing w:lineRule="auto" w:line="276"/>
        <w:rPr>
          <w:b w:val="false"/>
          <w:bCs w:val="false"/>
          <w:color w:val="000000"/>
          <w:sz w:val="24"/>
          <w:szCs w:val="24"/>
        </w:rPr>
      </w:pPr>
      <w:bookmarkStart w:id="28" w:name="__RefHeading___Toc912_2830917912"/>
      <w:bookmarkEnd w:id="28"/>
      <w:r>
        <w:rPr>
          <w:rFonts w:ascii="Times New Roman" w:hAnsi="Times New Roman"/>
        </w:rPr>
        <w:t xml:space="preserve">- Submarine crews, Antarctic research, remote mining, defense applications, elite athletes  </w:t>
      </w:r>
    </w:p>
    <w:p>
      <w:pPr>
        <w:pStyle w:val="TableContents"/>
        <w:spacing w:lineRule="auto" w:line="276"/>
        <w:rPr>
          <w:b w:val="false"/>
          <w:bCs w:val="false"/>
          <w:color w:val="000000"/>
          <w:sz w:val="24"/>
          <w:szCs w:val="24"/>
        </w:rPr>
      </w:pPr>
      <w:bookmarkStart w:id="29" w:name="__RefHeading___Toc914_2830917912"/>
      <w:bookmarkEnd w:id="29"/>
      <w:r>
        <w:rPr>
          <w:rFonts w:ascii="Times New Roman" w:hAnsi="Times New Roman"/>
        </w:rPr>
        <w:t>- Diversifies revenue streams and ensures continuous cash flow</w:t>
      </w:r>
    </w:p>
    <w:p>
      <w:pPr>
        <w:pStyle w:val="BlockQuotationuser"/>
        <w:bidi w:val="0"/>
        <w:spacing w:lineRule="auto" w:line="276" w:before="0" w:after="140"/>
        <w:jc w:val="left"/>
        <w:rPr>
          <w:rFonts w:ascii="Times New Roman" w:hAnsi="Times New Roman"/>
          <w:b w:val="false"/>
          <w:bCs w:val="false"/>
          <w:sz w:val="24"/>
          <w:szCs w:val="24"/>
        </w:rPr>
      </w:pPr>
      <w:r>
        <w:rPr>
          <w:rFonts w:ascii="Times New Roman" w:hAnsi="Times New Roman"/>
          <w:b w:val="false"/>
          <w:bCs w:val="false"/>
          <w:sz w:val="24"/>
          <w:szCs w:val="24"/>
        </w:rPr>
      </w:r>
    </w:p>
    <w:p>
      <w:pPr>
        <w:pStyle w:val="Heading2"/>
        <w:ind w:hanging="0" w:left="0"/>
        <w:rPr>
          <w:rFonts w:ascii="Times New Roman" w:hAnsi="Times New Roman"/>
          <w:b w:val="false"/>
          <w:bCs w:val="false"/>
          <w:color w:val="000000"/>
          <w:sz w:val="32"/>
          <w:szCs w:val="32"/>
        </w:rPr>
      </w:pPr>
      <w:bookmarkStart w:id="30" w:name="__RefHeading___Toc916_2830917912"/>
      <w:bookmarkEnd w:id="30"/>
      <w:r>
        <w:rPr/>
        <w:t>4.5 Competitive Landscape</w:t>
      </w:r>
    </w:p>
    <w:tbl>
      <w:tblPr>
        <w:tblW w:w="9638" w:type="dxa"/>
        <w:jc w:val="left"/>
        <w:tblInd w:w="28" w:type="dxa"/>
        <w:tblLayout w:type="fixed"/>
        <w:tblCellMar>
          <w:top w:w="28" w:type="dxa"/>
          <w:left w:w="28" w:type="dxa"/>
          <w:bottom w:w="28" w:type="dxa"/>
          <w:right w:w="28" w:type="dxa"/>
        </w:tblCellMar>
      </w:tblPr>
      <w:tblGrid>
        <w:gridCol w:w="1846"/>
        <w:gridCol w:w="1967"/>
        <w:gridCol w:w="2423"/>
        <w:gridCol w:w="3402"/>
      </w:tblGrid>
      <w:tr>
        <w:trPr>
          <w:tblHeader w:val="true"/>
        </w:trPr>
        <w:tc>
          <w:tcPr>
            <w:tcW w:w="1846" w:type="dxa"/>
            <w:tcBorders/>
            <w:vAlign w:val="center"/>
          </w:tcPr>
          <w:p>
            <w:pPr>
              <w:pStyle w:val="TableHeading"/>
              <w:bidi w:val="0"/>
              <w:rPr>
                <w:rFonts w:ascii="Times New Roman" w:hAnsi="Times New Roman"/>
                <w:b w:val="false"/>
                <w:bCs w:val="false"/>
                <w:sz w:val="24"/>
                <w:szCs w:val="24"/>
              </w:rPr>
            </w:pPr>
            <w:r>
              <w:rPr>
                <w:rFonts w:ascii="Times New Roman" w:hAnsi="Times New Roman"/>
                <w:b w:val="false"/>
                <w:bCs w:val="false"/>
                <w:sz w:val="24"/>
                <w:szCs w:val="24"/>
              </w:rPr>
              <w:t>Competitor</w:t>
            </w:r>
          </w:p>
        </w:tc>
        <w:tc>
          <w:tcPr>
            <w:tcW w:w="1967" w:type="dxa"/>
            <w:tcBorders/>
            <w:vAlign w:val="center"/>
          </w:tcPr>
          <w:p>
            <w:pPr>
              <w:pStyle w:val="TableHeading"/>
              <w:bidi w:val="0"/>
              <w:rPr>
                <w:rFonts w:ascii="Times New Roman" w:hAnsi="Times New Roman"/>
                <w:b w:val="false"/>
                <w:bCs w:val="false"/>
                <w:sz w:val="24"/>
                <w:szCs w:val="24"/>
              </w:rPr>
            </w:pPr>
            <w:r>
              <w:rPr>
                <w:rFonts w:ascii="Times New Roman" w:hAnsi="Times New Roman"/>
                <w:b w:val="false"/>
                <w:bCs w:val="false"/>
                <w:sz w:val="24"/>
                <w:szCs w:val="24"/>
              </w:rPr>
              <w:t>Coverage</w:t>
            </w:r>
          </w:p>
        </w:tc>
        <w:tc>
          <w:tcPr>
            <w:tcW w:w="2423" w:type="dxa"/>
            <w:tcBorders/>
            <w:vAlign w:val="center"/>
          </w:tcPr>
          <w:p>
            <w:pPr>
              <w:pStyle w:val="TableHeading"/>
              <w:bidi w:val="0"/>
              <w:rPr>
                <w:rFonts w:ascii="Times New Roman" w:hAnsi="Times New Roman"/>
                <w:b w:val="false"/>
                <w:bCs w:val="false"/>
                <w:sz w:val="24"/>
                <w:szCs w:val="24"/>
              </w:rPr>
            </w:pPr>
            <w:r>
              <w:rPr>
                <w:rFonts w:ascii="Times New Roman" w:hAnsi="Times New Roman"/>
                <w:b w:val="false"/>
                <w:bCs w:val="false"/>
                <w:sz w:val="24"/>
                <w:szCs w:val="24"/>
              </w:rPr>
              <w:t>Limitation</w:t>
            </w:r>
          </w:p>
        </w:tc>
        <w:tc>
          <w:tcPr>
            <w:tcW w:w="3402" w:type="dxa"/>
            <w:tcBorders/>
            <w:vAlign w:val="center"/>
          </w:tcPr>
          <w:p>
            <w:pPr>
              <w:pStyle w:val="TableHeading"/>
              <w:bidi w:val="0"/>
              <w:rPr>
                <w:rFonts w:ascii="Times New Roman" w:hAnsi="Times New Roman"/>
                <w:b w:val="false"/>
                <w:bCs w:val="false"/>
                <w:sz w:val="24"/>
                <w:szCs w:val="24"/>
              </w:rPr>
            </w:pPr>
            <w:r>
              <w:rPr>
                <w:rFonts w:ascii="Times New Roman" w:hAnsi="Times New Roman"/>
                <w:b w:val="false"/>
                <w:bCs w:val="false"/>
                <w:sz w:val="24"/>
                <w:szCs w:val="24"/>
              </w:rPr>
              <w:t>NEFET Advantage</w:t>
            </w:r>
          </w:p>
        </w:tc>
      </w:tr>
      <w:tr>
        <w:trPr/>
        <w:tc>
          <w:tcPr>
            <w:tcW w:w="1846" w:type="dxa"/>
            <w:tcBorders/>
            <w:vAlign w:val="center"/>
          </w:tcPr>
          <w:p>
            <w:pPr>
              <w:pStyle w:val="TableContents"/>
              <w:bidi w:val="0"/>
              <w:jc w:val="left"/>
              <w:rPr>
                <w:rFonts w:ascii="Times New Roman" w:hAnsi="Times New Roman"/>
                <w:b w:val="false"/>
                <w:bCs w:val="false"/>
                <w:sz w:val="24"/>
                <w:szCs w:val="24"/>
              </w:rPr>
            </w:pPr>
            <w:r>
              <w:rPr>
                <w:rFonts w:ascii="Times New Roman" w:hAnsi="Times New Roman"/>
                <w:b w:val="false"/>
                <w:bCs w:val="false"/>
                <w:sz w:val="24"/>
                <w:szCs w:val="24"/>
              </w:rPr>
              <w:t>NASA standard systems</w:t>
            </w:r>
          </w:p>
        </w:tc>
        <w:tc>
          <w:tcPr>
            <w:tcW w:w="1967" w:type="dxa"/>
            <w:tcBorders/>
            <w:vAlign w:val="center"/>
          </w:tcPr>
          <w:p>
            <w:pPr>
              <w:pStyle w:val="TableContents"/>
              <w:bidi w:val="0"/>
              <w:jc w:val="left"/>
              <w:rPr>
                <w:rFonts w:ascii="Times New Roman" w:hAnsi="Times New Roman"/>
                <w:b w:val="false"/>
                <w:bCs w:val="false"/>
                <w:sz w:val="24"/>
                <w:szCs w:val="24"/>
              </w:rPr>
            </w:pPr>
            <w:r>
              <w:rPr>
                <w:rFonts w:ascii="Times New Roman" w:hAnsi="Times New Roman"/>
                <w:b w:val="false"/>
                <w:bCs w:val="false"/>
                <w:sz w:val="24"/>
                <w:szCs w:val="24"/>
              </w:rPr>
              <w:t>Mechanical &amp; biomedical</w:t>
            </w:r>
          </w:p>
        </w:tc>
        <w:tc>
          <w:tcPr>
            <w:tcW w:w="2423" w:type="dxa"/>
            <w:tcBorders/>
            <w:vAlign w:val="center"/>
          </w:tcPr>
          <w:p>
            <w:pPr>
              <w:pStyle w:val="TableContents"/>
              <w:bidi w:val="0"/>
              <w:jc w:val="left"/>
              <w:rPr>
                <w:rFonts w:ascii="Times New Roman" w:hAnsi="Times New Roman"/>
                <w:b w:val="false"/>
                <w:bCs w:val="false"/>
                <w:sz w:val="24"/>
                <w:szCs w:val="24"/>
              </w:rPr>
            </w:pPr>
            <w:r>
              <w:rPr>
                <w:rFonts w:ascii="Times New Roman" w:hAnsi="Times New Roman"/>
                <w:b w:val="false"/>
                <w:bCs w:val="false"/>
                <w:sz w:val="24"/>
                <w:szCs w:val="24"/>
              </w:rPr>
              <w:t>Siloed, reactive</w:t>
            </w:r>
          </w:p>
        </w:tc>
        <w:tc>
          <w:tcPr>
            <w:tcW w:w="3402" w:type="dxa"/>
            <w:tcBorders/>
            <w:vAlign w:val="center"/>
          </w:tcPr>
          <w:p>
            <w:pPr>
              <w:pStyle w:val="TableContents"/>
              <w:bidi w:val="0"/>
              <w:jc w:val="left"/>
              <w:rPr>
                <w:rFonts w:ascii="Times New Roman" w:hAnsi="Times New Roman"/>
                <w:b w:val="false"/>
                <w:bCs w:val="false"/>
                <w:sz w:val="24"/>
                <w:szCs w:val="24"/>
              </w:rPr>
            </w:pPr>
            <w:r>
              <w:rPr>
                <w:rFonts w:ascii="Times New Roman" w:hAnsi="Times New Roman"/>
                <w:b w:val="false"/>
                <w:bCs w:val="false"/>
                <w:sz w:val="24"/>
                <w:szCs w:val="24"/>
              </w:rPr>
              <w:t>Integrated, predictive, confidential behavioral monitoring</w:t>
            </w:r>
          </w:p>
        </w:tc>
      </w:tr>
      <w:tr>
        <w:trPr/>
        <w:tc>
          <w:tcPr>
            <w:tcW w:w="1846" w:type="dxa"/>
            <w:tcBorders/>
            <w:vAlign w:val="center"/>
          </w:tcPr>
          <w:p>
            <w:pPr>
              <w:pStyle w:val="TableContents"/>
              <w:bidi w:val="0"/>
              <w:jc w:val="left"/>
              <w:rPr>
                <w:rFonts w:ascii="Times New Roman" w:hAnsi="Times New Roman"/>
                <w:b w:val="false"/>
                <w:bCs w:val="false"/>
                <w:sz w:val="24"/>
                <w:szCs w:val="24"/>
              </w:rPr>
            </w:pPr>
            <w:r>
              <w:rPr>
                <w:rFonts w:ascii="Times New Roman" w:hAnsi="Times New Roman"/>
                <w:b w:val="false"/>
                <w:bCs w:val="false"/>
                <w:sz w:val="24"/>
                <w:szCs w:val="24"/>
              </w:rPr>
              <w:t>Commercial health AI</w:t>
            </w:r>
          </w:p>
        </w:tc>
        <w:tc>
          <w:tcPr>
            <w:tcW w:w="1967" w:type="dxa"/>
            <w:tcBorders/>
            <w:vAlign w:val="center"/>
          </w:tcPr>
          <w:p>
            <w:pPr>
              <w:pStyle w:val="TableContents"/>
              <w:bidi w:val="0"/>
              <w:jc w:val="left"/>
              <w:rPr>
                <w:rFonts w:ascii="Times New Roman" w:hAnsi="Times New Roman"/>
                <w:b w:val="false"/>
                <w:bCs w:val="false"/>
                <w:sz w:val="24"/>
                <w:szCs w:val="24"/>
              </w:rPr>
            </w:pPr>
            <w:r>
              <w:rPr>
                <w:rFonts w:ascii="Times New Roman" w:hAnsi="Times New Roman"/>
                <w:b w:val="false"/>
                <w:bCs w:val="false"/>
                <w:sz w:val="24"/>
                <w:szCs w:val="24"/>
              </w:rPr>
              <w:t>Physiological only</w:t>
            </w:r>
          </w:p>
        </w:tc>
        <w:tc>
          <w:tcPr>
            <w:tcW w:w="2423" w:type="dxa"/>
            <w:tcBorders/>
            <w:vAlign w:val="center"/>
          </w:tcPr>
          <w:p>
            <w:pPr>
              <w:pStyle w:val="TableContents"/>
              <w:bidi w:val="0"/>
              <w:jc w:val="left"/>
              <w:rPr>
                <w:rFonts w:ascii="Times New Roman" w:hAnsi="Times New Roman"/>
                <w:b w:val="false"/>
                <w:bCs w:val="false"/>
                <w:sz w:val="24"/>
                <w:szCs w:val="24"/>
              </w:rPr>
            </w:pPr>
            <w:r>
              <w:rPr>
                <w:rFonts w:ascii="Times New Roman" w:hAnsi="Times New Roman"/>
                <w:b w:val="false"/>
                <w:bCs w:val="false"/>
                <w:sz w:val="24"/>
                <w:szCs w:val="24"/>
              </w:rPr>
              <w:t>No mechanical/AI fault detection</w:t>
            </w:r>
          </w:p>
        </w:tc>
        <w:tc>
          <w:tcPr>
            <w:tcW w:w="3402" w:type="dxa"/>
            <w:tcBorders/>
            <w:vAlign w:val="center"/>
          </w:tcPr>
          <w:p>
            <w:pPr>
              <w:pStyle w:val="TableContents"/>
              <w:bidi w:val="0"/>
              <w:jc w:val="left"/>
              <w:rPr>
                <w:rFonts w:ascii="Times New Roman" w:hAnsi="Times New Roman"/>
                <w:b w:val="false"/>
                <w:bCs w:val="false"/>
                <w:sz w:val="24"/>
                <w:szCs w:val="24"/>
              </w:rPr>
            </w:pPr>
            <w:r>
              <w:rPr>
                <w:rFonts w:ascii="Times New Roman" w:hAnsi="Times New Roman"/>
                <w:b w:val="false"/>
                <w:bCs w:val="false"/>
                <w:sz w:val="24"/>
                <w:szCs w:val="24"/>
              </w:rPr>
              <w:t>Unified spacecraft + health + AI analytics</w:t>
            </w:r>
          </w:p>
        </w:tc>
      </w:tr>
      <w:tr>
        <w:trPr/>
        <w:tc>
          <w:tcPr>
            <w:tcW w:w="1846" w:type="dxa"/>
            <w:tcBorders/>
            <w:vAlign w:val="center"/>
          </w:tcPr>
          <w:p>
            <w:pPr>
              <w:pStyle w:val="TableContents"/>
              <w:bidi w:val="0"/>
              <w:jc w:val="left"/>
              <w:rPr>
                <w:rFonts w:ascii="Times New Roman" w:hAnsi="Times New Roman"/>
                <w:b w:val="false"/>
                <w:bCs w:val="false"/>
                <w:sz w:val="24"/>
                <w:szCs w:val="24"/>
              </w:rPr>
            </w:pPr>
            <w:r>
              <w:rPr>
                <w:rFonts w:ascii="Times New Roman" w:hAnsi="Times New Roman"/>
                <w:b w:val="false"/>
                <w:bCs w:val="false"/>
                <w:sz w:val="24"/>
                <w:szCs w:val="24"/>
              </w:rPr>
              <w:t>Terrestrial AI</w:t>
            </w:r>
          </w:p>
        </w:tc>
        <w:tc>
          <w:tcPr>
            <w:tcW w:w="1967" w:type="dxa"/>
            <w:tcBorders/>
            <w:vAlign w:val="center"/>
          </w:tcPr>
          <w:p>
            <w:pPr>
              <w:pStyle w:val="TableContents"/>
              <w:bidi w:val="0"/>
              <w:jc w:val="left"/>
              <w:rPr>
                <w:rFonts w:ascii="Times New Roman" w:hAnsi="Times New Roman"/>
                <w:b w:val="false"/>
                <w:bCs w:val="false"/>
                <w:sz w:val="24"/>
                <w:szCs w:val="24"/>
              </w:rPr>
            </w:pPr>
            <w:r>
              <w:rPr>
                <w:rFonts w:ascii="Times New Roman" w:hAnsi="Times New Roman"/>
                <w:b w:val="false"/>
                <w:bCs w:val="false"/>
                <w:sz w:val="24"/>
                <w:szCs w:val="24"/>
              </w:rPr>
              <w:t>Human only</w:t>
            </w:r>
          </w:p>
        </w:tc>
        <w:tc>
          <w:tcPr>
            <w:tcW w:w="2423" w:type="dxa"/>
            <w:tcBorders/>
            <w:vAlign w:val="center"/>
          </w:tcPr>
          <w:p>
            <w:pPr>
              <w:pStyle w:val="TableContents"/>
              <w:bidi w:val="0"/>
              <w:jc w:val="left"/>
              <w:rPr>
                <w:rFonts w:ascii="Times New Roman" w:hAnsi="Times New Roman"/>
                <w:b w:val="false"/>
                <w:bCs w:val="false"/>
                <w:sz w:val="24"/>
                <w:szCs w:val="24"/>
              </w:rPr>
            </w:pPr>
            <w:r>
              <w:rPr>
                <w:rFonts w:ascii="Times New Roman" w:hAnsi="Times New Roman"/>
                <w:b w:val="false"/>
                <w:bCs w:val="false"/>
                <w:sz w:val="24"/>
                <w:szCs w:val="24"/>
              </w:rPr>
              <w:t>Non-spaceflight validated</w:t>
            </w:r>
          </w:p>
        </w:tc>
        <w:tc>
          <w:tcPr>
            <w:tcW w:w="3402" w:type="dxa"/>
            <w:tcBorders/>
            <w:vAlign w:val="center"/>
          </w:tcPr>
          <w:p>
            <w:pPr>
              <w:pStyle w:val="TableContents"/>
              <w:bidi w:val="0"/>
              <w:jc w:val="left"/>
              <w:rPr>
                <w:rFonts w:ascii="Times New Roman" w:hAnsi="Times New Roman"/>
                <w:b w:val="false"/>
                <w:bCs w:val="false"/>
                <w:sz w:val="24"/>
                <w:szCs w:val="24"/>
              </w:rPr>
            </w:pPr>
            <w:r>
              <w:rPr>
                <w:rFonts w:ascii="Times New Roman" w:hAnsi="Times New Roman"/>
                <w:b w:val="false"/>
                <w:bCs w:val="false"/>
                <w:sz w:val="24"/>
                <w:szCs w:val="24"/>
              </w:rPr>
              <w:t>Space-tested, edge AI, multimodal</w:t>
            </w:r>
          </w:p>
        </w:tc>
      </w:tr>
    </w:tbl>
    <w:p>
      <w:pPr>
        <w:pStyle w:val="HorizontalLine"/>
        <w:bidi w:val="0"/>
        <w:spacing w:lineRule="auto" w:line="276" w:before="0" w:after="14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Heading1"/>
        <w:ind w:hanging="0" w:left="0"/>
        <w:rPr>
          <w:b/>
          <w:bCs/>
          <w:sz w:val="36"/>
          <w:szCs w:val="36"/>
        </w:rPr>
      </w:pPr>
      <w:bookmarkStart w:id="31" w:name="__RefHeading___Toc918_2830917912COPY_IS_"/>
      <w:bookmarkEnd w:id="31"/>
      <w:r>
        <w:rPr>
          <w:rFonts w:ascii="Times New Roman" w:hAnsi="Times New Roman"/>
          <w:b/>
          <w:bCs/>
          <w:color w:val="000000"/>
          <w:sz w:val="36"/>
          <w:szCs w:val="36"/>
        </w:rPr>
        <w:t>5. Go-To Marketing Strategy</w:t>
      </w:r>
      <w:r>
        <w:rPr>
          <w:rFonts w:ascii="Times New Roman" w:hAnsi="Times New Roman"/>
          <w:b/>
          <w:bCs/>
          <w:color w:val="000000"/>
          <w:sz w:val="36"/>
          <w:szCs w:val="36"/>
        </w:rPr>
        <w:t xml:space="preserve"> </w:t>
      </w:r>
    </w:p>
    <w:p>
      <w:pPr>
        <w:pStyle w:val="TableContents"/>
        <w:spacing w:lineRule="auto" w:line="276"/>
        <w:ind w:hanging="0" w:left="709"/>
        <w:jc w:val="left"/>
        <w:rPr>
          <w:b w:val="false"/>
          <w:bCs w:val="false"/>
          <w:color w:val="000000"/>
        </w:rPr>
      </w:pPr>
      <w:bookmarkStart w:id="32" w:name="__RefHeading___Toc920_2830917912"/>
      <w:bookmarkEnd w:id="32"/>
      <w:r>
        <w:rPr>
          <w:rFonts w:ascii="Times New Roman" w:hAnsi="Times New Roman"/>
          <w:sz w:val="24"/>
          <w:szCs w:val="24"/>
        </w:rPr>
        <w:t>Phase 1:</w:t>
      </w:r>
    </w:p>
    <w:p>
      <w:pPr>
        <w:pStyle w:val="TableContents"/>
        <w:spacing w:lineRule="auto" w:line="276"/>
        <w:ind w:hanging="0" w:left="709"/>
        <w:jc w:val="left"/>
        <w:rPr>
          <w:rFonts w:ascii="Times New Roman" w:hAnsi="Times New Roman"/>
          <w:b w:val="false"/>
          <w:bCs w:val="false"/>
          <w:color w:val="000000"/>
          <w:sz w:val="24"/>
          <w:szCs w:val="24"/>
        </w:rPr>
      </w:pPr>
      <w:bookmarkStart w:id="33" w:name="__RefHeading___Toc922_2830917912"/>
      <w:bookmarkEnd w:id="33"/>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 Government innovation grants</w:t>
      </w:r>
    </w:p>
    <w:p>
      <w:pPr>
        <w:pStyle w:val="TableContents"/>
        <w:spacing w:lineRule="auto" w:line="276"/>
        <w:ind w:hanging="0" w:left="709"/>
        <w:jc w:val="left"/>
        <w:rPr>
          <w:rFonts w:ascii="Times New Roman" w:hAnsi="Times New Roman"/>
          <w:sz w:val="24"/>
          <w:szCs w:val="24"/>
        </w:rPr>
      </w:pPr>
      <w:bookmarkStart w:id="34" w:name="__RefHeading___Toc924_2830917912"/>
      <w:bookmarkEnd w:id="34"/>
      <w:r>
        <w:rPr>
          <w:rFonts w:ascii="Times New Roman" w:hAnsi="Times New Roman"/>
          <w:sz w:val="24"/>
          <w:szCs w:val="24"/>
        </w:rPr>
        <w:t xml:space="preserve"> </w:t>
      </w:r>
      <w:r>
        <w:rPr>
          <w:rFonts w:ascii="Times New Roman" w:hAnsi="Times New Roman"/>
          <w:sz w:val="24"/>
          <w:szCs w:val="24"/>
        </w:rPr>
        <w:t xml:space="preserve">- University and research partnerships - </w:t>
      </w:r>
    </w:p>
    <w:p>
      <w:pPr>
        <w:pStyle w:val="TableContents"/>
        <w:spacing w:lineRule="auto" w:line="276"/>
        <w:ind w:hanging="0" w:left="709"/>
        <w:jc w:val="left"/>
        <w:rPr>
          <w:b w:val="false"/>
          <w:bCs w:val="false"/>
          <w:color w:val="000000"/>
        </w:rPr>
      </w:pPr>
      <w:bookmarkStart w:id="35" w:name="__RefHeading___Toc926_2830917912"/>
      <w:bookmarkEnd w:id="35"/>
      <w:r>
        <w:rPr>
          <w:rFonts w:ascii="Times New Roman" w:hAnsi="Times New Roman"/>
          <w:sz w:val="24"/>
          <w:szCs w:val="24"/>
        </w:rPr>
        <w:t>- Early-stage analog testing (Antarctic stations, HI-SEAS)</w:t>
      </w:r>
    </w:p>
    <w:p>
      <w:pPr>
        <w:pStyle w:val="TableContents"/>
        <w:spacing w:lineRule="auto" w:line="276"/>
        <w:ind w:hanging="0" w:left="709"/>
        <w:jc w:val="left"/>
        <w:rPr>
          <w:b w:val="false"/>
          <w:bCs w:val="false"/>
          <w:color w:val="000000"/>
        </w:rPr>
      </w:pPr>
      <w:bookmarkStart w:id="36" w:name="__RefHeading___Toc928_2830917912"/>
      <w:bookmarkEnd w:id="36"/>
      <w:r>
        <w:rPr>
          <w:rFonts w:ascii="Times New Roman" w:hAnsi="Times New Roman"/>
          <w:sz w:val="24"/>
          <w:szCs w:val="24"/>
        </w:rPr>
        <w:t>Phase 2:</w:t>
      </w:r>
    </w:p>
    <w:p>
      <w:pPr>
        <w:pStyle w:val="TableContents"/>
        <w:spacing w:lineRule="auto" w:line="276"/>
        <w:ind w:hanging="0" w:left="709"/>
        <w:jc w:val="left"/>
        <w:rPr>
          <w:rFonts w:ascii="Times New Roman" w:hAnsi="Times New Roman"/>
          <w:sz w:val="24"/>
          <w:szCs w:val="24"/>
        </w:rPr>
      </w:pPr>
      <w:bookmarkStart w:id="37" w:name="__RefHeading___Toc930_2830917912"/>
      <w:bookmarkEnd w:id="37"/>
      <w:r>
        <w:rPr>
          <w:rFonts w:ascii="Times New Roman" w:hAnsi="Times New Roman"/>
          <w:sz w:val="24"/>
          <w:szCs w:val="24"/>
        </w:rPr>
        <w:t xml:space="preserve"> </w:t>
      </w:r>
      <w:r>
        <w:rPr>
          <w:rFonts w:ascii="Times New Roman" w:hAnsi="Times New Roman"/>
          <w:sz w:val="24"/>
          <w:szCs w:val="24"/>
        </w:rPr>
        <w:t>- Orbital mission integration with partner agencies</w:t>
      </w:r>
    </w:p>
    <w:p>
      <w:pPr>
        <w:pStyle w:val="TableContents"/>
        <w:spacing w:lineRule="auto" w:line="276"/>
        <w:ind w:hanging="0" w:left="709"/>
        <w:jc w:val="left"/>
        <w:rPr>
          <w:rFonts w:ascii="Times New Roman" w:hAnsi="Times New Roman"/>
          <w:sz w:val="24"/>
          <w:szCs w:val="24"/>
        </w:rPr>
      </w:pPr>
      <w:bookmarkStart w:id="38" w:name="__RefHeading___Toc932_2830917912"/>
      <w:bookmarkEnd w:id="38"/>
      <w:r>
        <w:rPr>
          <w:rFonts w:ascii="Times New Roman" w:hAnsi="Times New Roman"/>
          <w:sz w:val="24"/>
          <w:szCs w:val="24"/>
        </w:rPr>
        <w:t xml:space="preserve"> </w:t>
      </w:r>
      <w:r>
        <w:rPr>
          <w:rFonts w:ascii="Times New Roman" w:hAnsi="Times New Roman"/>
          <w:sz w:val="24"/>
          <w:szCs w:val="24"/>
        </w:rPr>
        <w:t>- Pilot per-mission deployment contracts</w:t>
      </w:r>
    </w:p>
    <w:p>
      <w:pPr>
        <w:pStyle w:val="TableContents"/>
        <w:spacing w:lineRule="auto" w:line="276"/>
        <w:ind w:hanging="0" w:left="709"/>
        <w:jc w:val="left"/>
        <w:rPr>
          <w:rFonts w:ascii="Times New Roman" w:hAnsi="Times New Roman"/>
          <w:sz w:val="24"/>
          <w:szCs w:val="24"/>
        </w:rPr>
      </w:pPr>
      <w:bookmarkStart w:id="39" w:name="__RefHeading___Toc934_2830917912"/>
      <w:bookmarkEnd w:id="39"/>
      <w:r>
        <w:rPr>
          <w:rFonts w:ascii="Times New Roman" w:hAnsi="Times New Roman"/>
          <w:sz w:val="24"/>
          <w:szCs w:val="24"/>
        </w:rPr>
        <w:t xml:space="preserve"> </w:t>
      </w:r>
      <w:r>
        <w:rPr>
          <w:rFonts w:ascii="Times New Roman" w:hAnsi="Times New Roman"/>
          <w:sz w:val="24"/>
          <w:szCs w:val="24"/>
        </w:rPr>
        <w:t>- Robotic assistant leasing and customization services</w:t>
      </w:r>
    </w:p>
    <w:p>
      <w:pPr>
        <w:pStyle w:val="TableContents"/>
        <w:spacing w:lineRule="auto" w:line="276"/>
        <w:ind w:hanging="0" w:left="709"/>
        <w:jc w:val="left"/>
        <w:rPr>
          <w:b w:val="false"/>
          <w:bCs w:val="false"/>
          <w:color w:val="000000"/>
        </w:rPr>
      </w:pPr>
      <w:bookmarkStart w:id="40" w:name="__RefHeading___Toc936_2830917912"/>
      <w:bookmarkEnd w:id="40"/>
      <w:r>
        <w:rPr>
          <w:rFonts w:ascii="Times New Roman" w:hAnsi="Times New Roman"/>
          <w:sz w:val="24"/>
          <w:szCs w:val="24"/>
        </w:rPr>
        <w:t xml:space="preserve">Phase 3: </w:t>
      </w:r>
    </w:p>
    <w:p>
      <w:pPr>
        <w:pStyle w:val="TableContents"/>
        <w:spacing w:lineRule="auto" w:line="276"/>
        <w:ind w:hanging="0" w:left="709"/>
        <w:jc w:val="left"/>
        <w:rPr>
          <w:b w:val="false"/>
          <w:bCs w:val="false"/>
          <w:color w:val="000000"/>
        </w:rPr>
      </w:pPr>
      <w:bookmarkStart w:id="41" w:name="__RefHeading___Toc938_2830917912"/>
      <w:bookmarkEnd w:id="41"/>
      <w:r>
        <w:rPr>
          <w:rFonts w:ascii="Times New Roman" w:hAnsi="Times New Roman"/>
          <w:sz w:val="24"/>
          <w:szCs w:val="24"/>
        </w:rPr>
        <w:t xml:space="preserve">- Subscription-based monitoring platform </w:t>
      </w:r>
    </w:p>
    <w:p>
      <w:pPr>
        <w:pStyle w:val="TableContents"/>
        <w:spacing w:lineRule="auto" w:line="276"/>
        <w:ind w:hanging="0" w:left="709"/>
        <w:jc w:val="left"/>
        <w:rPr>
          <w:b w:val="false"/>
          <w:bCs w:val="false"/>
          <w:color w:val="000000"/>
        </w:rPr>
      </w:pPr>
      <w:bookmarkStart w:id="42" w:name="__RefHeading___Toc940_2830917912"/>
      <w:bookmarkEnd w:id="42"/>
      <w:r>
        <w:rPr>
          <w:rFonts w:ascii="Times New Roman" w:hAnsi="Times New Roman"/>
          <w:sz w:val="24"/>
          <w:szCs w:val="24"/>
        </w:rPr>
        <w:t xml:space="preserve">- Analytics licensing for commercial operators </w:t>
      </w:r>
    </w:p>
    <w:p>
      <w:pPr>
        <w:pStyle w:val="TableContents"/>
        <w:spacing w:lineRule="auto" w:line="276"/>
        <w:ind w:hanging="0" w:left="709"/>
        <w:jc w:val="left"/>
        <w:rPr>
          <w:b w:val="false"/>
          <w:bCs w:val="false"/>
          <w:color w:val="000000"/>
        </w:rPr>
      </w:pPr>
      <w:bookmarkStart w:id="43" w:name="__RefHeading___Toc942_2830917912"/>
      <w:bookmarkEnd w:id="43"/>
      <w:r>
        <w:rPr>
          <w:rFonts w:ascii="Times New Roman" w:hAnsi="Times New Roman"/>
          <w:sz w:val="24"/>
          <w:szCs w:val="24"/>
        </w:rPr>
        <w:t>- Long-term hardware leasing model for space robotics</w:t>
      </w:r>
    </w:p>
    <w:p>
      <w:pPr>
        <w:pStyle w:val="TableContents"/>
        <w:spacing w:lineRule="auto" w:line="276"/>
        <w:ind w:hanging="0" w:left="709"/>
        <w:jc w:val="left"/>
        <w:rPr>
          <w:b w:val="false"/>
          <w:bCs w:val="false"/>
          <w:color w:val="000000"/>
        </w:rPr>
      </w:pPr>
      <w:bookmarkStart w:id="44" w:name="__RefHeading___Toc944_2830917912"/>
      <w:bookmarkEnd w:id="44"/>
      <w:r>
        <w:rPr>
          <w:rFonts w:ascii="Times New Roman" w:hAnsi="Times New Roman"/>
          <w:sz w:val="24"/>
          <w:szCs w:val="24"/>
        </w:rPr>
        <w:t>Phase 4 :</w:t>
      </w:r>
    </w:p>
    <w:p>
      <w:pPr>
        <w:pStyle w:val="TableContents"/>
        <w:spacing w:lineRule="auto" w:line="276"/>
        <w:ind w:hanging="0" w:left="709"/>
        <w:jc w:val="left"/>
        <w:rPr>
          <w:b w:val="false"/>
          <w:bCs w:val="false"/>
          <w:color w:val="000000"/>
        </w:rPr>
      </w:pPr>
      <w:bookmarkStart w:id="45" w:name="__RefHeading___Toc946_2830917912"/>
      <w:bookmarkEnd w:id="45"/>
      <w:r>
        <w:rPr>
          <w:rFonts w:ascii="Times New Roman" w:hAnsi="Times New Roman"/>
          <w:sz w:val="24"/>
          <w:szCs w:val="24"/>
        </w:rPr>
        <w:t>- Industrial safety systems adaptation</w:t>
      </w:r>
    </w:p>
    <w:p>
      <w:pPr>
        <w:pStyle w:val="TableContents"/>
        <w:spacing w:lineRule="auto" w:line="276"/>
        <w:ind w:hanging="0" w:left="709"/>
        <w:jc w:val="left"/>
        <w:rPr>
          <w:b w:val="false"/>
          <w:bCs w:val="false"/>
          <w:color w:val="000000"/>
        </w:rPr>
      </w:pPr>
      <w:bookmarkStart w:id="46" w:name="__RefHeading___Toc948_2830917912"/>
      <w:bookmarkEnd w:id="46"/>
      <w:r>
        <w:rPr>
          <w:rFonts w:ascii="Times New Roman" w:hAnsi="Times New Roman"/>
          <w:sz w:val="24"/>
          <w:szCs w:val="24"/>
        </w:rPr>
        <w:t xml:space="preserve">- Defense sector contracts </w:t>
      </w:r>
    </w:p>
    <w:p>
      <w:pPr>
        <w:pStyle w:val="TableContents"/>
        <w:spacing w:lineRule="auto" w:line="276"/>
        <w:ind w:hanging="0" w:left="709"/>
        <w:jc w:val="left"/>
        <w:rPr>
          <w:b w:val="false"/>
          <w:bCs w:val="false"/>
          <w:color w:val="000000"/>
        </w:rPr>
      </w:pPr>
      <w:bookmarkStart w:id="47" w:name="__RefHeading___Toc950_2830917912"/>
      <w:bookmarkEnd w:id="47"/>
      <w:r>
        <w:rPr>
          <w:rFonts w:ascii="Times New Roman" w:hAnsi="Times New Roman"/>
          <w:sz w:val="24"/>
          <w:szCs w:val="24"/>
        </w:rPr>
        <w:t>- Remote medical monitoring systems</w:t>
      </w:r>
    </w:p>
    <w:p>
      <w:pPr>
        <w:pStyle w:val="TableContents"/>
        <w:rPr/>
      </w:pPr>
      <w:r>
        <w:rPr/>
      </w:r>
    </w:p>
    <w:p>
      <w:pPr>
        <w:pStyle w:val="Heading2"/>
        <w:bidi w:val="0"/>
        <w:ind w:hanging="0" w:left="0"/>
        <w:rPr/>
      </w:pPr>
      <w:bookmarkStart w:id="48" w:name="__RefHeading___Toc952_2830917912"/>
      <w:bookmarkEnd w:id="48"/>
      <w:r>
        <w:rPr/>
        <w:t>5.1 Revenue Model</w:t>
      </w:r>
    </w:p>
    <w:tbl>
      <w:tblPr>
        <w:tblW w:w="7094" w:type="dxa"/>
        <w:jc w:val="left"/>
        <w:tblInd w:w="28" w:type="dxa"/>
        <w:tblLayout w:type="fixed"/>
        <w:tblCellMar>
          <w:top w:w="28" w:type="dxa"/>
          <w:left w:w="28" w:type="dxa"/>
          <w:bottom w:w="28" w:type="dxa"/>
          <w:right w:w="28" w:type="dxa"/>
        </w:tblCellMar>
      </w:tblPr>
      <w:tblGrid>
        <w:gridCol w:w="859"/>
        <w:gridCol w:w="3711"/>
        <w:gridCol w:w="2524"/>
      </w:tblGrid>
      <w:tr>
        <w:trPr>
          <w:tblHeader w:val="true"/>
        </w:trPr>
        <w:tc>
          <w:tcPr>
            <w:tcW w:w="859" w:type="dxa"/>
            <w:tcBorders/>
            <w:vAlign w:val="center"/>
          </w:tcPr>
          <w:p>
            <w:pPr>
              <w:pStyle w:val="TableHeading"/>
              <w:bidi w:val="0"/>
              <w:rPr>
                <w:rFonts w:ascii="Times New Roman" w:hAnsi="Times New Roman"/>
                <w:b w:val="false"/>
                <w:bCs w:val="false"/>
                <w:sz w:val="24"/>
                <w:szCs w:val="24"/>
              </w:rPr>
            </w:pPr>
            <w:r>
              <w:rPr>
                <w:rFonts w:ascii="Times New Roman" w:hAnsi="Times New Roman"/>
                <w:b w:val="false"/>
                <w:bCs w:val="false"/>
                <w:sz w:val="24"/>
                <w:szCs w:val="24"/>
              </w:rPr>
              <w:t>Phase</w:t>
            </w:r>
          </w:p>
        </w:tc>
        <w:tc>
          <w:tcPr>
            <w:tcW w:w="3711" w:type="dxa"/>
            <w:tcBorders/>
            <w:vAlign w:val="center"/>
          </w:tcPr>
          <w:p>
            <w:pPr>
              <w:pStyle w:val="TableHeading"/>
              <w:bidi w:val="0"/>
              <w:rPr>
                <w:rFonts w:ascii="Times New Roman" w:hAnsi="Times New Roman"/>
                <w:b w:val="false"/>
                <w:bCs w:val="false"/>
                <w:sz w:val="24"/>
                <w:szCs w:val="24"/>
              </w:rPr>
            </w:pPr>
            <w:r>
              <w:rPr>
                <w:rFonts w:ascii="Times New Roman" w:hAnsi="Times New Roman"/>
                <w:b w:val="false"/>
                <w:bCs w:val="false"/>
                <w:sz w:val="24"/>
                <w:szCs w:val="24"/>
              </w:rPr>
              <w:t>Revenue Source</w:t>
            </w:r>
          </w:p>
        </w:tc>
        <w:tc>
          <w:tcPr>
            <w:tcW w:w="2524" w:type="dxa"/>
            <w:tcBorders/>
            <w:vAlign w:val="center"/>
          </w:tcPr>
          <w:p>
            <w:pPr>
              <w:pStyle w:val="TableHeading"/>
              <w:bidi w:val="0"/>
              <w:rPr>
                <w:rFonts w:ascii="Times New Roman" w:hAnsi="Times New Roman"/>
                <w:b w:val="false"/>
                <w:bCs w:val="false"/>
                <w:sz w:val="24"/>
                <w:szCs w:val="24"/>
              </w:rPr>
            </w:pPr>
            <w:r>
              <w:rPr>
                <w:rFonts w:ascii="Times New Roman" w:hAnsi="Times New Roman"/>
                <w:b w:val="false"/>
                <w:bCs w:val="false"/>
                <w:sz w:val="24"/>
                <w:szCs w:val="24"/>
              </w:rPr>
              <w:t>Price Estimate</w:t>
            </w:r>
          </w:p>
        </w:tc>
      </w:tr>
      <w:tr>
        <w:trPr/>
        <w:tc>
          <w:tcPr>
            <w:tcW w:w="859" w:type="dxa"/>
            <w:tcBorders/>
            <w:vAlign w:val="center"/>
          </w:tcPr>
          <w:p>
            <w:pPr>
              <w:pStyle w:val="TableContents"/>
              <w:bidi w:val="0"/>
              <w:jc w:val="left"/>
              <w:rPr>
                <w:rFonts w:ascii="Times New Roman" w:hAnsi="Times New Roman"/>
                <w:b w:val="false"/>
                <w:bCs w:val="false"/>
                <w:sz w:val="24"/>
                <w:szCs w:val="24"/>
              </w:rPr>
            </w:pPr>
            <w:r>
              <w:rPr>
                <w:rFonts w:ascii="Times New Roman" w:hAnsi="Times New Roman"/>
                <w:b w:val="false"/>
                <w:bCs w:val="false"/>
                <w:sz w:val="24"/>
                <w:szCs w:val="24"/>
              </w:rPr>
              <w:t>Phase 1</w:t>
            </w:r>
          </w:p>
        </w:tc>
        <w:tc>
          <w:tcPr>
            <w:tcW w:w="3711" w:type="dxa"/>
            <w:tcBorders/>
            <w:vAlign w:val="center"/>
          </w:tcPr>
          <w:p>
            <w:pPr>
              <w:pStyle w:val="TableContents"/>
              <w:bidi w:val="0"/>
              <w:jc w:val="left"/>
              <w:rPr>
                <w:rFonts w:ascii="Times New Roman" w:hAnsi="Times New Roman"/>
                <w:b w:val="false"/>
                <w:bCs w:val="false"/>
                <w:sz w:val="24"/>
                <w:szCs w:val="24"/>
              </w:rPr>
            </w:pPr>
            <w:r>
              <w:rPr>
                <w:rFonts w:ascii="Times New Roman" w:hAnsi="Times New Roman"/>
                <w:b w:val="false"/>
                <w:bCs w:val="false"/>
                <w:sz w:val="24"/>
                <w:szCs w:val="24"/>
              </w:rPr>
              <w:t>Grants, R&amp;D partnerships</w:t>
            </w:r>
          </w:p>
        </w:tc>
        <w:tc>
          <w:tcPr>
            <w:tcW w:w="2524" w:type="dxa"/>
            <w:tcBorders/>
            <w:vAlign w:val="center"/>
          </w:tcPr>
          <w:p>
            <w:pPr>
              <w:pStyle w:val="TableContents"/>
              <w:bidi w:val="0"/>
              <w:jc w:val="left"/>
              <w:rPr>
                <w:rFonts w:ascii="Times New Roman" w:hAnsi="Times New Roman"/>
                <w:b w:val="false"/>
                <w:bCs w:val="false"/>
                <w:sz w:val="24"/>
                <w:szCs w:val="24"/>
              </w:rPr>
            </w:pPr>
            <w:r>
              <w:rPr>
                <w:rFonts w:ascii="Times New Roman" w:hAnsi="Times New Roman"/>
                <w:b w:val="false"/>
                <w:bCs w:val="false"/>
                <w:sz w:val="24"/>
                <w:szCs w:val="24"/>
              </w:rPr>
              <w:t>$0.5–2M</w:t>
            </w:r>
          </w:p>
        </w:tc>
      </w:tr>
      <w:tr>
        <w:trPr/>
        <w:tc>
          <w:tcPr>
            <w:tcW w:w="859" w:type="dxa"/>
            <w:tcBorders/>
            <w:vAlign w:val="center"/>
          </w:tcPr>
          <w:p>
            <w:pPr>
              <w:pStyle w:val="TableContents"/>
              <w:bidi w:val="0"/>
              <w:jc w:val="left"/>
              <w:rPr>
                <w:rFonts w:ascii="Times New Roman" w:hAnsi="Times New Roman"/>
                <w:b w:val="false"/>
                <w:bCs w:val="false"/>
                <w:sz w:val="24"/>
                <w:szCs w:val="24"/>
              </w:rPr>
            </w:pPr>
            <w:r>
              <w:rPr>
                <w:rFonts w:ascii="Times New Roman" w:hAnsi="Times New Roman"/>
                <w:b w:val="false"/>
                <w:bCs w:val="false"/>
                <w:sz w:val="24"/>
                <w:szCs w:val="24"/>
              </w:rPr>
              <w:t>Phase 2</w:t>
            </w:r>
          </w:p>
        </w:tc>
        <w:tc>
          <w:tcPr>
            <w:tcW w:w="3711" w:type="dxa"/>
            <w:tcBorders/>
            <w:vAlign w:val="center"/>
          </w:tcPr>
          <w:p>
            <w:pPr>
              <w:pStyle w:val="TableContents"/>
              <w:bidi w:val="0"/>
              <w:jc w:val="left"/>
              <w:rPr>
                <w:rFonts w:ascii="Times New Roman" w:hAnsi="Times New Roman"/>
                <w:b w:val="false"/>
                <w:bCs w:val="false"/>
                <w:sz w:val="24"/>
                <w:szCs w:val="24"/>
              </w:rPr>
            </w:pPr>
            <w:r>
              <w:rPr>
                <w:rFonts w:ascii="Times New Roman" w:hAnsi="Times New Roman"/>
                <w:b w:val="false"/>
                <w:bCs w:val="false"/>
                <w:sz w:val="24"/>
                <w:szCs w:val="24"/>
              </w:rPr>
              <w:t>Per-mission licensing, robotic leasing</w:t>
            </w:r>
          </w:p>
        </w:tc>
        <w:tc>
          <w:tcPr>
            <w:tcW w:w="2524" w:type="dxa"/>
            <w:tcBorders/>
            <w:vAlign w:val="center"/>
          </w:tcPr>
          <w:p>
            <w:pPr>
              <w:pStyle w:val="TableContents"/>
              <w:bidi w:val="0"/>
              <w:jc w:val="left"/>
              <w:rPr>
                <w:rFonts w:ascii="Times New Roman" w:hAnsi="Times New Roman"/>
                <w:b w:val="false"/>
                <w:bCs w:val="false"/>
                <w:sz w:val="24"/>
                <w:szCs w:val="24"/>
              </w:rPr>
            </w:pPr>
            <w:r>
              <w:rPr>
                <w:rFonts w:ascii="Times New Roman" w:hAnsi="Times New Roman"/>
                <w:b w:val="false"/>
                <w:bCs w:val="false"/>
                <w:sz w:val="24"/>
                <w:szCs w:val="24"/>
              </w:rPr>
              <w:t>$0.5–1M per mission</w:t>
            </w:r>
          </w:p>
        </w:tc>
      </w:tr>
      <w:tr>
        <w:trPr/>
        <w:tc>
          <w:tcPr>
            <w:tcW w:w="859" w:type="dxa"/>
            <w:tcBorders/>
            <w:vAlign w:val="center"/>
          </w:tcPr>
          <w:p>
            <w:pPr>
              <w:pStyle w:val="TableContents"/>
              <w:bidi w:val="0"/>
              <w:jc w:val="left"/>
              <w:rPr>
                <w:rFonts w:ascii="Times New Roman" w:hAnsi="Times New Roman"/>
                <w:b w:val="false"/>
                <w:bCs w:val="false"/>
                <w:sz w:val="24"/>
                <w:szCs w:val="24"/>
              </w:rPr>
            </w:pPr>
            <w:r>
              <w:rPr>
                <w:rFonts w:ascii="Times New Roman" w:hAnsi="Times New Roman"/>
                <w:b w:val="false"/>
                <w:bCs w:val="false"/>
                <w:sz w:val="24"/>
                <w:szCs w:val="24"/>
              </w:rPr>
              <w:t>Phase 3</w:t>
            </w:r>
          </w:p>
        </w:tc>
        <w:tc>
          <w:tcPr>
            <w:tcW w:w="3711" w:type="dxa"/>
            <w:tcBorders/>
            <w:vAlign w:val="center"/>
          </w:tcPr>
          <w:p>
            <w:pPr>
              <w:pStyle w:val="TableContents"/>
              <w:bidi w:val="0"/>
              <w:jc w:val="left"/>
              <w:rPr>
                <w:rFonts w:ascii="Times New Roman" w:hAnsi="Times New Roman"/>
                <w:b w:val="false"/>
                <w:bCs w:val="false"/>
                <w:sz w:val="24"/>
                <w:szCs w:val="24"/>
              </w:rPr>
            </w:pPr>
            <w:r>
              <w:rPr>
                <w:rFonts w:ascii="Times New Roman" w:hAnsi="Times New Roman"/>
                <w:b w:val="false"/>
                <w:bCs w:val="false"/>
                <w:sz w:val="24"/>
                <w:szCs w:val="24"/>
              </w:rPr>
              <w:t>Subscription/analytics platform</w:t>
            </w:r>
          </w:p>
        </w:tc>
        <w:tc>
          <w:tcPr>
            <w:tcW w:w="2524" w:type="dxa"/>
            <w:tcBorders/>
            <w:vAlign w:val="center"/>
          </w:tcPr>
          <w:p>
            <w:pPr>
              <w:pStyle w:val="TableContents"/>
              <w:bidi w:val="0"/>
              <w:jc w:val="left"/>
              <w:rPr>
                <w:rFonts w:ascii="Times New Roman" w:hAnsi="Times New Roman"/>
                <w:b w:val="false"/>
                <w:bCs w:val="false"/>
                <w:sz w:val="24"/>
                <w:szCs w:val="24"/>
              </w:rPr>
            </w:pPr>
            <w:r>
              <w:rPr>
                <w:rFonts w:ascii="Times New Roman" w:hAnsi="Times New Roman"/>
                <w:b w:val="false"/>
                <w:bCs w:val="false"/>
                <w:sz w:val="24"/>
                <w:szCs w:val="24"/>
              </w:rPr>
              <w:t>$50k–$200k per mission</w:t>
            </w:r>
          </w:p>
        </w:tc>
      </w:tr>
      <w:tr>
        <w:trPr/>
        <w:tc>
          <w:tcPr>
            <w:tcW w:w="859" w:type="dxa"/>
            <w:tcBorders/>
            <w:vAlign w:val="center"/>
          </w:tcPr>
          <w:p>
            <w:pPr>
              <w:pStyle w:val="TableContents"/>
              <w:bidi w:val="0"/>
              <w:jc w:val="left"/>
              <w:rPr>
                <w:rFonts w:ascii="Times New Roman" w:hAnsi="Times New Roman"/>
                <w:b w:val="false"/>
                <w:bCs w:val="false"/>
                <w:sz w:val="24"/>
                <w:szCs w:val="24"/>
              </w:rPr>
            </w:pPr>
            <w:r>
              <w:rPr>
                <w:rFonts w:ascii="Times New Roman" w:hAnsi="Times New Roman"/>
                <w:b w:val="false"/>
                <w:bCs w:val="false"/>
                <w:sz w:val="24"/>
                <w:szCs w:val="24"/>
              </w:rPr>
              <w:t>Phase 4</w:t>
            </w:r>
          </w:p>
        </w:tc>
        <w:tc>
          <w:tcPr>
            <w:tcW w:w="3711" w:type="dxa"/>
            <w:tcBorders/>
            <w:vAlign w:val="center"/>
          </w:tcPr>
          <w:p>
            <w:pPr>
              <w:pStyle w:val="TableContents"/>
              <w:bidi w:val="0"/>
              <w:jc w:val="left"/>
              <w:rPr>
                <w:rFonts w:ascii="Times New Roman" w:hAnsi="Times New Roman"/>
                <w:b w:val="false"/>
                <w:bCs w:val="false"/>
                <w:sz w:val="24"/>
                <w:szCs w:val="24"/>
              </w:rPr>
            </w:pPr>
            <w:r>
              <w:rPr>
                <w:rFonts w:ascii="Times New Roman" w:hAnsi="Times New Roman"/>
                <w:b w:val="false"/>
                <w:bCs w:val="false"/>
                <w:sz w:val="24"/>
                <w:szCs w:val="24"/>
              </w:rPr>
              <w:t>Industrial &amp; defense contracts</w:t>
            </w:r>
          </w:p>
        </w:tc>
        <w:tc>
          <w:tcPr>
            <w:tcW w:w="2524" w:type="dxa"/>
            <w:tcBorders/>
            <w:vAlign w:val="center"/>
          </w:tcPr>
          <w:p>
            <w:pPr>
              <w:pStyle w:val="TableContents"/>
              <w:bidi w:val="0"/>
              <w:jc w:val="left"/>
              <w:rPr>
                <w:rFonts w:ascii="Times New Roman" w:hAnsi="Times New Roman"/>
                <w:b w:val="false"/>
                <w:bCs w:val="false"/>
                <w:sz w:val="24"/>
                <w:szCs w:val="24"/>
              </w:rPr>
            </w:pPr>
            <w:r>
              <w:rPr>
                <w:rFonts w:ascii="Times New Roman" w:hAnsi="Times New Roman"/>
                <w:b w:val="false"/>
                <w:bCs w:val="false"/>
                <w:sz w:val="24"/>
                <w:szCs w:val="24"/>
              </w:rPr>
              <w:t>$200k–$500k annually</w:t>
            </w:r>
          </w:p>
        </w:tc>
      </w:tr>
    </w:tbl>
    <w:p>
      <w:pPr>
        <w:pStyle w:val="BodyText"/>
        <w:bidi w:val="0"/>
        <w:jc w:val="left"/>
        <w:rPr>
          <w:rFonts w:ascii="Times New Roman" w:hAnsi="Times New Roman"/>
          <w:color w:val="000000"/>
        </w:rPr>
      </w:pPr>
      <w:r>
        <w:rPr>
          <w:rFonts w:ascii="Times New Roman" w:hAnsi="Times New Roman"/>
          <w:b w:val="false"/>
          <w:bCs w:val="false"/>
          <w:color w:val="000000"/>
          <w:sz w:val="24"/>
          <w:szCs w:val="24"/>
        </w:rPr>
        <w:t xml:space="preserve">Revenue growth is projected from </w:t>
      </w:r>
      <w:r>
        <w:rPr>
          <w:rStyle w:val="Strong"/>
          <w:rFonts w:ascii="Times New Roman" w:hAnsi="Times New Roman"/>
          <w:b w:val="false"/>
          <w:bCs w:val="false"/>
          <w:color w:val="000000"/>
          <w:sz w:val="24"/>
          <w:szCs w:val="24"/>
        </w:rPr>
        <w:t>$2M in early R&amp;D</w:t>
      </w:r>
      <w:r>
        <w:rPr>
          <w:rFonts w:ascii="Times New Roman" w:hAnsi="Times New Roman"/>
          <w:b w:val="false"/>
          <w:bCs w:val="false"/>
          <w:color w:val="000000"/>
          <w:sz w:val="24"/>
          <w:szCs w:val="24"/>
        </w:rPr>
        <w:t xml:space="preserve"> to </w:t>
      </w:r>
      <w:r>
        <w:rPr>
          <w:rStyle w:val="Strong"/>
          <w:rFonts w:ascii="Times New Roman" w:hAnsi="Times New Roman"/>
          <w:b w:val="false"/>
          <w:bCs w:val="false"/>
          <w:color w:val="000000"/>
          <w:sz w:val="24"/>
          <w:szCs w:val="24"/>
        </w:rPr>
        <w:t>$50M+ within 7–9 years</w:t>
      </w:r>
      <w:r>
        <w:rPr>
          <w:rFonts w:ascii="Times New Roman" w:hAnsi="Times New Roman"/>
          <w:b w:val="false"/>
          <w:bCs w:val="false"/>
          <w:color w:val="000000"/>
          <w:sz w:val="24"/>
          <w:szCs w:val="24"/>
        </w:rPr>
        <w:t>, depending on adoption by government agencies and commercial partners.</w:t>
      </w:r>
    </w:p>
    <w:p>
      <w:pPr>
        <w:pStyle w:val="HorizontalLine"/>
        <w:bidi w:val="0"/>
        <w:spacing w:lineRule="auto" w:line="276" w:before="0" w:after="14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Heading2"/>
        <w:bidi w:val="0"/>
        <w:ind w:hanging="0" w:left="0"/>
        <w:rPr/>
      </w:pPr>
      <w:bookmarkStart w:id="49" w:name="__RefHeading___Toc954_2830917912"/>
      <w:bookmarkEnd w:id="49"/>
      <w:r>
        <w:rPr/>
        <w:t>5.2 Strategic Partnerships</w:t>
      </w:r>
    </w:p>
    <w:p>
      <w:pPr>
        <w:pStyle w:val="BodyText"/>
        <w:numPr>
          <w:ilvl w:val="0"/>
          <w:numId w:val="4"/>
        </w:numPr>
        <w:tabs>
          <w:tab w:val="left" w:pos="709" w:leader="none"/>
        </w:tabs>
        <w:bidi w:val="0"/>
        <w:ind w:hanging="283" w:left="709"/>
        <w:jc w:val="left"/>
        <w:rPr>
          <w:rFonts w:ascii="Times New Roman" w:hAnsi="Times New Roman"/>
          <w:color w:val="000000"/>
        </w:rPr>
      </w:pPr>
      <w:r>
        <w:rPr>
          <w:rStyle w:val="Strong"/>
          <w:rFonts w:ascii="Times New Roman" w:hAnsi="Times New Roman"/>
          <w:b w:val="false"/>
          <w:bCs w:val="false"/>
          <w:color w:val="000000"/>
          <w:sz w:val="24"/>
          <w:szCs w:val="24"/>
        </w:rPr>
        <w:t>Government Agencies:</w:t>
      </w:r>
      <w:r>
        <w:rPr>
          <w:rFonts w:ascii="Times New Roman" w:hAnsi="Times New Roman"/>
          <w:b w:val="false"/>
          <w:bCs w:val="false"/>
          <w:color w:val="000000"/>
          <w:sz w:val="24"/>
          <w:szCs w:val="24"/>
        </w:rPr>
        <w:t xml:space="preserve"> Collaborate for pilot mission deployments and regulatory compliance</w:t>
      </w:r>
    </w:p>
    <w:p>
      <w:pPr>
        <w:pStyle w:val="BodyText"/>
        <w:numPr>
          <w:ilvl w:val="0"/>
          <w:numId w:val="4"/>
        </w:numPr>
        <w:tabs>
          <w:tab w:val="left" w:pos="709" w:leader="none"/>
        </w:tabs>
        <w:bidi w:val="0"/>
        <w:ind w:hanging="283" w:left="709"/>
        <w:jc w:val="left"/>
        <w:rPr>
          <w:rFonts w:ascii="Times New Roman" w:hAnsi="Times New Roman"/>
          <w:color w:val="000000"/>
        </w:rPr>
      </w:pPr>
      <w:r>
        <w:rPr>
          <w:rStyle w:val="Strong"/>
          <w:rFonts w:ascii="Times New Roman" w:hAnsi="Times New Roman"/>
          <w:b w:val="false"/>
          <w:bCs w:val="false"/>
          <w:color w:val="000000"/>
          <w:sz w:val="24"/>
          <w:szCs w:val="24"/>
        </w:rPr>
        <w:t>Private Spaceflight Companies:</w:t>
      </w:r>
      <w:r>
        <w:rPr>
          <w:rFonts w:ascii="Times New Roman" w:hAnsi="Times New Roman"/>
          <w:b w:val="false"/>
          <w:bCs w:val="false"/>
          <w:color w:val="000000"/>
          <w:sz w:val="24"/>
          <w:szCs w:val="24"/>
        </w:rPr>
        <w:t xml:space="preserve"> Joint hardware integration, licensing, and predictive safety services</w:t>
      </w:r>
    </w:p>
    <w:p>
      <w:pPr>
        <w:pStyle w:val="BodyText"/>
        <w:numPr>
          <w:ilvl w:val="0"/>
          <w:numId w:val="4"/>
        </w:numPr>
        <w:tabs>
          <w:tab w:val="left" w:pos="709" w:leader="none"/>
        </w:tabs>
        <w:bidi w:val="0"/>
        <w:ind w:hanging="283" w:left="709"/>
        <w:jc w:val="left"/>
        <w:rPr>
          <w:rFonts w:ascii="Times New Roman" w:hAnsi="Times New Roman"/>
          <w:color w:val="000000"/>
        </w:rPr>
      </w:pPr>
      <w:r>
        <w:rPr>
          <w:rStyle w:val="Strong"/>
          <w:rFonts w:ascii="Times New Roman" w:hAnsi="Times New Roman"/>
          <w:b w:val="false"/>
          <w:bCs w:val="false"/>
          <w:color w:val="000000"/>
          <w:sz w:val="24"/>
          <w:szCs w:val="24"/>
        </w:rPr>
        <w:t>Research Institutions:</w:t>
      </w:r>
      <w:r>
        <w:rPr>
          <w:rFonts w:ascii="Times New Roman" w:hAnsi="Times New Roman"/>
          <w:b w:val="false"/>
          <w:bCs w:val="false"/>
          <w:color w:val="000000"/>
          <w:sz w:val="24"/>
          <w:szCs w:val="24"/>
        </w:rPr>
        <w:t xml:space="preserve"> Clinical validation, physiological and behavioral studies</w:t>
      </w:r>
    </w:p>
    <w:p>
      <w:pPr>
        <w:pStyle w:val="BodyText"/>
        <w:numPr>
          <w:ilvl w:val="0"/>
          <w:numId w:val="4"/>
        </w:numPr>
        <w:tabs>
          <w:tab w:val="left" w:pos="709" w:leader="none"/>
        </w:tabs>
        <w:bidi w:val="0"/>
        <w:ind w:hanging="283" w:left="709"/>
        <w:jc w:val="left"/>
        <w:rPr>
          <w:rFonts w:ascii="Times New Roman" w:hAnsi="Times New Roman"/>
          <w:color w:val="000000"/>
        </w:rPr>
      </w:pPr>
      <w:r>
        <w:rPr>
          <w:rStyle w:val="Strong"/>
          <w:rFonts w:ascii="Times New Roman" w:hAnsi="Times New Roman"/>
          <w:b w:val="false"/>
          <w:bCs w:val="false"/>
          <w:color w:val="000000"/>
          <w:sz w:val="24"/>
          <w:szCs w:val="24"/>
        </w:rPr>
        <w:t>Industrial/Defense Partners:</w:t>
      </w:r>
      <w:r>
        <w:rPr>
          <w:rFonts w:ascii="Times New Roman" w:hAnsi="Times New Roman"/>
          <w:b w:val="false"/>
          <w:bCs w:val="false"/>
          <w:color w:val="000000"/>
          <w:sz w:val="24"/>
          <w:szCs w:val="24"/>
        </w:rPr>
        <w:t xml:space="preserve"> Adaptation to high-risk Earth-based applications</w:t>
      </w:r>
    </w:p>
    <w:p>
      <w:pPr>
        <w:pStyle w:val="BlockQuotationuser"/>
        <w:bidi w:val="0"/>
        <w:spacing w:lineRule="auto" w:line="276" w:before="0" w:after="140"/>
        <w:jc w:val="left"/>
        <w:rPr>
          <w:rFonts w:ascii="Times New Roman" w:hAnsi="Times New Roman"/>
          <w:color w:val="000000"/>
        </w:rPr>
      </w:pPr>
      <w:r>
        <w:rPr>
          <w:rFonts w:ascii="Times New Roman" w:hAnsi="Times New Roman"/>
          <w:b w:val="false"/>
          <w:bCs w:val="false"/>
          <w:color w:val="000000"/>
          <w:sz w:val="24"/>
          <w:szCs w:val="24"/>
        </w:rPr>
        <w:t xml:space="preserve">Partnerships strengthen NEFET’s </w:t>
      </w:r>
      <w:r>
        <w:rPr>
          <w:rStyle w:val="Strong"/>
          <w:rFonts w:ascii="Times New Roman" w:hAnsi="Times New Roman"/>
          <w:b w:val="false"/>
          <w:bCs w:val="false"/>
          <w:color w:val="000000"/>
          <w:sz w:val="24"/>
          <w:szCs w:val="24"/>
        </w:rPr>
        <w:t>credibility, adoption, and funding potential</w:t>
      </w:r>
      <w:r>
        <w:rPr>
          <w:rFonts w:ascii="Times New Roman" w:hAnsi="Times New Roman"/>
          <w:b w:val="false"/>
          <w:bCs w:val="false"/>
          <w:color w:val="000000"/>
          <w:sz w:val="24"/>
          <w:szCs w:val="24"/>
        </w:rPr>
        <w:t>.</w:t>
      </w:r>
    </w:p>
    <w:p>
      <w:pPr>
        <w:pStyle w:val="HorizontalLine"/>
        <w:bidi w:val="0"/>
        <w:spacing w:lineRule="auto" w:line="276" w:before="0" w:after="14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Heading2"/>
        <w:bidi w:val="0"/>
        <w:ind w:hanging="0" w:left="0"/>
        <w:rPr/>
      </w:pPr>
      <w:bookmarkStart w:id="50" w:name="__RefHeading___Toc956_2830917912"/>
      <w:bookmarkEnd w:id="50"/>
      <w:r>
        <w:rPr/>
        <w:t>5.3 Risk Analysis</w:t>
      </w:r>
    </w:p>
    <w:tbl>
      <w:tblPr>
        <w:tblW w:w="9638" w:type="dxa"/>
        <w:jc w:val="left"/>
        <w:tblInd w:w="28" w:type="dxa"/>
        <w:tblLayout w:type="fixed"/>
        <w:tblCellMar>
          <w:top w:w="28" w:type="dxa"/>
          <w:left w:w="28" w:type="dxa"/>
          <w:bottom w:w="28" w:type="dxa"/>
          <w:right w:w="28" w:type="dxa"/>
        </w:tblCellMar>
      </w:tblPr>
      <w:tblGrid>
        <w:gridCol w:w="2724"/>
        <w:gridCol w:w="1687"/>
        <w:gridCol w:w="5227"/>
      </w:tblGrid>
      <w:tr>
        <w:trPr>
          <w:tblHeader w:val="true"/>
        </w:trPr>
        <w:tc>
          <w:tcPr>
            <w:tcW w:w="2724" w:type="dxa"/>
            <w:tcBorders/>
            <w:vAlign w:val="center"/>
          </w:tcPr>
          <w:p>
            <w:pPr>
              <w:pStyle w:val="TableHeading"/>
              <w:bidi w:val="0"/>
              <w:rPr>
                <w:rFonts w:ascii="Times New Roman" w:hAnsi="Times New Roman"/>
                <w:b w:val="false"/>
                <w:bCs w:val="false"/>
                <w:sz w:val="24"/>
                <w:szCs w:val="24"/>
              </w:rPr>
            </w:pPr>
            <w:r>
              <w:rPr>
                <w:rFonts w:ascii="Times New Roman" w:hAnsi="Times New Roman"/>
                <w:b w:val="false"/>
                <w:bCs w:val="false"/>
                <w:sz w:val="24"/>
                <w:szCs w:val="24"/>
              </w:rPr>
              <w:t>Risk</w:t>
            </w:r>
          </w:p>
        </w:tc>
        <w:tc>
          <w:tcPr>
            <w:tcW w:w="1687" w:type="dxa"/>
            <w:tcBorders/>
            <w:vAlign w:val="center"/>
          </w:tcPr>
          <w:p>
            <w:pPr>
              <w:pStyle w:val="TableHeading"/>
              <w:bidi w:val="0"/>
              <w:rPr>
                <w:rFonts w:ascii="Times New Roman" w:hAnsi="Times New Roman"/>
                <w:b w:val="false"/>
                <w:bCs w:val="false"/>
                <w:sz w:val="24"/>
                <w:szCs w:val="24"/>
              </w:rPr>
            </w:pPr>
            <w:r>
              <w:rPr>
                <w:rFonts w:ascii="Times New Roman" w:hAnsi="Times New Roman"/>
                <w:b w:val="false"/>
                <w:bCs w:val="false"/>
                <w:sz w:val="24"/>
                <w:szCs w:val="24"/>
              </w:rPr>
              <w:t>Impact</w:t>
            </w:r>
          </w:p>
        </w:tc>
        <w:tc>
          <w:tcPr>
            <w:tcW w:w="5227" w:type="dxa"/>
            <w:tcBorders/>
            <w:vAlign w:val="center"/>
          </w:tcPr>
          <w:p>
            <w:pPr>
              <w:pStyle w:val="TableHeading"/>
              <w:bidi w:val="0"/>
              <w:rPr>
                <w:rFonts w:ascii="Times New Roman" w:hAnsi="Times New Roman"/>
                <w:b w:val="false"/>
                <w:bCs w:val="false"/>
                <w:sz w:val="24"/>
                <w:szCs w:val="24"/>
              </w:rPr>
            </w:pPr>
            <w:r>
              <w:rPr>
                <w:rFonts w:ascii="Times New Roman" w:hAnsi="Times New Roman"/>
                <w:b w:val="false"/>
                <w:bCs w:val="false"/>
                <w:sz w:val="24"/>
                <w:szCs w:val="24"/>
              </w:rPr>
              <w:t>Mitigation Strategy</w:t>
            </w:r>
          </w:p>
        </w:tc>
      </w:tr>
      <w:tr>
        <w:trPr/>
        <w:tc>
          <w:tcPr>
            <w:tcW w:w="2724" w:type="dxa"/>
            <w:tcBorders/>
            <w:vAlign w:val="center"/>
          </w:tcPr>
          <w:p>
            <w:pPr>
              <w:pStyle w:val="TableContents"/>
              <w:bidi w:val="0"/>
              <w:jc w:val="left"/>
              <w:rPr>
                <w:rFonts w:ascii="Times New Roman" w:hAnsi="Times New Roman"/>
                <w:b w:val="false"/>
                <w:bCs w:val="false"/>
                <w:sz w:val="24"/>
                <w:szCs w:val="24"/>
              </w:rPr>
            </w:pPr>
            <w:r>
              <w:rPr>
                <w:rFonts w:ascii="Times New Roman" w:hAnsi="Times New Roman"/>
                <w:b w:val="false"/>
                <w:bCs w:val="false"/>
                <w:sz w:val="24"/>
                <w:szCs w:val="24"/>
              </w:rPr>
              <w:t>AI misclassification</w:t>
            </w:r>
          </w:p>
        </w:tc>
        <w:tc>
          <w:tcPr>
            <w:tcW w:w="1687" w:type="dxa"/>
            <w:tcBorders/>
            <w:vAlign w:val="center"/>
          </w:tcPr>
          <w:p>
            <w:pPr>
              <w:pStyle w:val="TableContents"/>
              <w:bidi w:val="0"/>
              <w:jc w:val="left"/>
              <w:rPr>
                <w:rFonts w:ascii="Times New Roman" w:hAnsi="Times New Roman"/>
                <w:b w:val="false"/>
                <w:bCs w:val="false"/>
                <w:sz w:val="24"/>
                <w:szCs w:val="24"/>
              </w:rPr>
            </w:pPr>
            <w:r>
              <w:rPr>
                <w:rFonts w:ascii="Times New Roman" w:hAnsi="Times New Roman"/>
                <w:b w:val="false"/>
                <w:bCs w:val="false"/>
                <w:sz w:val="24"/>
                <w:szCs w:val="24"/>
              </w:rPr>
              <w:t>Moderate to high</w:t>
            </w:r>
          </w:p>
        </w:tc>
        <w:tc>
          <w:tcPr>
            <w:tcW w:w="5227" w:type="dxa"/>
            <w:tcBorders/>
            <w:vAlign w:val="center"/>
          </w:tcPr>
          <w:p>
            <w:pPr>
              <w:pStyle w:val="TableContents"/>
              <w:bidi w:val="0"/>
              <w:jc w:val="left"/>
              <w:rPr>
                <w:rFonts w:ascii="Times New Roman" w:hAnsi="Times New Roman"/>
                <w:b w:val="false"/>
                <w:bCs w:val="false"/>
                <w:sz w:val="24"/>
                <w:szCs w:val="24"/>
              </w:rPr>
            </w:pPr>
            <w:r>
              <w:rPr>
                <w:rFonts w:ascii="Times New Roman" w:hAnsi="Times New Roman"/>
                <w:b w:val="false"/>
                <w:bCs w:val="false"/>
                <w:sz w:val="24"/>
                <w:szCs w:val="24"/>
              </w:rPr>
              <w:t>Continuous model training, validation in analog missions</w:t>
            </w:r>
          </w:p>
        </w:tc>
      </w:tr>
      <w:tr>
        <w:trPr/>
        <w:tc>
          <w:tcPr>
            <w:tcW w:w="2724" w:type="dxa"/>
            <w:tcBorders/>
            <w:vAlign w:val="center"/>
          </w:tcPr>
          <w:p>
            <w:pPr>
              <w:pStyle w:val="TableContents"/>
              <w:bidi w:val="0"/>
              <w:jc w:val="left"/>
              <w:rPr>
                <w:rFonts w:ascii="Times New Roman" w:hAnsi="Times New Roman"/>
                <w:b w:val="false"/>
                <w:bCs w:val="false"/>
                <w:sz w:val="24"/>
                <w:szCs w:val="24"/>
              </w:rPr>
            </w:pPr>
            <w:r>
              <w:rPr>
                <w:rFonts w:ascii="Times New Roman" w:hAnsi="Times New Roman"/>
                <w:b w:val="false"/>
                <w:bCs w:val="false"/>
                <w:sz w:val="24"/>
                <w:szCs w:val="24"/>
              </w:rPr>
              <w:t>Sensor or robotic failure</w:t>
            </w:r>
          </w:p>
        </w:tc>
        <w:tc>
          <w:tcPr>
            <w:tcW w:w="1687" w:type="dxa"/>
            <w:tcBorders/>
            <w:vAlign w:val="center"/>
          </w:tcPr>
          <w:p>
            <w:pPr>
              <w:pStyle w:val="TableContents"/>
              <w:bidi w:val="0"/>
              <w:jc w:val="left"/>
              <w:rPr>
                <w:rFonts w:ascii="Times New Roman" w:hAnsi="Times New Roman"/>
                <w:b w:val="false"/>
                <w:bCs w:val="false"/>
                <w:sz w:val="24"/>
                <w:szCs w:val="24"/>
              </w:rPr>
            </w:pPr>
            <w:r>
              <w:rPr>
                <w:rFonts w:ascii="Times New Roman" w:hAnsi="Times New Roman"/>
                <w:b w:val="false"/>
                <w:bCs w:val="false"/>
                <w:sz w:val="24"/>
                <w:szCs w:val="24"/>
              </w:rPr>
              <w:t>High</w:t>
            </w:r>
          </w:p>
        </w:tc>
        <w:tc>
          <w:tcPr>
            <w:tcW w:w="5227" w:type="dxa"/>
            <w:tcBorders/>
            <w:vAlign w:val="center"/>
          </w:tcPr>
          <w:p>
            <w:pPr>
              <w:pStyle w:val="TableContents"/>
              <w:bidi w:val="0"/>
              <w:jc w:val="left"/>
              <w:rPr>
                <w:rFonts w:ascii="Times New Roman" w:hAnsi="Times New Roman"/>
                <w:b w:val="false"/>
                <w:bCs w:val="false"/>
                <w:sz w:val="24"/>
                <w:szCs w:val="24"/>
              </w:rPr>
            </w:pPr>
            <w:r>
              <w:rPr>
                <w:rFonts w:ascii="Times New Roman" w:hAnsi="Times New Roman"/>
                <w:b w:val="false"/>
                <w:bCs w:val="false"/>
                <w:sz w:val="24"/>
                <w:szCs w:val="24"/>
              </w:rPr>
              <w:t>Redundant systems, self-diagnostics</w:t>
            </w:r>
          </w:p>
        </w:tc>
      </w:tr>
      <w:tr>
        <w:trPr/>
        <w:tc>
          <w:tcPr>
            <w:tcW w:w="2724" w:type="dxa"/>
            <w:tcBorders/>
            <w:vAlign w:val="center"/>
          </w:tcPr>
          <w:p>
            <w:pPr>
              <w:pStyle w:val="TableContents"/>
              <w:bidi w:val="0"/>
              <w:jc w:val="left"/>
              <w:rPr>
                <w:rFonts w:ascii="Times New Roman" w:hAnsi="Times New Roman"/>
                <w:b w:val="false"/>
                <w:bCs w:val="false"/>
                <w:sz w:val="24"/>
                <w:szCs w:val="24"/>
              </w:rPr>
            </w:pPr>
            <w:r>
              <w:rPr>
                <w:rFonts w:ascii="Times New Roman" w:hAnsi="Times New Roman"/>
                <w:b w:val="false"/>
                <w:bCs w:val="false"/>
                <w:sz w:val="24"/>
                <w:szCs w:val="24"/>
              </w:rPr>
              <w:t>Regulatory/Compliance risk</w:t>
            </w:r>
          </w:p>
        </w:tc>
        <w:tc>
          <w:tcPr>
            <w:tcW w:w="1687" w:type="dxa"/>
            <w:tcBorders/>
            <w:vAlign w:val="center"/>
          </w:tcPr>
          <w:p>
            <w:pPr>
              <w:pStyle w:val="TableContents"/>
              <w:bidi w:val="0"/>
              <w:jc w:val="left"/>
              <w:rPr>
                <w:rFonts w:ascii="Times New Roman" w:hAnsi="Times New Roman"/>
                <w:b w:val="false"/>
                <w:bCs w:val="false"/>
                <w:sz w:val="24"/>
                <w:szCs w:val="24"/>
              </w:rPr>
            </w:pPr>
            <w:r>
              <w:rPr>
                <w:rFonts w:ascii="Times New Roman" w:hAnsi="Times New Roman"/>
                <w:b w:val="false"/>
                <w:bCs w:val="false"/>
                <w:sz w:val="24"/>
                <w:szCs w:val="24"/>
              </w:rPr>
              <w:t>Moderate</w:t>
            </w:r>
          </w:p>
        </w:tc>
        <w:tc>
          <w:tcPr>
            <w:tcW w:w="5227" w:type="dxa"/>
            <w:tcBorders/>
            <w:vAlign w:val="center"/>
          </w:tcPr>
          <w:p>
            <w:pPr>
              <w:pStyle w:val="TableContents"/>
              <w:bidi w:val="0"/>
              <w:jc w:val="left"/>
              <w:rPr>
                <w:rFonts w:ascii="Times New Roman" w:hAnsi="Times New Roman"/>
                <w:b w:val="false"/>
                <w:bCs w:val="false"/>
                <w:sz w:val="24"/>
                <w:szCs w:val="24"/>
              </w:rPr>
            </w:pPr>
            <w:r>
              <w:rPr>
                <w:rFonts w:ascii="Times New Roman" w:hAnsi="Times New Roman"/>
                <w:b w:val="false"/>
                <w:bCs w:val="false"/>
                <w:sz w:val="24"/>
                <w:szCs w:val="24"/>
              </w:rPr>
              <w:t>Ethical board oversight, early agency engagement</w:t>
            </w:r>
          </w:p>
        </w:tc>
      </w:tr>
      <w:tr>
        <w:trPr/>
        <w:tc>
          <w:tcPr>
            <w:tcW w:w="2724" w:type="dxa"/>
            <w:tcBorders/>
            <w:vAlign w:val="center"/>
          </w:tcPr>
          <w:p>
            <w:pPr>
              <w:pStyle w:val="TableContents"/>
              <w:bidi w:val="0"/>
              <w:jc w:val="left"/>
              <w:rPr>
                <w:rFonts w:ascii="Times New Roman" w:hAnsi="Times New Roman"/>
                <w:b w:val="false"/>
                <w:bCs w:val="false"/>
                <w:sz w:val="24"/>
                <w:szCs w:val="24"/>
              </w:rPr>
            </w:pPr>
            <w:r>
              <w:rPr>
                <w:rFonts w:ascii="Times New Roman" w:hAnsi="Times New Roman"/>
                <w:b w:val="false"/>
                <w:bCs w:val="false"/>
                <w:sz w:val="24"/>
                <w:szCs w:val="24"/>
              </w:rPr>
              <w:t>Market adoption delay</w:t>
            </w:r>
          </w:p>
        </w:tc>
        <w:tc>
          <w:tcPr>
            <w:tcW w:w="1687" w:type="dxa"/>
            <w:tcBorders/>
            <w:vAlign w:val="center"/>
          </w:tcPr>
          <w:p>
            <w:pPr>
              <w:pStyle w:val="TableContents"/>
              <w:bidi w:val="0"/>
              <w:jc w:val="left"/>
              <w:rPr>
                <w:rFonts w:ascii="Times New Roman" w:hAnsi="Times New Roman"/>
                <w:b w:val="false"/>
                <w:bCs w:val="false"/>
                <w:sz w:val="24"/>
                <w:szCs w:val="24"/>
              </w:rPr>
            </w:pPr>
            <w:r>
              <w:rPr>
                <w:rFonts w:ascii="Times New Roman" w:hAnsi="Times New Roman"/>
                <w:b w:val="false"/>
                <w:bCs w:val="false"/>
                <w:sz w:val="24"/>
                <w:szCs w:val="24"/>
              </w:rPr>
              <w:t>Moderate</w:t>
            </w:r>
          </w:p>
        </w:tc>
        <w:tc>
          <w:tcPr>
            <w:tcW w:w="5227" w:type="dxa"/>
            <w:tcBorders/>
            <w:vAlign w:val="center"/>
          </w:tcPr>
          <w:p>
            <w:pPr>
              <w:pStyle w:val="TableContents"/>
              <w:bidi w:val="0"/>
              <w:jc w:val="left"/>
              <w:rPr>
                <w:rFonts w:ascii="Times New Roman" w:hAnsi="Times New Roman"/>
                <w:b w:val="false"/>
                <w:bCs w:val="false"/>
                <w:sz w:val="24"/>
                <w:szCs w:val="24"/>
              </w:rPr>
            </w:pPr>
            <w:r>
              <w:rPr>
                <w:rFonts w:ascii="Times New Roman" w:hAnsi="Times New Roman"/>
                <w:b w:val="false"/>
                <w:bCs w:val="false"/>
                <w:sz w:val="24"/>
                <w:szCs w:val="24"/>
              </w:rPr>
              <w:t>Diversified markets, terrestrial spin-offs</w:t>
            </w:r>
          </w:p>
        </w:tc>
      </w:tr>
    </w:tbl>
    <w:p>
      <w:pPr>
        <w:pStyle w:val="HorizontalLine"/>
        <w:bidi w:val="0"/>
        <w:spacing w:lineRule="auto" w:line="276" w:before="0" w:after="14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Heading2"/>
        <w:bidi w:val="0"/>
        <w:ind w:hanging="0" w:left="0"/>
        <w:rPr/>
      </w:pPr>
      <w:bookmarkStart w:id="51" w:name="__RefHeading___Toc958_2830917912"/>
      <w:bookmarkEnd w:id="51"/>
      <w:r>
        <w:rPr/>
        <w:t>5.4 Development Roadmap</w:t>
      </w:r>
    </w:p>
    <w:p>
      <w:pPr>
        <w:pStyle w:val="TableContents"/>
        <w:spacing w:lineRule="auto" w:line="276"/>
        <w:rPr/>
      </w:pPr>
      <w:bookmarkStart w:id="52" w:name="__RefHeading___Toc960_2830917912"/>
      <w:bookmarkEnd w:id="52"/>
      <w:r>
        <w:rPr>
          <w:rFonts w:ascii="Times New Roman" w:hAnsi="Times New Roman"/>
          <w:b w:val="false"/>
          <w:bCs w:val="false"/>
          <w:color w:val="000000"/>
          <w:sz w:val="24"/>
          <w:szCs w:val="24"/>
        </w:rPr>
        <w:t xml:space="preserve">- </w:t>
      </w:r>
      <w:r>
        <w:rPr>
          <w:rStyle w:val="Strong"/>
          <w:rFonts w:ascii="Times New Roman" w:hAnsi="Times New Roman"/>
          <w:b w:val="false"/>
          <w:bCs w:val="false"/>
          <w:color w:val="000000"/>
          <w:sz w:val="24"/>
          <w:szCs w:val="24"/>
        </w:rPr>
        <w:t>Years 1–2:</w:t>
      </w:r>
      <w:r>
        <w:rPr>
          <w:rFonts w:ascii="Times New Roman" w:hAnsi="Times New Roman"/>
          <w:b w:val="false"/>
          <w:bCs w:val="false"/>
          <w:color w:val="000000"/>
          <w:sz w:val="24"/>
          <w:szCs w:val="24"/>
        </w:rPr>
        <w:t xml:space="preserve"> Prototype fault detection and AI models; analog mission testing </w:t>
      </w:r>
    </w:p>
    <w:p>
      <w:pPr>
        <w:pStyle w:val="TableContents"/>
        <w:spacing w:lineRule="auto" w:line="276"/>
        <w:rPr/>
      </w:pPr>
      <w:bookmarkStart w:id="53" w:name="__RefHeading___Toc962_2830917912"/>
      <w:bookmarkEnd w:id="53"/>
      <w:r>
        <w:rPr>
          <w:rFonts w:ascii="Times New Roman" w:hAnsi="Times New Roman"/>
          <w:b w:val="false"/>
          <w:bCs w:val="false"/>
          <w:color w:val="000000"/>
          <w:sz w:val="24"/>
          <w:szCs w:val="24"/>
        </w:rPr>
        <w:t xml:space="preserve">- </w:t>
      </w:r>
      <w:r>
        <w:rPr>
          <w:rStyle w:val="Strong"/>
          <w:rFonts w:ascii="Times New Roman" w:hAnsi="Times New Roman"/>
          <w:b w:val="false"/>
          <w:bCs w:val="false"/>
          <w:color w:val="000000"/>
          <w:sz w:val="24"/>
          <w:szCs w:val="24"/>
        </w:rPr>
        <w:t>Years 3–5:</w:t>
      </w:r>
      <w:r>
        <w:rPr>
          <w:rFonts w:ascii="Times New Roman" w:hAnsi="Times New Roman"/>
          <w:b w:val="false"/>
          <w:bCs w:val="false"/>
          <w:color w:val="000000"/>
          <w:sz w:val="24"/>
          <w:szCs w:val="24"/>
        </w:rPr>
        <w:t xml:space="preserve"> Integrated robotic assistant prototypes; aerospace certification </w:t>
      </w:r>
    </w:p>
    <w:p>
      <w:pPr>
        <w:pStyle w:val="TableContents"/>
        <w:spacing w:lineRule="auto" w:line="276"/>
        <w:rPr/>
      </w:pPr>
      <w:bookmarkStart w:id="54" w:name="__RefHeading___Toc964_2830917912"/>
      <w:bookmarkEnd w:id="54"/>
      <w:r>
        <w:rPr>
          <w:rFonts w:ascii="Times New Roman" w:hAnsi="Times New Roman"/>
          <w:b w:val="false"/>
          <w:bCs w:val="false"/>
          <w:color w:val="000000"/>
          <w:sz w:val="24"/>
          <w:szCs w:val="24"/>
        </w:rPr>
        <w:t xml:space="preserve">- </w:t>
      </w:r>
      <w:r>
        <w:rPr>
          <w:rStyle w:val="Strong"/>
          <w:rFonts w:ascii="Times New Roman" w:hAnsi="Times New Roman"/>
          <w:b w:val="false"/>
          <w:bCs w:val="false"/>
          <w:color w:val="000000"/>
          <w:sz w:val="24"/>
          <w:szCs w:val="24"/>
        </w:rPr>
        <w:t>Years 6–8:</w:t>
      </w:r>
      <w:r>
        <w:rPr>
          <w:rFonts w:ascii="Times New Roman" w:hAnsi="Times New Roman"/>
          <w:b w:val="false"/>
          <w:bCs w:val="false"/>
          <w:color w:val="000000"/>
          <w:sz w:val="24"/>
          <w:szCs w:val="24"/>
        </w:rPr>
        <w:t xml:space="preserve"> Orbital mission deployment; continuous AI model refinement</w:t>
      </w:r>
    </w:p>
    <w:p>
      <w:pPr>
        <w:pStyle w:val="TableContents"/>
        <w:spacing w:lineRule="auto" w:line="276"/>
        <w:rPr/>
      </w:pPr>
      <w:bookmarkStart w:id="55" w:name="__RefHeading___Toc966_2830917912"/>
      <w:bookmarkEnd w:id="55"/>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 xml:space="preserve">- </w:t>
      </w:r>
      <w:r>
        <w:rPr>
          <w:rStyle w:val="Strong"/>
          <w:rFonts w:ascii="Times New Roman" w:hAnsi="Times New Roman"/>
          <w:b w:val="false"/>
          <w:bCs w:val="false"/>
          <w:color w:val="000000"/>
          <w:sz w:val="24"/>
          <w:szCs w:val="24"/>
        </w:rPr>
        <w:t>Years 9–10:</w:t>
      </w:r>
      <w:r>
        <w:rPr>
          <w:rFonts w:ascii="Times New Roman" w:hAnsi="Times New Roman"/>
          <w:b w:val="false"/>
          <w:bCs w:val="false"/>
          <w:color w:val="000000"/>
          <w:sz w:val="24"/>
          <w:szCs w:val="24"/>
        </w:rPr>
        <w:t xml:space="preserve"> Lunar mission readiness; Mars mission certification; full-scale commercialization</w:t>
      </w:r>
    </w:p>
    <w:p>
      <w:pPr>
        <w:pStyle w:val="HorizontalLine"/>
        <w:bidi w:val="0"/>
        <w:spacing w:lineRule="auto" w:line="276" w:before="0" w:after="140"/>
        <w:jc w:val="left"/>
        <w:rPr>
          <w:rFonts w:ascii="Times New Roman" w:hAnsi="Times New Roman"/>
          <w:color w:val="000000"/>
        </w:rPr>
      </w:pPr>
      <w:r>
        <w:rPr>
          <w:rFonts w:ascii="Times New Roman" w:hAnsi="Times New Roman"/>
          <w:color w:val="000000"/>
        </w:rPr>
      </w:r>
    </w:p>
    <w:p>
      <w:pPr>
        <w:pStyle w:val="Heading2"/>
        <w:bidi w:val="0"/>
        <w:ind w:hanging="0" w:left="0"/>
        <w:rPr/>
      </w:pPr>
      <w:bookmarkStart w:id="56" w:name="__RefHeading___Toc968_2830917912"/>
      <w:bookmarkEnd w:id="56"/>
      <w:r>
        <w:rPr/>
        <w:t>5.5 Financial Projection Overview</w:t>
      </w:r>
    </w:p>
    <w:p>
      <w:pPr>
        <w:pStyle w:val="BodyText"/>
        <w:bidi w:val="0"/>
        <w:jc w:val="left"/>
        <w:rPr>
          <w:rFonts w:ascii="Times New Roman" w:hAnsi="Times New Roman"/>
          <w:color w:val="000000"/>
        </w:rPr>
      </w:pPr>
      <w:r>
        <w:rPr>
          <w:rStyle w:val="Strong"/>
          <w:rFonts w:ascii="Times New Roman" w:hAnsi="Times New Roman"/>
          <w:b w:val="false"/>
          <w:bCs w:val="false"/>
          <w:color w:val="000000"/>
          <w:sz w:val="24"/>
          <w:szCs w:val="24"/>
        </w:rPr>
        <w:t>Major Cost Categories:</w:t>
      </w:r>
    </w:p>
    <w:p>
      <w:pPr>
        <w:pStyle w:val="BodyText"/>
        <w:numPr>
          <w:ilvl w:val="0"/>
          <w:numId w:val="5"/>
        </w:numPr>
        <w:tabs>
          <w:tab w:val="left" w:pos="709" w:leader="none"/>
        </w:tabs>
        <w:bidi w:val="0"/>
        <w:ind w:hanging="283" w:left="709"/>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AI R&amp;D and model development</w:t>
      </w:r>
    </w:p>
    <w:p>
      <w:pPr>
        <w:pStyle w:val="BodyText"/>
        <w:numPr>
          <w:ilvl w:val="0"/>
          <w:numId w:val="5"/>
        </w:numPr>
        <w:tabs>
          <w:tab w:val="left" w:pos="709" w:leader="none"/>
        </w:tabs>
        <w:bidi w:val="0"/>
        <w:ind w:hanging="283" w:left="709"/>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Robotics hardware manufacturing</w:t>
      </w:r>
    </w:p>
    <w:p>
      <w:pPr>
        <w:pStyle w:val="BodyText"/>
        <w:numPr>
          <w:ilvl w:val="0"/>
          <w:numId w:val="5"/>
        </w:numPr>
        <w:tabs>
          <w:tab w:val="left" w:pos="709" w:leader="none"/>
        </w:tabs>
        <w:bidi w:val="0"/>
        <w:ind w:hanging="283" w:left="709"/>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Aerospace certification and regulatory compliance</w:t>
      </w:r>
    </w:p>
    <w:p>
      <w:pPr>
        <w:pStyle w:val="BodyText"/>
        <w:numPr>
          <w:ilvl w:val="0"/>
          <w:numId w:val="5"/>
        </w:numPr>
        <w:tabs>
          <w:tab w:val="left" w:pos="709" w:leader="none"/>
        </w:tabs>
        <w:bidi w:val="0"/>
        <w:ind w:hanging="283" w:left="709"/>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Clinical validation studies</w:t>
      </w:r>
    </w:p>
    <w:p>
      <w:pPr>
        <w:pStyle w:val="BodyText"/>
        <w:numPr>
          <w:ilvl w:val="0"/>
          <w:numId w:val="5"/>
        </w:numPr>
        <w:tabs>
          <w:tab w:val="left" w:pos="709" w:leader="none"/>
        </w:tabs>
        <w:bidi w:val="0"/>
        <w:ind w:hanging="283" w:left="709"/>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Cybersecurity infrastructure</w:t>
      </w:r>
    </w:p>
    <w:p>
      <w:pPr>
        <w:pStyle w:val="BodyText"/>
        <w:bidi w:val="0"/>
        <w:jc w:val="left"/>
        <w:rPr>
          <w:rFonts w:ascii="Times New Roman" w:hAnsi="Times New Roman"/>
          <w:color w:val="000000"/>
        </w:rPr>
      </w:pPr>
      <w:r>
        <w:rPr>
          <w:rStyle w:val="Strong"/>
          <w:rFonts w:ascii="Times New Roman" w:hAnsi="Times New Roman"/>
          <w:b w:val="false"/>
          <w:bCs w:val="false"/>
          <w:color w:val="000000"/>
          <w:sz w:val="24"/>
          <w:szCs w:val="24"/>
        </w:rPr>
        <w:t>Break-even:</w:t>
      </w:r>
      <w:r>
        <w:rPr>
          <w:rFonts w:ascii="Times New Roman" w:hAnsi="Times New Roman"/>
          <w:b w:val="false"/>
          <w:bCs w:val="false"/>
          <w:color w:val="000000"/>
          <w:sz w:val="24"/>
          <w:szCs w:val="24"/>
        </w:rPr>
        <w:t xml:space="preserve"> Estimated </w:t>
      </w:r>
      <w:r>
        <w:rPr>
          <w:rStyle w:val="Strong"/>
          <w:rFonts w:ascii="Times New Roman" w:hAnsi="Times New Roman"/>
          <w:b w:val="false"/>
          <w:bCs w:val="false"/>
          <w:color w:val="000000"/>
          <w:sz w:val="24"/>
          <w:szCs w:val="24"/>
        </w:rPr>
        <w:t>7–9 years</w:t>
      </w:r>
      <w:r>
        <w:rPr>
          <w:rFonts w:ascii="Times New Roman" w:hAnsi="Times New Roman"/>
          <w:b w:val="false"/>
          <w:bCs w:val="false"/>
          <w:color w:val="000000"/>
          <w:sz w:val="24"/>
          <w:szCs w:val="24"/>
        </w:rPr>
        <w:t>, contingent on government and commercial partnerships.</w:t>
      </w:r>
    </w:p>
    <w:p>
      <w:pPr>
        <w:pStyle w:val="BodyText"/>
        <w:bidi w:val="0"/>
        <w:jc w:val="left"/>
        <w:rPr>
          <w:rFonts w:ascii="Times New Roman" w:hAnsi="Times New Roman"/>
          <w:color w:val="000000"/>
        </w:rPr>
      </w:pPr>
      <w:r>
        <w:rPr>
          <w:rStyle w:val="Strong"/>
          <w:rFonts w:ascii="Times New Roman" w:hAnsi="Times New Roman"/>
          <w:b w:val="false"/>
          <w:bCs w:val="false"/>
          <w:color w:val="000000"/>
          <w:sz w:val="24"/>
          <w:szCs w:val="24"/>
        </w:rPr>
        <w:t>Revenue Projections:</w:t>
      </w:r>
    </w:p>
    <w:p>
      <w:pPr>
        <w:pStyle w:val="BodyText"/>
        <w:bidi w:val="0"/>
        <w:jc w:val="left"/>
        <w:rPr>
          <w:rFonts w:ascii="Times New Roman" w:hAnsi="Times New Roman"/>
          <w:color w:val="000000"/>
        </w:rPr>
      </w:pPr>
      <w:r>
        <w:rPr>
          <w:rStyle w:val="Strong"/>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Initial R&amp;D &amp; pilot phases: $2–5M</w:t>
      </w:r>
    </w:p>
    <w:p>
      <w:pPr>
        <w:pStyle w:val="BodyText"/>
        <w:bidi w:val="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Commercial expansion (Years 6–8): $15–25M</w:t>
      </w:r>
    </w:p>
    <w:p>
      <w:pPr>
        <w:pStyle w:val="BodyText"/>
        <w:bidi w:val="0"/>
        <w:jc w:val="left"/>
        <w:rPr>
          <w:rFonts w:ascii="Times New Roman" w:hAnsi="Times New Roman"/>
          <w:color w:val="000000"/>
        </w:rPr>
      </w:pPr>
      <w:r>
        <w:rPr>
          <w:rFonts w:ascii="Times New Roman" w:hAnsi="Times New Roman"/>
          <w:color w:val="000000"/>
        </w:rPr>
        <w:t xml:space="preserve"> </w:t>
      </w:r>
      <w:r>
        <w:rPr>
          <w:rFonts w:ascii="Times New Roman" w:hAnsi="Times New Roman"/>
          <w:color w:val="000000"/>
        </w:rPr>
        <w:t>-Full deployment &amp; terrestrial diversification: $50M+</w:t>
      </w:r>
    </w:p>
    <w:p>
      <w:pPr>
        <w:pStyle w:val="HorizontalLine"/>
        <w:bidi w:val="0"/>
        <w:spacing w:lineRule="auto" w:line="276" w:before="0" w:after="140"/>
        <w:jc w:val="left"/>
        <w:rPr>
          <w:rFonts w:ascii="Times New Roman" w:hAnsi="Times New Roman"/>
          <w:color w:val="000000"/>
        </w:rPr>
      </w:pPr>
      <w:r>
        <w:rPr>
          <w:rFonts w:ascii="Times New Roman" w:hAnsi="Times New Roman"/>
          <w:color w:val="000000"/>
        </w:rPr>
      </w:r>
    </w:p>
    <w:p>
      <w:pPr>
        <w:pStyle w:val="Heading2"/>
        <w:bidi w:val="0"/>
        <w:ind w:hanging="0" w:left="0"/>
        <w:rPr/>
      </w:pPr>
      <w:bookmarkStart w:id="57" w:name="__RefHeading___Toc970_2830917912"/>
      <w:bookmarkEnd w:id="57"/>
      <w:r>
        <w:rPr/>
        <w:t>5.6 Long-term vision</w:t>
      </w:r>
    </w:p>
    <w:p>
      <w:pPr>
        <w:pStyle w:val="BodyText"/>
        <w:bidi w:val="0"/>
        <w:jc w:val="left"/>
        <w:rPr>
          <w:rFonts w:ascii="Times New Roman" w:hAnsi="Times New Roman"/>
          <w:color w:val="000000"/>
        </w:rPr>
      </w:pPr>
      <w:r>
        <w:rPr>
          <w:rFonts w:ascii="Times New Roman" w:hAnsi="Times New Roman"/>
          <w:color w:val="000000"/>
        </w:rPr>
        <w:t>NEFET aims to become:</w:t>
      </w:r>
    </w:p>
    <w:p>
      <w:pPr>
        <w:pStyle w:val="BodyText"/>
        <w:bidi w:val="0"/>
        <w:jc w:val="left"/>
        <w:rPr>
          <w:rFonts w:ascii="Times New Roman" w:hAnsi="Times New Roman"/>
          <w:color w:val="000000"/>
        </w:rPr>
      </w:pPr>
      <w:r>
        <w:rPr>
          <w:rFonts w:ascii="Times New Roman" w:hAnsi="Times New Roman"/>
          <w:color w:val="000000"/>
        </w:rPr>
        <w:t xml:space="preserve">- The </w:t>
      </w:r>
      <w:r>
        <w:rPr>
          <w:rStyle w:val="Strong"/>
          <w:rFonts w:ascii="Times New Roman" w:hAnsi="Times New Roman"/>
          <w:b w:val="false"/>
          <w:bCs w:val="false"/>
          <w:color w:val="000000"/>
        </w:rPr>
        <w:t>AI safety standard for deep-space missions</w:t>
      </w:r>
    </w:p>
    <w:p>
      <w:pPr>
        <w:pStyle w:val="BodyText"/>
        <w:bidi w:val="0"/>
        <w:jc w:val="left"/>
        <w:rPr>
          <w:rFonts w:ascii="Times New Roman" w:hAnsi="Times New Roman"/>
          <w:color w:val="000000"/>
        </w:rPr>
      </w:pPr>
      <w:r>
        <w:rPr>
          <w:rStyle w:val="Strong"/>
          <w:rFonts w:ascii="Times New Roman" w:hAnsi="Times New Roman"/>
          <w:b w:val="false"/>
          <w:bCs w:val="false"/>
          <w:color w:val="000000"/>
        </w:rPr>
        <w:t xml:space="preserve">- </w:t>
      </w:r>
      <w:r>
        <w:rPr>
          <w:rFonts w:ascii="Times New Roman" w:hAnsi="Times New Roman"/>
          <w:color w:val="000000"/>
        </w:rPr>
        <w:t>The first fully integrated human-machine resilience architecture</w:t>
      </w:r>
    </w:p>
    <w:p>
      <w:pPr>
        <w:pStyle w:val="BodyText"/>
        <w:bidi w:val="0"/>
        <w:jc w:val="left"/>
        <w:rPr>
          <w:rFonts w:ascii="Times New Roman" w:hAnsi="Times New Roman"/>
          <w:color w:val="000000"/>
        </w:rPr>
      </w:pPr>
      <w:r>
        <w:rPr>
          <w:rFonts w:ascii="Times New Roman" w:hAnsi="Times New Roman"/>
          <w:color w:val="000000"/>
        </w:rPr>
        <w:t xml:space="preserve">- A </w:t>
      </w:r>
      <w:r>
        <w:rPr>
          <w:rStyle w:val="Strong"/>
          <w:rFonts w:ascii="Times New Roman" w:hAnsi="Times New Roman"/>
          <w:b w:val="false"/>
          <w:bCs w:val="false"/>
          <w:color w:val="000000"/>
        </w:rPr>
        <w:t>preventive, adaptive safety layer</w:t>
      </w:r>
      <w:r>
        <w:rPr>
          <w:rFonts w:ascii="Times New Roman" w:hAnsi="Times New Roman"/>
          <w:color w:val="000000"/>
        </w:rPr>
        <w:t xml:space="preserve"> evolving with mission demands</w:t>
      </w:r>
    </w:p>
    <w:p>
      <w:pPr>
        <w:pStyle w:val="BodyText"/>
        <w:bidi w:val="0"/>
        <w:jc w:val="left"/>
        <w:rPr>
          <w:rFonts w:ascii="Times New Roman" w:hAnsi="Times New Roman"/>
          <w:color w:val="000000"/>
        </w:rPr>
      </w:pPr>
      <w:r>
        <w:rPr>
          <w:rStyle w:val="Strong"/>
          <w:rFonts w:ascii="Times New Roman" w:hAnsi="Times New Roman"/>
          <w:b w:val="false"/>
          <w:bCs w:val="false"/>
          <w:color w:val="000000"/>
        </w:rPr>
        <w:t>Strategic Goal:</w:t>
      </w:r>
      <w:r>
        <w:rPr>
          <w:rFonts w:ascii="Times New Roman" w:hAnsi="Times New Roman"/>
          <w:color w:val="000000"/>
        </w:rPr>
        <w:t xml:space="preserve"> As humanity transitions to permanent off-Earth habitation, NEFET ensures </w:t>
      </w:r>
      <w:r>
        <w:rPr>
          <w:rStyle w:val="Strong"/>
          <w:rFonts w:ascii="Times New Roman" w:hAnsi="Times New Roman"/>
          <w:b w:val="false"/>
          <w:bCs w:val="false"/>
          <w:color w:val="000000"/>
        </w:rPr>
        <w:t>predictive, human-centered safety</w:t>
      </w:r>
      <w:r>
        <w:rPr>
          <w:rFonts w:ascii="Times New Roman" w:hAnsi="Times New Roman"/>
          <w:b w:val="false"/>
          <w:bCs w:val="false"/>
          <w:color w:val="000000"/>
        </w:rPr>
        <w:t>,</w:t>
      </w:r>
      <w:r>
        <w:rPr>
          <w:rFonts w:ascii="Times New Roman" w:hAnsi="Times New Roman"/>
          <w:color w:val="000000"/>
        </w:rPr>
        <w:t xml:space="preserve"> protecting lives while maximizing mission performance.</w:t>
      </w:r>
    </w:p>
    <w:p>
      <w:pPr>
        <w:pStyle w:val="BodyText"/>
        <w:bidi w:val="0"/>
        <w:jc w:val="left"/>
        <w:rPr>
          <w:rFonts w:ascii="Times New Roman" w:hAnsi="Times New Roman"/>
          <w:color w:val="000000"/>
        </w:rPr>
      </w:pPr>
      <w:r>
        <w:rPr>
          <w:rFonts w:ascii="Times New Roman" w:hAnsi="Times New Roman"/>
          <w:color w:val="000000"/>
        </w:rPr>
      </w:r>
      <w:r>
        <w:br w:type="page"/>
      </w:r>
    </w:p>
    <w:p>
      <w:pPr>
        <w:pStyle w:val="BodyText"/>
        <w:bidi w:val="0"/>
        <w:jc w:val="left"/>
        <w:rPr>
          <w:rFonts w:ascii="Times New Roman" w:hAnsi="Times New Roman"/>
          <w:color w:val="000000"/>
        </w:rPr>
      </w:pPr>
      <w:r>
        <w:rPr>
          <w:rFonts w:ascii="Times New Roman" w:hAnsi="Times New Roman"/>
          <w:color w:val="000000"/>
        </w:rPr>
      </w:r>
    </w:p>
    <w:p>
      <w:pPr>
        <w:pStyle w:val="BodyText"/>
        <w:bidi w:val="0"/>
        <w:jc w:val="left"/>
        <w:rPr>
          <w:rFonts w:ascii="Times New Roman" w:hAnsi="Times New Roman"/>
          <w:color w:val="000000"/>
        </w:rPr>
      </w:pPr>
      <w:r>
        <w:rPr>
          <w:rFonts w:ascii="Times New Roman" w:hAnsi="Times New Roman"/>
          <w:color w:val="000000"/>
        </w:rPr>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pPr>
      <w:r>
        <w:rPr/>
      </w:r>
    </w:p>
    <w:p>
      <w:pPr>
        <w:pStyle w:val="Normal"/>
        <w:bidi w:val="0"/>
        <w:spacing w:lineRule="auto" w:line="276"/>
        <w:jc w:val="left"/>
        <w:rPr>
          <w:rFonts w:ascii="Times New Roman" w:hAnsi="Times New Roman"/>
          <w:color w:val="000000"/>
          <w:sz w:val="24"/>
        </w:rPr>
      </w:pPr>
      <w:r>
        <w:rPr>
          <w:rFonts w:ascii="Times New Roman" w:hAnsi="Times New Roman"/>
          <w:color w:val="000000"/>
          <w:sz w:val="24"/>
        </w:rPr>
      </w:r>
    </w:p>
    <w:p>
      <w:pPr>
        <w:pStyle w:val="Normal"/>
        <w:bidi w:val="0"/>
        <w:spacing w:lineRule="auto" w:line="276"/>
        <w:jc w:val="left"/>
        <w:rPr>
          <w:rFonts w:ascii="Times New Roman" w:hAnsi="Times New Roman"/>
          <w:color w:val="313131"/>
          <w:sz w:val="24"/>
        </w:rPr>
      </w:pPr>
      <w:r>
        <w:rPr>
          <w:rFonts w:ascii="Times New Roman" w:hAnsi="Times New Roman"/>
          <w:color w:val="313131"/>
        </w:rPr>
        <w:br/>
      </w:r>
    </w:p>
    <w:p>
      <w:pPr>
        <w:pStyle w:val="TableofAuthorities"/>
        <w:rPr/>
      </w:pPr>
      <w:r>
        <w:rPr/>
        <w:t>Bibliography</w:t>
      </w:r>
    </w:p>
    <w:p>
      <w:pPr>
        <w:pStyle w:val="Bibliography1"/>
        <w:tabs>
          <w:tab w:val="clear" w:pos="9638"/>
        </w:tabs>
        <w:rPr/>
      </w:pPr>
      <w:r>
        <w:fldChar w:fldCharType="begin"/>
      </w:r>
      <w:r>
        <w:rPr/>
        <w:instrText xml:space="preserve"> BIBLIOGRAPHY </w:instrText>
      </w:r>
      <w:r>
        <w:rPr/>
        <w:fldChar w:fldCharType="separate"/>
      </w:r>
      <w:r>
        <w:rPr/>
        <w:t>1: Sean O'Kane, SpaceX’s upgraded Starship suffers explosion during testing,</w:t>
      </w:r>
      <w:hyperlink r:id="rId11">
        <w:r>
          <w:rPr>
            <w:rStyle w:val="Hyperlink"/>
          </w:rPr>
          <w:t>https://techcrunch.com/2025/11/21/spacexs-upgraded-starship-suffers-explosion-during-testing/</w:t>
        </w:r>
      </w:hyperlink>
      <w:r>
        <w:rPr/>
        <w:t xml:space="preserve"> , 2025</w:t>
      </w:r>
    </w:p>
    <w:p>
      <w:pPr>
        <w:pStyle w:val="Bibliography1"/>
        <w:tabs>
          <w:tab w:val="clear" w:pos="9638"/>
        </w:tabs>
        <w:rPr/>
      </w:pPr>
      <w:r>
        <w:rPr/>
        <w:t>2: Andrew Jones, India’s PSLV launch fails during ascent, 16 satellites lost,</w:t>
      </w:r>
      <w:hyperlink r:id="rId12">
        <w:r>
          <w:rPr>
            <w:rStyle w:val="Hyperlink"/>
          </w:rPr>
          <w:t>https://spacenews.com/indias-pslv-launch-fails-during-ascent-16-satellites-lost/</w:t>
        </w:r>
      </w:hyperlink>
      <w:r>
        <w:rPr/>
        <w:t xml:space="preserve"> , 2026</w:t>
      </w:r>
    </w:p>
    <w:p>
      <w:pPr>
        <w:pStyle w:val="Bibliography1"/>
        <w:tabs>
          <w:tab w:val="clear" w:pos="9638"/>
        </w:tabs>
        <w:rPr/>
      </w:pPr>
      <w:r>
        <w:rPr/>
        <w:t>3: , Space Debris Danger: Shenzhou-20 Window Strike Wake-Up Call,</w:t>
      </w:r>
      <w:hyperlink r:id="rId13">
        <w:r>
          <w:rPr>
            <w:rStyle w:val="Hyperlink"/>
          </w:rPr>
          <w:t>https://nasaspacenews.com/2025/12/space-debris-danger/</w:t>
        </w:r>
      </w:hyperlink>
      <w:r>
        <w:rPr/>
        <w:t xml:space="preserve"> , 2025</w:t>
      </w:r>
    </w:p>
    <w:p>
      <w:pPr>
        <w:pStyle w:val="Bibliography1"/>
        <w:tabs>
          <w:tab w:val="clear" w:pos="9638"/>
        </w:tabs>
        <w:rPr/>
      </w:pPr>
      <w:r>
        <w:rPr/>
        <w:t xml:space="preserve">4: Gerhard Drolshagen, </w:t>
      </w:r>
      <w:r>
        <w:rPr>
          <w:rStyle w:val="Emphasis"/>
        </w:rPr>
        <w:t>Impact effects from small size meteoroids and space debris</w:t>
      </w:r>
      <w:r>
        <w:rPr/>
        <w:t>, 2008</w:t>
      </w:r>
    </w:p>
    <w:p>
      <w:pPr>
        <w:pStyle w:val="Bibliography1"/>
        <w:tabs>
          <w:tab w:val="clear" w:pos="9638"/>
        </w:tabs>
        <w:rPr/>
      </w:pPr>
      <w:r>
        <w:rPr/>
        <w:t>5: , Astrobee,</w:t>
      </w:r>
      <w:hyperlink r:id="rId14">
        <w:r>
          <w:rPr>
            <w:rStyle w:val="Hyperlink"/>
          </w:rPr>
          <w:t>https://issnationallab.org/facilities/astrobee/</w:t>
        </w:r>
      </w:hyperlink>
      <w:r>
        <w:rPr/>
        <w:t xml:space="preserve"> , </w:t>
      </w:r>
    </w:p>
    <w:p>
      <w:pPr>
        <w:pStyle w:val="Bibliography1"/>
        <w:tabs>
          <w:tab w:val="clear" w:pos="9638"/>
        </w:tabs>
        <w:rPr/>
      </w:pPr>
      <w:r>
        <w:rPr/>
        <w:t xml:space="preserve">6: Moyun Liu, Youping Chen, Lei He, Yang Zhang, Jingming Xie, </w:t>
      </w:r>
      <w:r>
        <w:rPr>
          <w:rStyle w:val="Emphasis"/>
        </w:rPr>
        <w:t>LF-YOLO: A Lighter and Faster YOLO for Weld Defect Detection of X-ray Image</w:t>
      </w:r>
      <w:r>
        <w:rPr/>
        <w:t>, 2021</w:t>
      </w:r>
    </w:p>
    <w:p>
      <w:pPr>
        <w:pStyle w:val="Bibliography1"/>
        <w:tabs>
          <w:tab w:val="clear" w:pos="9638"/>
        </w:tabs>
        <w:rPr/>
      </w:pPr>
      <w:r>
        <w:rPr/>
        <w:t xml:space="preserve">7: Peter A. Parker, Ajay Koshti, David S. Forsyth, Michael W. Suits, James L. Walker, William H. Prosser/NESC, </w:t>
      </w:r>
      <w:r>
        <w:rPr>
          <w:rStyle w:val="Emphasis"/>
        </w:rPr>
        <w:t>A Survey of NASA Standard Nondestructive Evaluation(NDE)</w:t>
      </w:r>
      <w:r>
        <w:rPr/>
        <w:t>, 2022</w:t>
      </w:r>
    </w:p>
    <w:p>
      <w:pPr>
        <w:pStyle w:val="Bibliography1"/>
        <w:tabs>
          <w:tab w:val="clear" w:pos="9638"/>
        </w:tabs>
        <w:rPr/>
      </w:pPr>
      <w:r>
        <w:rPr/>
        <w:t>8: Amy Ross, Making a Space Suit: Not as easy as it looks, 2020</w:t>
      </w:r>
    </w:p>
    <w:p>
      <w:pPr>
        <w:pStyle w:val="Bibliography1"/>
        <w:tabs>
          <w:tab w:val="clear" w:pos="9638"/>
        </w:tabs>
        <w:rPr/>
      </w:pPr>
      <w:r>
        <w:rPr/>
        <w:t>9: Raleigh McElvery, Managing the Growing Safety Risks of NASA's 50-Year-Old Spacesuit Design ,</w:t>
      </w:r>
      <w:hyperlink r:id="rId15">
        <w:r>
          <w:rPr>
            <w:rStyle w:val="Hyperlink"/>
          </w:rPr>
          <w:t>https://oig.nasa.gov/news/managing-the-growing-safety-risks-of-nasas-50-year-old-spacesuit-design/</w:t>
        </w:r>
      </w:hyperlink>
      <w:r>
        <w:rPr/>
        <w:t xml:space="preserve"> , 2026</w:t>
      </w:r>
    </w:p>
    <w:p>
      <w:pPr>
        <w:pStyle w:val="Bibliography1"/>
        <w:tabs>
          <w:tab w:val="clear" w:pos="9638"/>
        </w:tabs>
        <w:rPr/>
      </w:pPr>
      <w:r>
        <w:rPr/>
        <w:t>10: Matthew Cantor, Nasa cancels all-female spacewalk, citing lack of spacesuit in right size,</w:t>
      </w:r>
      <w:hyperlink r:id="rId16">
        <w:r>
          <w:rPr>
            <w:rStyle w:val="Hyperlink"/>
          </w:rPr>
          <w:t>https://www.theguardian.com/science/2019/mar/25/nasa-all-female-spacewalk-canceled-women-spacesuits</w:t>
        </w:r>
      </w:hyperlink>
      <w:r>
        <w:rPr/>
        <w:t xml:space="preserve"> , 2019</w:t>
      </w:r>
    </w:p>
    <w:p>
      <w:pPr>
        <w:pStyle w:val="Bibliography1"/>
        <w:tabs>
          <w:tab w:val="clear" w:pos="9638"/>
        </w:tabs>
        <w:rPr/>
      </w:pPr>
      <w:r>
        <w:rPr/>
        <w:t>11: , Exploration Extravehicular Mobility Unit (xEMU),</w:t>
      </w:r>
      <w:hyperlink r:id="rId17">
        <w:r>
          <w:rPr>
            <w:rStyle w:val="Hyperlink"/>
          </w:rPr>
          <w:t>https://www.nasa.gov/image-article/exploration-extravehicular-mobility-unit-xemu/</w:t>
        </w:r>
      </w:hyperlink>
      <w:r>
        <w:rPr/>
        <w:t xml:space="preserve"> , 2019</w:t>
      </w:r>
    </w:p>
    <w:p>
      <w:pPr>
        <w:pStyle w:val="Bibliography1"/>
        <w:tabs>
          <w:tab w:val="clear" w:pos="9638"/>
        </w:tabs>
        <w:rPr/>
      </w:pPr>
      <w:r>
        <w:rPr/>
        <w:t xml:space="preserve">12: Yuqi Cheng, Haiming Yao, Cheng Jiang, Yunkang Cao, Wei Luo, Hui Zhang, Weiming Shen, </w:t>
      </w:r>
      <w:r>
        <w:rPr>
          <w:rStyle w:val="Emphasis"/>
        </w:rPr>
        <w:t>A Comprehensive Survey for Real-World Industrial Defect Detection: Challenges, Approaches, and Prospects</w:t>
      </w:r>
      <w:r>
        <w:rPr/>
        <w:t>, 2025</w:t>
      </w:r>
    </w:p>
    <w:p>
      <w:pPr>
        <w:pStyle w:val="Bibliography1"/>
        <w:tabs>
          <w:tab w:val="clear" w:pos="9638"/>
        </w:tabs>
        <w:rPr/>
      </w:pPr>
      <w:r>
        <w:rPr/>
        <w:t xml:space="preserve">13: Roy Christoffersen, John R. Lindsay, Sarah K. Noble, Mary Ann Meador, Joseph J. Kosmo, J. Anneliese Lawrence, Lynn Brostoff, Amanda Young, Terry McCue, </w:t>
      </w:r>
      <w:r>
        <w:rPr>
          <w:rStyle w:val="Emphasis"/>
        </w:rPr>
        <w:t>Lunar Dust Effects on Spacesuit Systems: Insights from the Apollo Spacesuits</w:t>
      </w:r>
      <w:r>
        <w:rPr/>
        <w:t>, 2008</w:t>
      </w:r>
    </w:p>
    <w:p>
      <w:pPr>
        <w:pStyle w:val="Bibliography1"/>
        <w:tabs>
          <w:tab w:val="clear" w:pos="9638"/>
        </w:tabs>
        <w:rPr/>
      </w:pPr>
      <w:r>
        <w:rPr/>
        <w:t xml:space="preserve">14: Nora M.Haney, Alexandra Urman, Tayab Waseem, Yvonne Cagle, José M. Morey, </w:t>
      </w:r>
      <w:r>
        <w:rPr>
          <w:rStyle w:val="Emphasis"/>
        </w:rPr>
        <w:t>AI's role in deepspace</w:t>
      </w:r>
      <w:r>
        <w:rPr/>
        <w:t>, 2020</w:t>
      </w:r>
    </w:p>
    <w:p>
      <w:pPr>
        <w:pStyle w:val="Bibliography1"/>
        <w:tabs>
          <w:tab w:val="clear" w:pos="9638"/>
        </w:tabs>
        <w:rPr/>
      </w:pPr>
      <w:r>
        <w:rPr/>
        <w:t>15: Melissa L. Gaskill, Peak Performance in Microgravity,</w:t>
      </w:r>
      <w:hyperlink r:id="rId18">
        <w:r>
          <w:rPr>
            <w:rStyle w:val="Hyperlink"/>
          </w:rPr>
          <w:t>https://www.nasa.gov/missions/station/iss-research/peak-performance-in-microgravity/</w:t>
        </w:r>
      </w:hyperlink>
      <w:r>
        <w:rPr/>
        <w:t xml:space="preserve"> , 2025</w:t>
      </w:r>
    </w:p>
    <w:p>
      <w:pPr>
        <w:pStyle w:val="Bibliography1"/>
        <w:tabs>
          <w:tab w:val="clear" w:pos="9638"/>
        </w:tabs>
        <w:rPr/>
      </w:pPr>
      <w:r>
        <w:rPr/>
        <w:t xml:space="preserve">16: Rahul Kumar, Ethan Waisberg, Joshua Ong, Phani Paladugu, Kyle Sporn, Karsten Chima, Dylan Amiri, Nasif Zaman, Alireza Tavakkoli, </w:t>
      </w:r>
      <w:r>
        <w:rPr>
          <w:rStyle w:val="Emphasis"/>
        </w:rPr>
        <w:t>Precision health monitoring in spaceflight with integration of lower body negative pressure and advanced large language model artificial intelligence</w:t>
      </w:r>
      <w:r>
        <w:rPr/>
        <w:t>, 2025</w:t>
      </w:r>
    </w:p>
    <w:p>
      <w:pPr>
        <w:pStyle w:val="Bibliography1"/>
        <w:tabs>
          <w:tab w:val="clear" w:pos="9638"/>
        </w:tabs>
        <w:rPr/>
      </w:pPr>
      <w:r>
        <w:rPr/>
        <w:t xml:space="preserve">17: Travis Michael Nelson, </w:t>
      </w:r>
      <w:r>
        <w:rPr>
          <w:rStyle w:val="Emphasis"/>
        </w:rPr>
        <w:t>Evaluating Human Factors In Isolation And Confinement During Analog Spaceflight: A Decadal Survey Assessing Ilmah Crew Psychology</w:t>
      </w:r>
      <w:r>
        <w:rPr/>
        <w:t>, 2025</w:t>
      </w:r>
    </w:p>
    <w:p>
      <w:pPr>
        <w:pStyle w:val="Bibliography1"/>
        <w:tabs>
          <w:tab w:val="clear" w:pos="9638"/>
        </w:tabs>
        <w:rPr/>
      </w:pPr>
      <w:r>
        <w:rPr/>
        <w:t xml:space="preserve">18: David B. Olawade, Ojima Z. Wada, Aderonke Odetayo, Aanuoluwapo Clement David-Olawade, Fiyinfoluwa Asaolu, Judith Eberhardt, </w:t>
      </w:r>
      <w:r>
        <w:rPr>
          <w:rStyle w:val="Emphasis"/>
        </w:rPr>
        <w:t>Enhancing mental health with Artificial Intelligence: Current trends and future prospects</w:t>
      </w:r>
      <w:r>
        <w:rPr/>
        <w:t>, 2024</w:t>
      </w:r>
    </w:p>
    <w:p>
      <w:pPr>
        <w:pStyle w:val="Bibliography1"/>
        <w:tabs>
          <w:tab w:val="clear" w:pos="9638"/>
        </w:tabs>
        <w:rPr/>
      </w:pPr>
      <w:r>
        <w:rPr/>
        <w:t xml:space="preserve">19: Arnab Kumar Das, Ruchira Naskar, </w:t>
      </w:r>
      <w:r>
        <w:rPr>
          <w:rStyle w:val="Emphasis"/>
        </w:rPr>
        <w:t>A deep learning model for depression detection based on MFCC and CNN generated spectrogram features</w:t>
      </w:r>
      <w:r>
        <w:rPr/>
        <w:t>, 2024</w:t>
      </w:r>
      <w:r>
        <w:rPr/>
        <w:fldChar w:fldCharType="end"/>
      </w:r>
    </w:p>
    <w:p>
      <w:pPr>
        <w:pStyle w:val="Normal"/>
        <w:bidi w:val="0"/>
        <w:spacing w:lineRule="auto" w:line="276"/>
        <w:jc w:val="left"/>
        <w:rPr>
          <w:rFonts w:ascii="Times New Roman" w:hAnsi="Times New Roman"/>
          <w:b w:val="false"/>
          <w:i w:val="false"/>
          <w:caps w:val="false"/>
          <w:smallCaps w:val="false"/>
          <w:color w:val="000000"/>
          <w:spacing w:val="0"/>
          <w:sz w:val="24"/>
          <w:szCs w:val="24"/>
        </w:rPr>
      </w:pPr>
      <w:r>
        <w:rPr>
          <w:rFonts w:ascii="Times New Roman" w:hAnsi="Times New Roman"/>
          <w:b w:val="false"/>
          <w:i w:val="false"/>
          <w:caps w:val="false"/>
          <w:smallCaps w:val="false"/>
          <w:color w:val="000000"/>
          <w:spacing w:val="0"/>
          <w:sz w:val="24"/>
          <w:szCs w:val="24"/>
        </w:rPr>
      </w:r>
    </w:p>
    <w:sectPr>
      <w:headerReference w:type="default" r:id="rId19"/>
      <w:footerReference w:type="default" r:id="rId20"/>
      <w:footerReference w:type="first" r:id="rId21"/>
      <w:type w:val="nextPage"/>
      <w:pgSz w:w="11906" w:h="16838"/>
      <w:pgMar w:left="1134" w:right="1134" w:gutter="0" w:header="1134" w:top="1831" w:footer="1134" w:bottom="1693"/>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OpenSymbol">
    <w:altName w:val="Arial Unicode MS"/>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Michroma">
    <w:charset w:val="01"/>
    <w:family w:val="auto"/>
    <w:pitch w:val="variable"/>
  </w:font>
  <w:font w:name="Open Sans">
    <w:altName w:val="Helvetica"/>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bidi w:val="0"/>
      <w:jc w:val="left"/>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58" w:name="PageNumWizard_FOOTER_Default_Page_Style1"/>
    <w:r>
      <w:rPr/>
      <w:fldChar w:fldCharType="begin"/>
    </w:r>
    <w:r>
      <w:rPr/>
      <w:instrText xml:space="preserve"> PAGE </w:instrText>
    </w:r>
    <w:r>
      <w:rPr/>
      <w:fldChar w:fldCharType="separate"/>
    </w:r>
    <w:r>
      <w:rPr/>
      <w:t>18</w:t>
    </w:r>
    <w:r>
      <w:rPr/>
      <w:fldChar w:fldCharType="end"/>
    </w:r>
    <w:bookmarkEnd w:id="58"/>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left"/>
      <w:rPr>
        <w:sz w:val="36"/>
        <w:szCs w:val="36"/>
      </w:rPr>
    </w:pPr>
    <w:r>
      <w:rPr>
        <w:sz w:val="36"/>
        <w:szCs w:val="36"/>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1"/>
      <w:lvlJc w:val="left"/>
      <w:pPr>
        <w:tabs>
          <w:tab w:val="num" w:pos="0"/>
        </w:tabs>
        <w:ind w:left="0" w:hanging="0"/>
      </w:pPr>
    </w:lvl>
    <w:lvl w:ilvl="1">
      <w:start w:val="1"/>
      <w:numFmt w:val="none"/>
      <w:pStyle w:val="Heading2"/>
      <w:suff w:val="nothing"/>
      <w:lvlText w:val="%2"/>
      <w:lvlJc w:val="left"/>
      <w:pPr>
        <w:tabs>
          <w:tab w:val="num" w:pos="0"/>
        </w:tabs>
        <w:ind w:left="0" w:hanging="0"/>
      </w:pPr>
    </w:lvl>
    <w:lvl w:ilvl="2">
      <w:start w:val="1"/>
      <w:numFmt w:val="none"/>
      <w:pStyle w:val="Heading3"/>
      <w:suff w:val="nothing"/>
      <w:lvlText w:val="%3"/>
      <w:lvlJc w:val="left"/>
      <w:pPr>
        <w:tabs>
          <w:tab w:val="num" w:pos="0"/>
        </w:tabs>
        <w:ind w:left="0" w:hanging="0"/>
      </w:pPr>
    </w:lvl>
    <w:lvl w:ilvl="3">
      <w:start w:val="1"/>
      <w:numFmt w:val="none"/>
      <w:pStyle w:val="Heading4"/>
      <w:suff w:val="nothing"/>
      <w:lvlText w:val="%4"/>
      <w:lvlJc w:val="left"/>
      <w:pPr>
        <w:tabs>
          <w:tab w:val="num" w:pos="0"/>
        </w:tabs>
        <w:ind w:left="0" w:hanging="0"/>
      </w:pPr>
    </w:lvl>
    <w:lvl w:ilvl="4">
      <w:start w:val="1"/>
      <w:numFmt w:val="none"/>
      <w:pStyle w:val="Heading5"/>
      <w:suff w:val="nothing"/>
      <w:lvlText w:val="%5"/>
      <w:lvlJc w:val="left"/>
      <w:pPr>
        <w:tabs>
          <w:tab w:val="num" w:pos="0"/>
        </w:tabs>
        <w:ind w:left="0" w:hanging="0"/>
      </w:pPr>
    </w:lvl>
    <w:lvl w:ilvl="5">
      <w:start w:val="1"/>
      <w:numFmt w:val="none"/>
      <w:pStyle w:val="Heading6"/>
      <w:suff w:val="nothing"/>
      <w:lvlText w:val="%6"/>
      <w:lvlJc w:val="left"/>
      <w:pPr>
        <w:tabs>
          <w:tab w:val="num" w:pos="0"/>
        </w:tabs>
        <w:ind w:left="0" w:hanging="0"/>
      </w:pPr>
    </w:lvl>
    <w:lvl w:ilvl="6">
      <w:start w:val="1"/>
      <w:numFmt w:val="none"/>
      <w:pStyle w:val="Heading7"/>
      <w:suff w:val="nothing"/>
      <w:lvlText w:val="%7"/>
      <w:lvlJc w:val="left"/>
      <w:pPr>
        <w:tabs>
          <w:tab w:val="num" w:pos="0"/>
        </w:tabs>
        <w:ind w:left="0" w:hanging="0"/>
      </w:pPr>
    </w:lvl>
    <w:lvl w:ilvl="7">
      <w:start w:val="1"/>
      <w:numFmt w:val="none"/>
      <w:pStyle w:val="Heading8"/>
      <w:suff w:val="nothing"/>
      <w:lvlText w:val="%8"/>
      <w:lvlJc w:val="left"/>
      <w:pPr>
        <w:tabs>
          <w:tab w:val="num" w:pos="0"/>
        </w:tabs>
        <w:ind w:left="0" w:hanging="0"/>
      </w:pPr>
    </w:lvl>
    <w:lvl w:ilvl="8">
      <w:start w:val="1"/>
      <w:numFmt w:val="none"/>
      <w:pStyle w:val="Heading9"/>
      <w:suff w:val="nothing"/>
      <w:lvlText w:val="%9"/>
      <w:lvlJc w:val="left"/>
      <w:pPr>
        <w:tabs>
          <w:tab w:val="num" w:pos="0"/>
        </w:tabs>
        <w:ind w:left="0" w:hanging="0"/>
      </w:p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isplayBackgroundShape/>
  <w:mailMerge>
    <w:mainDocumentType w:val="formLetters"/>
    <w:dataType w:val="textFile"/>
    <w:query w:val="SELECT * FROM Bibliography.dbo.biblio$"/>
  </w:mailMerge>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GB" w:eastAsia="zh-CN" w:bidi="hi-IN"/>
      </w:rPr>
    </w:rPrDefault>
    <w:pPrDefault>
      <w:pPr>
        <w:suppressAutoHyphens w:val="true"/>
      </w:pPr>
    </w:pPrDefault>
  </w:docDefaults>
  <w:style w:type="paragraph" w:styleId="Normal">
    <w:name w:val="Normal"/>
    <w:next w:val="Heading5"/>
    <w:qFormat/>
    <w:pPr>
      <w:widowControl/>
      <w:suppressAutoHyphens w:val="true"/>
      <w:kinsoku w:val="true"/>
      <w:overflowPunct w:val="false"/>
      <w:autoSpaceDE w:val="true"/>
      <w:bidi w:val="0"/>
      <w:spacing w:before="0" w:after="0"/>
      <w:jc w:val="left"/>
    </w:pPr>
    <w:rPr>
      <w:rFonts w:ascii="Liberation Serif" w:hAnsi="Liberation Serif" w:eastAsia="Noto Serif CJK SC" w:cs="Noto Sans Devanagari"/>
      <w:color w:val="auto"/>
      <w:kern w:val="2"/>
      <w:sz w:val="24"/>
      <w:szCs w:val="24"/>
      <w:lang w:val="en-GB" w:eastAsia="zh-CN" w:bidi="hi-IN"/>
    </w:rPr>
  </w:style>
  <w:style w:type="paragraph" w:styleId="Heading1">
    <w:name w:val="heading 1"/>
    <w:basedOn w:val="Heading"/>
    <w:next w:val="BodyText"/>
    <w:qFormat/>
    <w:pPr>
      <w:numPr>
        <w:ilvl w:val="0"/>
        <w:numId w:val="1"/>
      </w:numPr>
      <w:spacing w:before="240" w:after="120"/>
      <w:outlineLvl w:val="0"/>
    </w:pPr>
    <w:rPr>
      <w:rFonts w:ascii="Times New Roman" w:hAnsi="Times New Roman" w:eastAsia="Noto Serif CJK SC" w:cs="Noto Sans Devanagari"/>
      <w:b/>
      <w:bCs/>
      <w:sz w:val="36"/>
      <w:szCs w:val="48"/>
    </w:rPr>
  </w:style>
  <w:style w:type="paragraph" w:styleId="Heading2">
    <w:name w:val="heading 2"/>
    <w:basedOn w:val="Heading"/>
    <w:next w:val="BodyText"/>
    <w:qFormat/>
    <w:pPr>
      <w:numPr>
        <w:ilvl w:val="1"/>
        <w:numId w:val="1"/>
      </w:numPr>
      <w:spacing w:before="200" w:after="120"/>
      <w:outlineLvl w:val="1"/>
    </w:pPr>
    <w:rPr>
      <w:rFonts w:ascii="Times New Roman" w:hAnsi="Times New Roman" w:eastAsia="Noto Serif CJK SC" w:cs="Noto Sans Devanagari"/>
      <w:b/>
      <w:bCs/>
      <w:sz w:val="32"/>
      <w:szCs w:val="36"/>
    </w:rPr>
  </w:style>
  <w:style w:type="paragraph" w:styleId="Heading3">
    <w:name w:val="heading 3"/>
    <w:basedOn w:val="Heading"/>
    <w:next w:val="BodyText"/>
    <w:qFormat/>
    <w:pPr>
      <w:numPr>
        <w:ilvl w:val="2"/>
        <w:numId w:val="1"/>
      </w:num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numPr>
        <w:ilvl w:val="3"/>
        <w:numId w:val="1"/>
      </w:numPr>
      <w:spacing w:before="120" w:after="120"/>
      <w:outlineLvl w:val="3"/>
    </w:pPr>
    <w:rPr>
      <w:rFonts w:ascii="Liberation Serif" w:hAnsi="Liberation Serif" w:eastAsia="Noto Serif CJK SC" w:cs="Noto Sans Devanagari"/>
      <w:b/>
      <w:bCs/>
      <w:sz w:val="24"/>
      <w:szCs w:val="24"/>
    </w:rPr>
  </w:style>
  <w:style w:type="paragraph" w:styleId="Heading5">
    <w:name w:val="heading 5"/>
    <w:basedOn w:val="Heading"/>
    <w:next w:val="BodyText"/>
    <w:qFormat/>
    <w:pPr>
      <w:numPr>
        <w:ilvl w:val="4"/>
        <w:numId w:val="1"/>
      </w:numPr>
      <w:spacing w:before="120" w:after="60"/>
      <w:outlineLvl w:val="4"/>
    </w:pPr>
    <w:rPr>
      <w:b/>
      <w:bCs/>
      <w:sz w:val="24"/>
      <w:szCs w:val="24"/>
    </w:rPr>
  </w:style>
  <w:style w:type="paragraph" w:styleId="Heading6">
    <w:name w:val="heading 6"/>
    <w:basedOn w:val="Heading"/>
    <w:next w:val="BodyText"/>
    <w:qFormat/>
    <w:pPr>
      <w:numPr>
        <w:ilvl w:val="5"/>
        <w:numId w:val="1"/>
      </w:numPr>
      <w:spacing w:before="60" w:after="60"/>
      <w:outlineLvl w:val="5"/>
    </w:pPr>
    <w:rPr>
      <w:b/>
      <w:bCs/>
      <w:i/>
      <w:iCs/>
      <w:sz w:val="24"/>
      <w:szCs w:val="24"/>
    </w:rPr>
  </w:style>
  <w:style w:type="paragraph" w:styleId="Heading7">
    <w:name w:val="heading 7"/>
    <w:basedOn w:val="Heading"/>
    <w:next w:val="BodyText"/>
    <w:qFormat/>
    <w:pPr>
      <w:numPr>
        <w:ilvl w:val="6"/>
        <w:numId w:val="1"/>
      </w:numPr>
      <w:spacing w:before="60" w:after="60"/>
      <w:outlineLvl w:val="6"/>
    </w:pPr>
    <w:rPr>
      <w:b/>
      <w:bCs/>
      <w:sz w:val="20"/>
      <w:szCs w:val="20"/>
    </w:rPr>
  </w:style>
  <w:style w:type="paragraph" w:styleId="Heading8">
    <w:name w:val="heading 8"/>
    <w:basedOn w:val="Heading"/>
    <w:next w:val="BodyText"/>
    <w:qFormat/>
    <w:pPr>
      <w:numPr>
        <w:ilvl w:val="7"/>
        <w:numId w:val="1"/>
      </w:numPr>
      <w:spacing w:before="60" w:after="60"/>
      <w:outlineLvl w:val="7"/>
    </w:pPr>
    <w:rPr>
      <w:b/>
      <w:bCs/>
      <w:i/>
      <w:iCs/>
      <w:sz w:val="20"/>
      <w:szCs w:val="20"/>
    </w:rPr>
  </w:style>
  <w:style w:type="paragraph" w:styleId="Heading9">
    <w:name w:val="heading 9"/>
    <w:basedOn w:val="Heading"/>
    <w:next w:val="BodyText"/>
    <w:qFormat/>
    <w:pPr>
      <w:numPr>
        <w:ilvl w:val="8"/>
        <w:numId w:val="1"/>
      </w:numPr>
      <w:spacing w:before="60" w:after="60"/>
      <w:outlineLvl w:val="8"/>
    </w:pPr>
    <w:rPr>
      <w:b/>
      <w:bCs/>
      <w:sz w:val="18"/>
      <w:szCs w:val="18"/>
    </w:rPr>
  </w:style>
  <w:style w:type="character" w:styleId="Hyperlink">
    <w:name w:val="Hyperlink"/>
    <w:rPr>
      <w:color w:val="000080"/>
      <w:u w:val="single"/>
    </w:rPr>
  </w:style>
  <w:style w:type="character" w:styleId="Bulletsuser">
    <w:name w:val="Bullets (user)"/>
    <w:qFormat/>
    <w:rPr>
      <w:rFonts w:ascii="OpenSymbol" w:hAnsi="OpenSymbol" w:eastAsia="OpenSymbol" w:cs="OpenSymbol"/>
    </w:rPr>
  </w:style>
  <w:style w:type="character" w:styleId="Strong">
    <w:name w:val="Strong"/>
    <w:qFormat/>
    <w:rPr>
      <w:b/>
      <w:bCs/>
    </w:rPr>
  </w:style>
  <w:style w:type="character" w:styleId="Emphasis">
    <w:name w:val="Emphasis"/>
    <w:qFormat/>
    <w:rPr>
      <w:i/>
      <w:iCs/>
    </w:rPr>
  </w:style>
  <w:style w:type="character" w:styleId="NumberingSymbols">
    <w:name w:val="Numbering Symbols"/>
    <w:qFormat/>
    <w:rPr/>
  </w:style>
  <w:style w:type="character" w:styleId="IndexLink">
    <w:name w:val="Index Link"/>
    <w:qFormat/>
    <w:rPr/>
  </w:style>
  <w:style w:type="character" w:styleId="LineNumber">
    <w:name w:val="line number"/>
    <w:rPr/>
  </w:style>
  <w:style w:type="character" w:styleId="Bullets">
    <w:name w:val="Bullets"/>
    <w:qFormat/>
    <w:rPr>
      <w:rFonts w:ascii="OpenSymbol" w:hAnsi="OpenSymbol" w:eastAsia="OpenSymbol" w:cs="OpenSymbol"/>
    </w:rPr>
  </w:style>
  <w:style w:type="character" w:styleId="Definition">
    <w:name w:val="Definition"/>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paragraph" w:styleId="BlockQuotationuser">
    <w:name w:val="Block Quotation (user)"/>
    <w:basedOn w:val="Normal"/>
    <w:qFormat/>
    <w:pPr>
      <w:spacing w:before="0" w:after="283"/>
      <w:ind w:hanging="0" w:left="567" w:right="567"/>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IndexHeading">
    <w:name w:val="index heading"/>
    <w:basedOn w:val="Heading"/>
    <w:pPr>
      <w:suppressLineNumbers/>
      <w:ind w:hanging="0" w:left="0"/>
    </w:pPr>
    <w:rPr>
      <w:b/>
      <w:bCs/>
      <w:sz w:val="32"/>
      <w:szCs w:val="32"/>
    </w:rPr>
  </w:style>
  <w:style w:type="paragraph" w:styleId="TOCHeading">
    <w:name w:val="TOC Heading"/>
    <w:basedOn w:val="IndexHeading"/>
    <w:qFormat/>
    <w:pPr>
      <w:suppressLineNumbers/>
      <w:ind w:hanging="0" w:left="0"/>
    </w:pPr>
    <w:rPr>
      <w:b/>
      <w:bCs/>
      <w:sz w:val="32"/>
      <w:szCs w:val="32"/>
    </w:rPr>
  </w:style>
  <w:style w:type="paragraph" w:styleId="TOC1">
    <w:name w:val="toc 1"/>
    <w:basedOn w:val="Index"/>
    <w:pPr>
      <w:tabs>
        <w:tab w:val="clear" w:pos="709"/>
        <w:tab w:val="right" w:pos="9638" w:leader="dot"/>
      </w:tabs>
      <w:ind w:hanging="0" w:left="0"/>
    </w:pPr>
    <w:rPr/>
  </w:style>
  <w:style w:type="paragraph" w:styleId="TOC2">
    <w:name w:val="toc 2"/>
    <w:basedOn w:val="Index"/>
    <w:pPr>
      <w:tabs>
        <w:tab w:val="clear" w:pos="709"/>
        <w:tab w:val="right" w:pos="9355" w:leader="dot"/>
      </w:tabs>
      <w:ind w:hanging="0" w:left="283"/>
    </w:pPr>
    <w:rPr/>
  </w:style>
  <w:style w:type="paragraph" w:styleId="TOC3">
    <w:name w:val="toc 3"/>
    <w:basedOn w:val="Index"/>
    <w:pPr>
      <w:tabs>
        <w:tab w:val="clear" w:pos="709"/>
        <w:tab w:val="right" w:pos="9071" w:leader="dot"/>
      </w:tabs>
      <w:ind w:hanging="0" w:left="567"/>
    </w:pPr>
    <w:rPr/>
  </w:style>
  <w:style w:type="paragraph" w:styleId="Heading10">
    <w:name w:val="Heading 10"/>
    <w:basedOn w:val="Heading"/>
    <w:next w:val="BodyText"/>
    <w:qFormat/>
    <w:pPr>
      <w:numPr>
        <w:ilvl w:val="8"/>
        <w:numId w:val="1"/>
      </w:numPr>
      <w:spacing w:before="60" w:after="60"/>
      <w:outlineLvl w:val="8"/>
    </w:pPr>
    <w:rPr>
      <w:b/>
      <w:bCs/>
      <w:sz w:val="18"/>
      <w:szCs w:val="18"/>
    </w:rPr>
  </w:style>
  <w:style w:type="paragraph" w:styleId="TOC5">
    <w:name w:val="toc 5"/>
    <w:basedOn w:val="Index"/>
    <w:pPr>
      <w:tabs>
        <w:tab w:val="clear" w:pos="709"/>
        <w:tab w:val="right" w:pos="8504" w:leader="dot"/>
      </w:tabs>
      <w:ind w:hanging="0" w:left="1134"/>
    </w:pPr>
    <w:rPr/>
  </w:style>
  <w:style w:type="paragraph" w:styleId="TOC6">
    <w:name w:val="toc 6"/>
    <w:basedOn w:val="Index"/>
    <w:pPr>
      <w:tabs>
        <w:tab w:val="clear" w:pos="709"/>
        <w:tab w:val="right" w:pos="8221" w:leader="dot"/>
      </w:tabs>
      <w:ind w:hanging="0" w:left="1417"/>
    </w:pPr>
    <w:rPr/>
  </w:style>
  <w:style w:type="paragraph" w:styleId="TOC7">
    <w:name w:val="toc 7"/>
    <w:basedOn w:val="Index"/>
    <w:pPr>
      <w:tabs>
        <w:tab w:val="clear" w:pos="709"/>
        <w:tab w:val="right" w:pos="7937" w:leader="dot"/>
      </w:tabs>
      <w:ind w:hanging="0" w:left="1701"/>
    </w:pPr>
    <w:rPr/>
  </w:style>
  <w:style w:type="paragraph" w:styleId="TOC8">
    <w:name w:val="toc 8"/>
    <w:basedOn w:val="Index"/>
    <w:pPr>
      <w:tabs>
        <w:tab w:val="clear" w:pos="709"/>
        <w:tab w:val="right" w:pos="7654" w:leader="dot"/>
      </w:tabs>
      <w:ind w:hanging="0" w:left="1984"/>
    </w:pPr>
    <w:rPr/>
  </w:style>
  <w:style w:type="paragraph" w:styleId="TOC9">
    <w:name w:val="toc 9"/>
    <w:basedOn w:val="Index"/>
    <w:pPr>
      <w:tabs>
        <w:tab w:val="clear" w:pos="709"/>
        <w:tab w:val="right" w:pos="7370" w:leader="dot"/>
      </w:tabs>
      <w:ind w:hanging="0" w:left="2268"/>
    </w:pPr>
    <w:rPr/>
  </w:style>
  <w:style w:type="paragraph" w:styleId="Contents10">
    <w:name w:val="Contents 10"/>
    <w:basedOn w:val="Index"/>
    <w:qFormat/>
    <w:pPr>
      <w:tabs>
        <w:tab w:val="clear" w:pos="709"/>
        <w:tab w:val="right" w:pos="7087" w:leader="dot"/>
      </w:tabs>
      <w:ind w:hanging="0" w:left="2551"/>
    </w:pPr>
    <w:rPr/>
  </w:style>
  <w:style w:type="paragraph" w:styleId="Comment">
    <w:name w:val="Comment"/>
    <w:basedOn w:val="Normal"/>
    <w:qFormat/>
    <w:pPr>
      <w:spacing w:lineRule="auto" w:line="240" w:before="56" w:after="0"/>
      <w:ind w:hanging="0" w:left="57" w:right="57"/>
    </w:pPr>
    <w:rPr>
      <w:color w:val="auto"/>
      <w:sz w:val="20"/>
      <w:szCs w:val="20"/>
    </w:rPr>
  </w:style>
  <w:style w:type="paragraph" w:styleId="FrameContents">
    <w:name w:val="Frame Contents"/>
    <w:basedOn w:val="Normal"/>
    <w:qFormat/>
    <w:pPr/>
    <w:rPr/>
  </w:style>
  <w:style w:type="paragraph" w:styleId="TableofAuthorities">
    <w:name w:val="table of authorities"/>
    <w:basedOn w:val="IndexHeading"/>
    <w:pPr>
      <w:suppressLineNumbers/>
      <w:ind w:hanging="0" w:left="0"/>
    </w:pPr>
    <w:rPr>
      <w:b/>
      <w:bCs/>
      <w:sz w:val="32"/>
      <w:szCs w:val="32"/>
    </w:rPr>
  </w:style>
  <w:style w:type="paragraph" w:styleId="Bibliography1">
    <w:name w:val="Bibliography 1"/>
    <w:basedOn w:val="Index"/>
    <w:qFormat/>
    <w:pPr>
      <w:tabs>
        <w:tab w:val="clear" w:pos="709"/>
        <w:tab w:val="right" w:pos="9638" w:leader="dot"/>
      </w:tabs>
      <w:ind w:hanging="0" w:left="0"/>
    </w:pPr>
    <w:rPr/>
  </w:style>
  <w:style w:type="paragraph" w:styleId="Page">
    <w:name w:val="Page"/>
    <w:basedOn w:val="Normal"/>
    <w:qFormat/>
    <w:pPr>
      <w:bidi w:val="0"/>
      <w:spacing w:lineRule="auto" w:line="276"/>
      <w:jc w:val="lef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hyperlink" Target="https://techcrunch.com/2025/11/21/spacexs-upgraded-starship-suffers-explosion-during-testing/" TargetMode="External"/><Relationship Id="rId5" Type="http://schemas.openxmlformats.org/officeDocument/2006/relationships/hyperlink" Target="https://spacenews.com/indias-pslv-launch-fails-during-ascent-16-satellites-lost/" TargetMode="External"/><Relationship Id="rId6" Type="http://schemas.openxmlformats.org/officeDocument/2006/relationships/hyperlink" Target="https://nasaspacenews.com/2025/12/space-debris-danger/" TargetMode="External"/><Relationship Id="rId7" Type="http://schemas.openxmlformats.org/officeDocument/2006/relationships/hyperlink" Target="https://issnationallab.org/facilities/astrobee/" TargetMode="External"/><Relationship Id="rId8" Type="http://schemas.openxmlformats.org/officeDocument/2006/relationships/hyperlink" Target="https://www.theguardian.com/science/2019/mar/25/nasa-all-female-spacewalk-canceled-women-spacesuits" TargetMode="External"/><Relationship Id="rId9" Type="http://schemas.openxmlformats.org/officeDocument/2006/relationships/hyperlink" Target="https://www.nasa.gov/image-article/exploration-extravehicular-mobility-unit-xemu/" TargetMode="External"/><Relationship Id="rId10" Type="http://schemas.openxmlformats.org/officeDocument/2006/relationships/hyperlink" Target="https://www.nasa.gov/missions/station/iss-research/peak-performance-in-microgravity/" TargetMode="External"/><Relationship Id="rId11" Type="http://schemas.openxmlformats.org/officeDocument/2006/relationships/hyperlink" Target="https://techcrunch.com/2025/11/21/spacexs-upgraded-starship-suffers-explosion-during-testing/" TargetMode="External"/><Relationship Id="rId12" Type="http://schemas.openxmlformats.org/officeDocument/2006/relationships/hyperlink" Target="https://spacenews.com/indias-pslv-launch-fails-during-ascent-16-satellites-lost/" TargetMode="External"/><Relationship Id="rId13" Type="http://schemas.openxmlformats.org/officeDocument/2006/relationships/hyperlink" Target="https://nasaspacenews.com/2025/12/space-debris-danger/" TargetMode="External"/><Relationship Id="rId14" Type="http://schemas.openxmlformats.org/officeDocument/2006/relationships/hyperlink" Target="https://issnationallab.org/facilities/astrobee/" TargetMode="External"/><Relationship Id="rId15" Type="http://schemas.openxmlformats.org/officeDocument/2006/relationships/hyperlink" Target="https://oig.nasa.gov/news/managing-the-growing-safety-risks-of-nasas-50-year-old-spacesuit-design/" TargetMode="External"/><Relationship Id="rId16" Type="http://schemas.openxmlformats.org/officeDocument/2006/relationships/hyperlink" Target="https://www.theguardian.com/science/2019/mar/25/nasa-all-female-spacewalk-canceled-women-spacesuits" TargetMode="External"/><Relationship Id="rId17" Type="http://schemas.openxmlformats.org/officeDocument/2006/relationships/hyperlink" Target="https://www.nasa.gov/image-article/exploration-extravehicular-mobility-unit-xemu/" TargetMode="External"/><Relationship Id="rId18" Type="http://schemas.openxmlformats.org/officeDocument/2006/relationships/hyperlink" Target="https://www.nasa.gov/missions/station/iss-research/peak-performance-in-microgravity/" TargetMode="External"/><Relationship Id="rId19" Type="http://schemas.openxmlformats.org/officeDocument/2006/relationships/header" Target="header1.xml"/><Relationship Id="rId20" Type="http://schemas.openxmlformats.org/officeDocument/2006/relationships/footer" Target="footer2.xml"/><Relationship Id="rId21" Type="http://schemas.openxmlformats.org/officeDocument/2006/relationships/footer" Target="footer3.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34</TotalTime>
  <Application>LibreOffice/25.8.4.2$Linux_X86_64 LibreOffice_project/580$Build-2</Application>
  <AppVersion>15.0000</AppVersion>
  <Pages>18</Pages>
  <Words>5216</Words>
  <Characters>32723</Characters>
  <CharactersWithSpaces>37788</CharactersWithSpaces>
  <Paragraphs>291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2026-02-16T22:07:28Z</dcterms:created>
  <dc:creator/>
  <dc:description/>
  <dc:language>en-GB</dc:language>
  <cp:lastModifiedBy/>
  <dcterms:modified xsi:type="dcterms:W3CDTF">2026-02-18T15:09:26Z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