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200" w:before="0" w:lineRule="auto"/>
        <w:jc w:val="center"/>
        <w:rPr/>
      </w:pPr>
      <w:sdt>
        <w:sdtPr>
          <w:id w:val="127561276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6"/>
          <w:szCs w:val="16"/>
          <w:rtl w:val="0"/>
        </w:rPr>
        <w:t xml:space="preserve">MATERIAL PUBLICITÁRIO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before="1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40"/>
          <w:szCs w:val="40"/>
          <w:rtl w:val="0"/>
        </w:rPr>
        <w:t xml:space="preserve">U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40"/>
          <w:szCs w:val="40"/>
          <w:rtl w:val="0"/>
        </w:rPr>
        <w:t xml:space="preserve">m dos FIIs com maior DY patrimonial da bolsa está em oferta, com desconto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EXES11 ocupa o 2º lu</w:t>
      </w:r>
      <w:sdt>
        <w:sdtPr>
          <w:id w:val="137341921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gar em rendimento patrimonial entre 87 fundos de recebíveis, e agora você pode entrar pagando menos do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que a cota vale</w:t>
      </w:r>
      <w:r w:rsidDel="00000000" w:rsidR="00000000" w:rsidRPr="00000000">
        <w:rPr>
          <w:rtl w:val="0"/>
        </w:rPr>
      </w:r>
    </w:p>
    <w:tbl>
      <w:tblPr>
        <w:tblStyle w:val="Table1"/>
        <w:tblW w:w="60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90"/>
        <w:tblGridChange w:id="0">
          <w:tblGrid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c9a24b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Clique aqui para [X — destino a definir]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00" w:before="2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100"/>
        <w:gridCol w:w="3100"/>
        <w:tblGridChange w:id="0">
          <w:tblGrid>
            <w:gridCol w:w="31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200.0" w:type="dxa"/>
              <w:left w:w="150.0" w:type="dxa"/>
              <w:bottom w:w="2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e6e6e"/>
                <w:sz w:val="16"/>
                <w:szCs w:val="16"/>
                <w:rtl w:val="0"/>
              </w:rPr>
              <w:t xml:space="preserve">[ícone]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22222"/>
                <w:sz w:val="20"/>
                <w:szCs w:val="20"/>
                <w:rtl w:val="0"/>
              </w:rPr>
              <w:t xml:space="preserve">Isenção de Imposto de Renda nos rendimentos mensais para 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200.0" w:type="dxa"/>
              <w:left w:w="150.0" w:type="dxa"/>
              <w:bottom w:w="2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e6e6e"/>
                <w:sz w:val="16"/>
                <w:szCs w:val="16"/>
                <w:rtl w:val="0"/>
              </w:rPr>
              <w:t xml:space="preserve">[ícone]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22222"/>
                <w:sz w:val="20"/>
                <w:szCs w:val="20"/>
                <w:rtl w:val="0"/>
              </w:rPr>
              <w:t xml:space="preserve">15,92% de Dividend Yield patrimonial nos últimos 12 meses (data-base: jun/2026)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200.0" w:type="dxa"/>
              <w:left w:w="150.0" w:type="dxa"/>
              <w:bottom w:w="2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e6e6e"/>
                <w:sz w:val="16"/>
                <w:szCs w:val="16"/>
                <w:rtl w:val="0"/>
              </w:rPr>
              <w:t xml:space="preserve">[ícone]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22222"/>
                <w:sz w:val="20"/>
                <w:szCs w:val="20"/>
                <w:rtl w:val="0"/>
              </w:rPr>
              <w:t xml:space="preserve">2º lugar entre 87 FIIs de recebíveis em rendimento patrimonial, 13 meses seguidos no Top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"Top 10 em rendimento sobre o valor patrimonial"]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A tese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O EXES11 investe majoritariamente em crédito imobiliário estruturado (CRIs), com garantias reais e monitoramento independente. A carteira é majoritariamente originada e estruturada pela própria gestora, o que dá mais controle sobre os termos de cada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72% da carteira </w:t>
      </w: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de crédito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estruturada pela própria Éxes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52% de LTV médio ponderado das operaç</w:t>
      </w: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ões com garantia real, conforme o estudo de viabilidade.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19 meses consecutivos de distribuição no mesmo patamar (R$ 0,13 por cota)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Prestes a completar </w:t>
      </w: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anos de negociação na bolsa</w:t>
      </w: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"A tese de investimento em quatro pilares"] e [slide "O EXES11 em números"]</w:t>
      </w:r>
      <w:r w:rsidDel="00000000" w:rsidR="00000000" w:rsidRPr="00000000">
        <w:rPr>
          <w:rtl w:val="0"/>
        </w:rPr>
      </w:r>
    </w:p>
    <w:tbl>
      <w:tblPr>
        <w:tblStyle w:val="Table3"/>
        <w:tblW w:w="5430.0" w:type="dxa"/>
        <w:jc w:val="left"/>
        <w:tblBorders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tblGridChange w:id="0">
          <w:tblGrid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[gráfico: Histórico de rendimentos, dividend yield mensal isento e bruto equivalente, jul/2024 a jul/2026 — slide "Histórico de rendimentos"]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370.0" w:type="dxa"/>
        <w:jc w:val="left"/>
        <w:tblBorders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[gráfico: Retorno total acumulado, EXES11 x IFIX x IPCA, base 100, jun/22 a jul/26 — slide "Cronograma indicativo"] — EXES11 +61,6% / IFIX +33,0% / IPCA +18,6%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A carteira em números</w:t>
      </w:r>
      <w:r w:rsidDel="00000000" w:rsidR="00000000" w:rsidRPr="00000000">
        <w:rPr>
          <w:rtl w:val="0"/>
        </w:rPr>
      </w:r>
    </w:p>
    <w:tbl>
      <w:tblPr>
        <w:tblStyle w:val="Table5"/>
        <w:tblW w:w="6450.0" w:type="dxa"/>
        <w:jc w:val="left"/>
        <w:tblBorders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0"/>
        <w:tblGridChange w:id="0">
          <w:tblGrid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[gráfico: Concentração por operação (% do PL) e LTV por operação (%) — slide "Concentração e cobertura de garantias"]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19 operações na carteira, R$ 136,5 milhões de patrimônio líquido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Maior exposição </w:t>
      </w: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de crédito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: 7,15% do patrimônio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Diversificação setorial: incorporação residencial, educacional, varejo essencial, lajes comerciais, energia, entre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"O EXES11 em números"] e [slide "Diversificação setorial"]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9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30"/>
        <w:tblGridChange w:id="0">
          <w:tblGrid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c9a24b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Clique aqui para [X — destino a definir]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300" w:before="8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6"/>
          <w:szCs w:val="16"/>
          <w:rtl w:val="0"/>
        </w:rPr>
        <w:t xml:space="preserve">[botão — mesmo destino do CTA principal]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Empresas que o EXES11 ajuda a financiar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8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O EXES11 investe em operações de crédito imobiliário que contam com garantias e coobrigações de empresas de peso:</w:t>
      </w: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100"/>
        <w:gridCol w:w="3100"/>
        <w:tblGridChange w:id="0">
          <w:tblGrid>
            <w:gridCol w:w="31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250.0" w:type="dxa"/>
              <w:left w:w="100.0" w:type="dxa"/>
              <w:bottom w:w="2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[logo Cyrela]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250.0" w:type="dxa"/>
              <w:left w:w="100.0" w:type="dxa"/>
              <w:bottom w:w="2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[logo São Carlos]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250.0" w:type="dxa"/>
              <w:left w:w="100.0" w:type="dxa"/>
              <w:bottom w:w="2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[logo Ânima]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"Carteira detida"]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240" w:lineRule="auto"/>
        <w:ind w:left="600" w:right="600" w:firstLine="0"/>
        <w:rPr/>
      </w:pPr>
      <w:bookmarkStart w:colFirst="0" w:colLast="0" w:name="_heading=h.vxuosmxku70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Projeção do Estudo de Viabilidade para os próximos 5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8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A gestora elaborou, no Estudo de Viabilidade, uma projeção de rentabilidade para os próximos 5 anos do EXES11, considerando a carteira atual, sem depender de captação de recursos novos</w:t>
      </w:r>
      <w:r w:rsidDel="00000000" w:rsidR="00000000" w:rsidRPr="00000000">
        <w:rPr>
          <w:rtl w:val="0"/>
        </w:rPr>
      </w:r>
    </w:p>
    <w:tbl>
      <w:tblPr>
        <w:tblStyle w:val="Table8"/>
        <w:tblW w:w="7575.0" w:type="dxa"/>
        <w:jc w:val="left"/>
        <w:tblBorders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75"/>
        <w:tblGridChange w:id="0">
          <w:tblGrid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[gráfico: Yield em percentual do CDI, cenário base, Ano 1 a Ano 5 — slide "Estudo de viabilidade"]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before="15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Cenário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TIR projetada de cinco anos: 14,74% ao ano (equivalente a CDI + 3,40%)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 primeiro ano, dividend yield de 15,81%, ou 18,60% se comparado a uma aplicação tributada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90.0" w:type="dxa"/>
        <w:jc w:val="left"/>
        <w:tblBorders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[gráfico: Yield em percentual do CDI, cenário conservador, Ano 1 a Ano 5 — slide "Estudo de viabilidade — cenário conservador"]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15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Cenário conservador (considerando inadimplência de 3,22% da carteira e execução de garantias):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Retorno total projetado de 14,55% ao ano (equivalente a CDI + 3,23%)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Mesmo com perdas simuladas, a distribuição no primeiro ano cai R$ 0,01 por cota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5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Importante: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isso é uma projeção baseada em simulações, feita pela própria gestora, e não é garantia de rentabilidade futura. Os resultados reais podem ser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"Estudo de viabilidade" e "Estudo de viabilidade — cenário conservador"]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8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5"/>
        <w:tblGridChange w:id="0">
          <w:tblGrid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c9a24b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Clique aqui para [X — destino a definir]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300" w:before="8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6"/>
          <w:szCs w:val="16"/>
          <w:rtl w:val="0"/>
        </w:rPr>
        <w:t xml:space="preserve">[botão — mesmo destino do CTA principal]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Cronograma da oferta</w:t>
      </w:r>
      <w:r w:rsidDel="00000000" w:rsidR="00000000" w:rsidRPr="00000000">
        <w:rPr>
          <w:rtl w:val="0"/>
        </w:rPr>
      </w:r>
    </w:p>
    <w:tbl>
      <w:tblPr>
        <w:tblStyle w:val="Table11"/>
        <w:tblW w:w="7185.0" w:type="dxa"/>
        <w:jc w:val="left"/>
        <w:tblBorders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5"/>
        <w:tblGridChange w:id="0">
          <w:tblGrid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[design: manter dobra de cronograma, padrão já usado em outras ofertas]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27/08/2026: Aviso ao Mercado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02/09/2026: Registro automático na CVM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04/09/2026: Início do Período de Aquisição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16/09/2026: Encerramento do Período de Aquisição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17/09/2026: Procedimento de Alocação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23/09/2026: Data de Liquidação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"Cronograma indicativo"]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A gestora responsável pelo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8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O EXES11 é gerido pela Éxes Gestora de Recursos, especializada em fundos de crédito privado, fundada por profissionais com mais de 20 anos de mercado financeiro e de capitais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23 fundos de investimento sob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Mais de R$ 2 bilhões em ativos sob gestão (AuM)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Mais de 20 anos de experiência </w:t>
      </w: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individual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da equipe fundadora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Fonte: [slide "Somos uma GESTORA de fundos de investimentos de crédito privado"]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621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10"/>
        <w:tblGridChange w:id="0">
          <w:tblGrid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c9a24b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Clique aqui para [X — destino a definir]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300" w:before="8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6"/>
          <w:szCs w:val="16"/>
          <w:rtl w:val="0"/>
        </w:rPr>
        <w:t xml:space="preserve">[botão — mesmo destino do CTA principal]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Fatores de risco (resumo 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8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Risco de crédito; riscos macroeconômicos relevantes; riscos relativos ao setor imobiliário; risco de execução das garantias atreladas aos CRI; riscos relacionados ao investimento em valores mobiliários; riscos relacionados aos créditos que lastreiam os CRI; risco de mercado dos Ativos da Classe; riscos tributários; entre outros descritos, em ordem decrescente de relevância, na seção "Fatores de Risco" do Prospecto.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LEIA O PROSPECTO, A LÂMINA E O REGULAMENTO DO FUNDO ANTES DE ACEITAR A OFERTA, EM ESPECIAL A SEÇÃO "FATORES DE RISCO".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Rodapé geral / links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8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2"/>
          <w:szCs w:val="22"/>
          <w:rtl w:val="0"/>
        </w:rPr>
        <w:t xml:space="preserve">Os Investidores poderão encontrar o Prospecto Definitivo, os anúncios e comunicados da Oferta e quaisquer outras informações referentes à Oferta nas páginas da rede mundial de computadores da Administradora, da Gestora, do Coordenador Líder e da CVM, indicados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Coordenador Líder e Administrador: BTG Pactual Serviços Financeiros S.A. DTVM — www.btgpactual.com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Gestor: Éxes Gestora de Recursos Ltda. — www.exes.com.br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Assessor Legal: PMK Advogados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CVM: www.gov.br/cvm/pt-br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5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e6e6e"/>
          <w:sz w:val="18"/>
          <w:szCs w:val="18"/>
          <w:rtl w:val="0"/>
        </w:rPr>
        <w:t xml:space="preserve">Disclaimer padrão a inserir (adaptar do modelo já usado em outras ofertas Suno): expectativa de rentabilidade não representa promessa nem garantia; fundo não conta com garantia do FGC; recomenda-se a leitura do Regulamento e do Prospecto, com atenção à seção de Fatores de Risco, antes de investir.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cccccc" w:space="1" w:sz="6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5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Pendências em aberto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Destino dos botões CTA (marcado como "[X]" em todas as ocorrências)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Landing page de assessor (taxa de distribuição e taxa de rebate) segue travada até confirmação dos dados comerciais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xes investimentos marketing" w:id="0" w:date="2026-09-03T17:07:48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ontes ausentes/incorretas: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de retorno acumulado - a fonte está atribuída ao slide "Cronograma indicativo". A fonte correta, conforme o próprio Material Publicitário, é Éxes, Mais Retorno e B3.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 do topo e ranking - falta a fonte do ranking: Comdinheiro, universo de 87 FIIs de recebíveis, data-base junho/2026.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Números da gestora (23 fundos, R$ 2 bi de AuM) - falta a data-base junho/2026, que consta do Material Publicitário.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Carteira e patrimônio líquido - falta a data-base 31/07/2026.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rendimentos - falta a fonte (BTG Pactual Serviços Financeiros S.A. DTVM, DRE gerencial em regime de caixa; apuração da Éxes).</w:t>
      </w:r>
    </w:p>
  </w:comment>
  <w:comment w:author="exes investimentos marketing" w:id="1" w:date="2026-09-03T17:08:20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Disclaimers faltando: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Rentabilidade passada - ausente nos dois gráficos, nos badges e no bloco dos 19 meses: "a rentabilidade passada não representa garantia de rentabilidade futura";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Rentabilidade não líquida de impostos - "a rentabilidade divulgada não é líquida de impostos, excetuados os rendimentos distribuídos para pessoas físicas", exigida junto ao gráfico de retorno acumulado;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 alta obrigatória - "AS INFORMAÇÕES PRESENTES NESTE MATERIAL SÃO BASEADAS EM SIMULAÇÕES E OS RESULTADOS REAIS PODERÃO SER SIGNIFICATIVAMENTE DIFERENTES", exigida nos blocos de projeção;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Natureza do material - falta: "este documento é um material publicitário e contém apenas um resumo das informações constantes dos documentos da Oferta, com os quais não se confunde"; a identificação da Éxes Gestora como elaboradora; e a vedação de reprodução ou distribuição sem consentimento prévio;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"Leia o Prospecto..." - aparece uma única vez, ao final. Nos documentos da oferta a legenda consta de todas as páginas; recomendável repetir por dobra, assim como a marca "MATERIAL PUBLICITÁRIO";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 de fatores de risco - os itens listados estão todos nos documentos, mas o resumo não inclui o risco do Estudo de Viabilidade nem o risco de mercado das cotas, e a página é construída sobre projeções e sobre um argumento de deságio. Falta também a ressalva de que a descrição não é exaustiva.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Alterações: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"empresas de peso" - juízo de valor sem correspondência nos documentos;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"operações diretas" e "experiência combinada" - expressões que não constam dos documentos e alteram o sentido do que consta;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Rodapé de divulgação - omite a B3 e o Fundos.NET.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5" w15:done="0"/>
  <w15:commentEx w15:paraId="0000007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nYdg2PUrz72VqpkhNuE5TtuRQ==">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2026-09-01T14:58:19.154Z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