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Alegreya" w:cs="Alegreya" w:eastAsia="Alegreya" w:hAnsi="Alegreya"/>
          <w:sz w:val="48"/>
          <w:szCs w:val="48"/>
        </w:rPr>
      </w:pPr>
      <w:r w:rsidDel="00000000" w:rsidR="00000000" w:rsidRPr="00000000">
        <w:rPr>
          <w:rFonts w:ascii="Alegreya" w:cs="Alegreya" w:eastAsia="Alegreya" w:hAnsi="Alegreya"/>
          <w:sz w:val="48"/>
          <w:szCs w:val="48"/>
          <w:rtl w:val="0"/>
        </w:rPr>
        <w:t xml:space="preserve">User Manual </w:t>
      </w:r>
    </w:p>
    <w:p w:rsidR="00000000" w:rsidDel="00000000" w:rsidP="00000000" w:rsidRDefault="00000000" w:rsidRPr="00000000">
      <w:pPr>
        <w:contextualSpacing w:val="0"/>
        <w:jc w:val="left"/>
        <w:rPr>
          <w:rFonts w:ascii="Alegreya" w:cs="Alegreya" w:eastAsia="Alegreya" w:hAnsi="Alegreya"/>
          <w:sz w:val="48"/>
          <w:szCs w:val="48"/>
        </w:rPr>
      </w:pPr>
      <w:r w:rsidDel="00000000" w:rsidR="00000000" w:rsidRPr="00000000">
        <w:rPr>
          <w:rtl w:val="0"/>
        </w:rPr>
      </w:r>
    </w:p>
    <w:p w:rsidR="00000000" w:rsidDel="00000000" w:rsidP="00000000" w:rsidRDefault="00000000" w:rsidRPr="00000000">
      <w:pPr>
        <w:contextualSpacing w:val="0"/>
        <w:rPr>
          <w:rFonts w:ascii="Alegreya" w:cs="Alegreya" w:eastAsia="Alegreya" w:hAnsi="Alegreya"/>
          <w:sz w:val="24"/>
          <w:szCs w:val="24"/>
        </w:rPr>
      </w:pPr>
      <w:r w:rsidDel="00000000" w:rsidR="00000000" w:rsidRPr="00000000">
        <w:rPr>
          <w:rFonts w:ascii="Alegreya" w:cs="Alegreya" w:eastAsia="Alegreya" w:hAnsi="Alegreya"/>
          <w:b w:val="1"/>
          <w:sz w:val="28"/>
          <w:szCs w:val="28"/>
          <w:rtl w:val="0"/>
        </w:rPr>
        <w:t xml:space="preserve">Description</w:t>
      </w:r>
      <w:r w:rsidDel="00000000" w:rsidR="00000000" w:rsidRPr="00000000">
        <w:rPr>
          <w:rtl w:val="0"/>
        </w:rPr>
      </w:r>
    </w:p>
    <w:p w:rsidR="00000000" w:rsidDel="00000000" w:rsidP="00000000" w:rsidRDefault="00000000" w:rsidRPr="00000000">
      <w:pPr>
        <w:contextualSpacing w:val="0"/>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Navigate the mazes of York University to defeat the evil lecturers within (and hopefully pass your degree in the process!)</w:t>
      </w:r>
    </w:p>
    <w:p w:rsidR="00000000" w:rsidDel="00000000" w:rsidP="00000000" w:rsidRDefault="00000000" w:rsidRPr="00000000">
      <w:pP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contextualSpacing w:val="0"/>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Once you reach a lecture at the bottom of the labyrinth defend yourself against the surprise essays and reading that isn’t in the reading list nor in the library. Just because you have to move in turns doesn’t mean they have to. </w:t>
      </w:r>
    </w:p>
    <w:p w:rsidR="00000000" w:rsidDel="00000000" w:rsidP="00000000" w:rsidRDefault="00000000" w:rsidRPr="00000000">
      <w:pPr>
        <w:contextualSpacing w:val="0"/>
        <w:rPr>
          <w:rFonts w:ascii="Alegreya" w:cs="Alegreya" w:eastAsia="Alegreya" w:hAnsi="Alegreya"/>
          <w:b w:val="1"/>
          <w:sz w:val="28"/>
          <w:szCs w:val="28"/>
        </w:rPr>
      </w:pPr>
      <w:r w:rsidDel="00000000" w:rsidR="00000000" w:rsidRPr="00000000">
        <w:rPr>
          <w:rFonts w:ascii="Alegreya" w:cs="Alegreya" w:eastAsia="Alegreya" w:hAnsi="Alegreya"/>
          <w:b w:val="1"/>
          <w:sz w:val="28"/>
          <w:szCs w:val="28"/>
          <w:rtl w:val="0"/>
        </w:rPr>
        <w:t xml:space="preserve">Controls</w:t>
      </w:r>
    </w:p>
    <w:p w:rsidR="00000000" w:rsidDel="00000000" w:rsidP="00000000" w:rsidRDefault="00000000" w:rsidRPr="00000000">
      <w:pPr>
        <w:contextualSpacing w:val="0"/>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“A” to move left “D” to move right “W” to enter doors.</w:t>
      </w:r>
    </w:p>
    <w:p w:rsidR="00000000" w:rsidDel="00000000" w:rsidP="00000000" w:rsidRDefault="00000000" w:rsidRPr="00000000">
      <w:pP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contextualSpacing w:val="0"/>
        <w:rPr>
          <w:rFonts w:ascii="Alegreya" w:cs="Alegreya" w:eastAsia="Alegreya" w:hAnsi="Alegreya"/>
          <w:b w:val="1"/>
          <w:sz w:val="28"/>
          <w:szCs w:val="28"/>
        </w:rPr>
      </w:pPr>
      <w:r w:rsidDel="00000000" w:rsidR="00000000" w:rsidRPr="00000000">
        <w:rPr>
          <w:rFonts w:ascii="Alegreya" w:cs="Alegreya" w:eastAsia="Alegreya" w:hAnsi="Alegreya"/>
          <w:b w:val="1"/>
          <w:sz w:val="28"/>
          <w:szCs w:val="28"/>
          <w:rtl w:val="0"/>
        </w:rPr>
        <w:t xml:space="preserve">Combat</w:t>
      </w:r>
    </w:p>
    <w:p w:rsidR="00000000" w:rsidDel="00000000" w:rsidP="00000000" w:rsidRDefault="00000000" w:rsidRPr="00000000">
      <w:pPr>
        <w:contextualSpacing w:val="0"/>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Select your defender and use Space to activate their shield. But be careful each shield only covers specific subject areas so you’ll have to use timing and team work to defeat your foes.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