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팝업 순차 전달 API 정의서</w:t>
      </w:r>
    </w:p>
    <w:p>
      <w:r>
        <w:t>제안 버전 0.3 | 2026년 10월 13일 | 검토 대상 서버 및 WPF 클라이언트</w:t>
      </w:r>
    </w:p>
    <w:p>
      <w:r>
        <w:t>로그인, 팝업 조회, 결과 수신을 세 가지 API로 분리한다. 클라이언트는 팝업 한 건을 표시하고 처리 결과 한 건을 제출한다. 서버는 결과 저장 처리 상태와 후속 후보 유무를 반환한다. 저장 처리 성공 후 nextStatus가 AVAILABLE이면 즉시 조회하고, EMPTY이면 가장 최근 pollingIntervalSeconds만큼 대기한다. 실제 팝업은 조회 API가 현재 게시 조건을 다시 확인하여 반환한다.</w:t>
      </w:r>
    </w:p>
    <w:p>
      <w:r>
        <w:t>이번 개정은 확정된 API 분리와 정상 흐름만 반영한다. 장애 시 누적 결과의 처리 순서와 전송 방식, 종료·재부팅 시 보존 정책은 주간회의 의사결정 후 반영한다. 실제 URL, 인증 세부 필드와 결과 필드 매핑은 기존 계약과 대조할 제안 사항이다.</w:t>
      </w:r>
    </w:p>
    <w:p>
      <w:pPr>
        <w:pStyle w:val="Heading1"/>
      </w:pPr>
      <w:r>
        <w:t>1 확정된 구성과 변경 범위</w:t>
      </w:r>
    </w:p>
    <w:tbl>
      <w:tblPr>
        <w:tblW w:type="auto" w:w="0"/>
        <w:tblLayout w:type="fixed"/>
        <w:tblLook w:firstColumn="1" w:firstRow="1" w:lastColumn="0" w:lastRow="0" w:noHBand="0" w:noVBand="1" w:val="04A0"/>
      </w:tblPr>
      <w:tblGrid>
        <w:gridCol w:w="1584"/>
        <w:gridCol w:w="3888"/>
        <w:gridCol w:w="4608"/>
      </w:tblGrid>
      <w:tr>
        <w:trPr>
          <w:tblHeader/>
        </w:trPr>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구분</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역할</w:t>
            </w:r>
          </w:p>
        </w:tc>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반환 내용</w:t>
            </w:r>
          </w:p>
        </w:tc>
      </w:tr>
      <w:tr>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1 로그인</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인증 및 토큰 발급</w:t>
            </w:r>
          </w:p>
        </w:tc>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토큰 및 기존 인증 정보</w:t>
            </w:r>
          </w:p>
        </w:tc>
      </w:tr>
      <w:tr>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2 팝업 조회</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현재 표시 가능한 팝업 최대 1건 선정</w:t>
            </w:r>
          </w:p>
        </w:tc>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조회 설정과 팝업 객체 또는 null</w:t>
            </w:r>
          </w:p>
        </w:tc>
      </w:tr>
      <w:tr>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3 결과 수신</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현재 팝업 처리 결과 1건 저장</w:t>
            </w:r>
          </w:p>
        </w:tc>
        <w:tc>
          <w:tcPr>
            <w:tcW w:type="dxa" w:w="4608"/>
            <w:tcBorders>
              <w:top w:val="single" w:sz="4" w:color="D9D9D9"/>
              <w:left w:val="single" w:sz="4" w:color="D9D9D9"/>
              <w:bottom w:val="single" w:sz="4" w:color="D9D9D9"/>
              <w:right w:val="single" w:sz="4" w:color="D9D9D9"/>
            </w:tcBorders>
            <w:tcMar>
              <w:top w:w="85" w:type="dxa"/>
              <w:left w:w="85" w:type="dxa"/>
              <w:bottom w:w="85" w:type="dxa"/>
              <w:right w:w="85" w:type="dxa"/>
            </w:tcMar>
          </w:tcPr>
          <w:p>
            <w:r>
              <w:t>결과 처리 status와 후속 후보 nextStatus</w:t>
            </w:r>
          </w:p>
        </w:tc>
      </w:tr>
    </w:tbl>
    <w:p>
      <w:r/>
    </w:p>
    <w:p>
      <w:pPr>
        <w:pStyle w:val="Heading2"/>
      </w:pPr>
      <w:r>
        <w:t>정상 처리 순서</w:t>
      </w:r>
    </w:p>
    <w:p>
      <w:r>
        <w:t>로그인 → 조회 → 팝업 표시 → 닫기 또는 제출 → 결과 수신 API 호출 → 저장 처리 성공 확인 → nextStatus 확인. AVAILABLE이면 즉시 조회하고, EMPTY이면 최신 pollingIntervalSeconds 이후 조회한다. 최초 조회 또는 후속 조회에서 popup=null이면 동일하게 폴링 대기한다.</w:t>
      </w:r>
    </w:p>
    <w:p>
      <w:r>
        <w:t>토큰 만료 시 로그인 후 실패했던 API를 다시 호출한다. 결과 제출 중 만료되면 해당 결과와 식별자를 보존하고 결과 제출부터 재시도한다. 조회부터 시작하여 미제출 결과를 건너뛰지 않는다.</w:t>
      </w:r>
    </w:p>
    <w:p>
      <w:pPr>
        <w:pStyle w:val="Heading2"/>
      </w:pPr>
      <w:r>
        <w:t>이전 제안에서 변경된 부분</w:t>
      </w:r>
    </w:p>
    <w:p>
      <w:r>
        <w:t>결과 API는 팝업 콘텐츠를 반환하지 않는다. RESULT_RESPONSE는 기존 처리 status와 후속 후보 유무 nextStatus를 반환한다. 조회 응답에는 nextStatus를 포함하지 않고 pollingIntervalSeconds와 단건 popup 객체 또는 null을 제공한다. 기존 nextPopup 필드명은 popup으로 변경한다. 다음 조회용 retryAfterSeconds는 이번 정상 계약에 추가하지 않는다.</w:t>
      </w:r>
    </w:p>
    <w:p>
      <w:r>
        <w:t>단건 순차 표시이므로 displayOrder는 클라이언트 전달 항목에서 제외하며 정렬은 서버가 수행한다. 이미 표시된 팝업의 강제 회수와 실시간 푸시는 이번 범위에 포함하지 않는다.</w:t>
      </w:r>
    </w:p>
    <w:p>
      <w:r/>
    </w:p>
    <w:p>
      <w:pPr>
        <w:pStyle w:val="Heading1"/>
      </w:pPr>
      <w:r>
        <w:t>2 로그인 및 팝업 조회</w:t>
      </w:r>
    </w:p>
    <w:p>
      <w:pPr>
        <w:pStyle w:val="Heading2"/>
      </w:pPr>
      <w:r>
        <w:t>API 경로 예시</w:t>
      </w:r>
    </w:p>
    <w:tbl>
      <w:tblPr>
        <w:tblW w:type="auto" w:w="0"/>
        <w:tblLayout w:type="fixed"/>
        <w:tblLook w:firstColumn="1" w:firstRow="1" w:lastColumn="0" w:lastRow="0" w:noHBand="0" w:noVBand="1" w:val="04A0"/>
      </w:tblPr>
      <w:tblGrid>
        <w:gridCol w:w="936"/>
        <w:gridCol w:w="4680"/>
        <w:gridCol w:w="4464"/>
      </w:tblGrid>
      <w:tr>
        <w:trPr>
          <w:tblHeader/>
        </w:trP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Method</w:t>
            </w:r>
          </w:p>
        </w:tc>
        <w:tc>
          <w:tcPr>
            <w:tcW w:type="dxa" w:w="4680"/>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경로 가칭</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용도</w:t>
            </w:r>
          </w:p>
        </w:tc>
      </w:tr>
      <w:t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POST</w:t>
            </w:r>
          </w:p>
        </w:tc>
        <w:tc>
          <w:tcPr>
            <w:tcW w:type="dxa" w:w="46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/api/v1/auth/login</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로그인 및 토큰 재발급</w:t>
            </w:r>
          </w:p>
        </w:tc>
      </w:tr>
      <w:t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POST</w:t>
            </w:r>
          </w:p>
        </w:tc>
        <w:tc>
          <w:tcPr>
            <w:tcW w:type="dxa" w:w="46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/api/v1/popups/next</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최초 조회 및 이후 단건 조회</w:t>
            </w:r>
          </w:p>
        </w:tc>
      </w:tr>
      <w:tr>
        <w:tc>
          <w:tcPr>
            <w:tcW w:type="dxa" w:w="9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POST</w:t>
            </w:r>
          </w:p>
        </w:tc>
        <w:tc>
          <w:tcPr>
            <w:tcW w:type="dxa" w:w="46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/api/v1/popups/results</w:t>
            </w:r>
          </w:p>
        </w:tc>
        <w:tc>
          <w:tcPr>
            <w:tcW w:type="dxa" w:w="446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결과 단건 수신</w:t>
            </w:r>
          </w:p>
        </w:tc>
      </w:tr>
    </w:tbl>
    <w:p>
      <w:r/>
    </w:p>
    <w:p>
      <w:r>
        <w:t>위 경로와 Method는 문서 예시다. 로그인 요청·응답은 기존 인증 계약을 재사용하며, 본 개정에서 새로운 로그인 필드를 확정하지 않는다. 조회와 결과 요청은 발급된 토큰을 사용한다. 사용자 식별은 인증 정보에서 결정한다. 조회 응답 필드 popup 변경은 URL /next 변경을 의미하지 않는다. 경로는 별도 확정한다.</w:t>
      </w:r>
    </w:p>
    <w:p>
      <w:pPr>
        <w:pStyle w:val="Heading2"/>
      </w:pPr>
      <w:r>
        <w:t>조회 요청과 응답 필드</w:t>
      </w:r>
    </w:p>
    <w:p>
      <w:r>
        <w:t>조회 요청의 최소 본문 예시는 {}다. 기존 필수 식별자가 있다면 유지한다. 전달 건 생성·재사용이 있어 조회 Method를 POST로 제안한다.</w:t>
      </w:r>
    </w:p>
    <w:tbl>
      <w:tblPr>
        <w:tblW w:type="auto" w:w="0"/>
        <w:tblLayout w:type="fixed"/>
        <w:tblLook w:firstColumn="1" w:firstRow="1" w:lastColumn="0" w:lastRow="0" w:noHBand="0" w:noVBand="1" w:val="04A0"/>
      </w:tblPr>
      <w:tblGrid>
        <w:gridCol w:w="3096"/>
        <w:gridCol w:w="1584"/>
        <w:gridCol w:w="5400"/>
      </w:tblGrid>
      <w:tr>
        <w:trPr>
          <w:tblHeader/>
        </w:trP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필드</w:t>
            </w:r>
          </w:p>
        </w:tc>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타입</w:t>
            </w:r>
          </w:p>
        </w:tc>
        <w:tc>
          <w:tcPr>
            <w:tcW w:type="dxa" w:w="5400"/>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설명</w:t>
            </w:r>
          </w:p>
        </w:tc>
      </w:tr>
      <w:t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pollingIntervalSeconds</w:t>
            </w:r>
          </w:p>
        </w:tc>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integer</w:t>
            </w:r>
          </w:p>
        </w:tc>
        <w:tc>
          <w:tcPr>
            <w:tcW w:type="dxa" w:w="54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유휴 조회 간격. 초 단위 양의 정수</w:t>
            </w:r>
          </w:p>
        </w:tc>
      </w:tr>
      <w:t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popup</w:t>
            </w:r>
          </w:p>
        </w:tc>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object / null</w:t>
            </w:r>
          </w:p>
        </w:tc>
        <w:tc>
          <w:tcPr>
            <w:tcW w:type="dxa" w:w="54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표시 대상 단일 객체. 대상 없으면 null</w:t>
            </w:r>
          </w:p>
        </w:tc>
      </w:tr>
      <w:tr>
        <w:tc>
          <w:tcPr>
            <w:tcW w:type="dxa" w:w="30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popup.deliveryId</w:t>
            </w:r>
          </w:p>
        </w:tc>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string</w:t>
            </w:r>
          </w:p>
        </w:tc>
        <w:tc>
          <w:tcPr>
            <w:tcW w:type="dxa" w:w="54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팝업 존재 시 필수. 서버 발급 전달 건 ID</w:t>
            </w:r>
          </w:p>
        </w:tc>
      </w:tr>
    </w:tbl>
    <w:p>
      <w:r/>
    </w:p>
    <w:p>
      <w:r>
        <w:t>pollingIntervalSeconds는 매 조회 응답에 포함하며 클라이언트는 최신 값을 반영한다. 조회 응답에는 nextStatus와 userId를 포함하지 않는다. popup 객체가 있으면 표시하고 null이면 폴링 대기한다. 조회 장애는 정상적인 popup=null과 구분한다.</w:t>
      </w:r>
    </w:p>
    <w:p>
      <w:pPr>
        <w:spacing w:line="240" w:lineRule="exact" w:after="140"/>
      </w:pPr>
      <w:r>
        <w:rPr>
          <w:sz w:val="18"/>
        </w:rPr>
        <w:t>{</w:t>
        <w:br/>
        <w:t xml:space="preserve">  "pollingIntervalSeconds": 1800,</w:t>
        <w:br/>
        <w:t xml:space="preserve">  "popup": {</w:t>
        <w:br/>
        <w:t xml:space="preserve">    "deliveryId": "DLV-0001",</w:t>
        <w:br/>
        <w:t xml:space="preserve">    "popupId": "TEXT-001",</w:t>
        <w:br/>
        <w:t xml:space="preserve">    "popupType": "TEXT",</w:t>
        <w:br/>
        <w:t xml:space="preserve">    "title": "업무 안내",</w:t>
        <w:br/>
        <w:t xml:space="preserve">    "width": 900,</w:t>
        <w:br/>
        <w:t xml:space="preserve">    "height": 620,</w:t>
        <w:br/>
        <w:t xml:space="preserve">    "content": {</w:t>
        <w:br/>
        <w:t xml:space="preserve">      "plainText": "변경된 업무 안내를 확인해 주세요."</w:t>
        <w:br/>
        <w:t xml:space="preserve">    },</w:t>
        <w:br/>
        <w:t xml:space="preserve">    "questions": []</w:t>
        <w:br/>
        <w:t xml:space="preserve">  }</w:t>
        <w:br/>
        <w:t>}</w:t>
      </w:r>
    </w:p>
    <w:p>
      <w:r>
        <w:t>팝업이 없으면 { "pollingIntervalSeconds": 1800, "popup": null }을 반환한다. 1800초는 예시다. questions는 popup 내부에 위치한다. 최초 로그인 이후와 결과 저장 이후 모두 같은 조회 응답을 사용한다. 콘텐츠 필드와 표시 옵션은 기존 유형별 계약을 따른다.</w:t>
      </w:r>
    </w:p>
    <w:p>
      <w:r/>
    </w:p>
    <w:p>
      <w:pPr>
        <w:pStyle w:val="Heading1"/>
      </w:pPr>
      <w:r>
        <w:t>3 결과 수신 요청</w:t>
      </w:r>
    </w:p>
    <w:p>
      <w:r>
        <w:t>POST /api/v1/popups/results | Authorization: Bearer &lt;token&gt;</w:t>
      </w:r>
    </w:p>
    <w:p>
      <w:r>
        <w:t>정상 흐름에서는 결과 객체 한 건을 제출한다. 장애 시 누적 결과를 배열로 일괄 제출할 수 있는지는 결정 대기다. 아래 필드는 이전 제안의 예시를 유지하며 실제 기존 RESULT_REQUEST와 최종 매핑해야 한다.</w:t>
      </w:r>
    </w:p>
    <w:tbl>
      <w:tblPr>
        <w:tblW w:type="auto" w:w="0"/>
        <w:tblLayout w:type="fixed"/>
        <w:tblLook w:firstColumn="1" w:firstRow="1" w:lastColumn="0" w:lastRow="0" w:noHBand="0" w:noVBand="1" w:val="04A0"/>
      </w:tblPr>
      <w:tblGrid>
        <w:gridCol w:w="3240"/>
        <w:gridCol w:w="648"/>
        <w:gridCol w:w="6192"/>
      </w:tblGrid>
      <w:tr>
        <w:trPr>
          <w:tblHeader/>
        </w:trP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필드</w:t>
            </w:r>
          </w:p>
        </w:tc>
        <w:tc>
          <w:tcPr>
            <w:tcW w:type="dxa" w:w="648"/>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필수</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설명</w:t>
            </w:r>
          </w:p>
        </w:tc>
      </w:tr>
      <w:t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resultId</w:t>
            </w:r>
          </w:p>
        </w:tc>
        <w:tc>
          <w:tcPr>
            <w:tcW w:type="dxa" w:w="6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Y</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클라이언트 생성 UUID. 동일 결과 재전송 시 유지</w:t>
            </w:r>
          </w:p>
        </w:tc>
      </w:tr>
      <w:t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deliveryId</w:t>
            </w:r>
          </w:p>
        </w:tc>
        <w:tc>
          <w:tcPr>
            <w:tcW w:type="dxa" w:w="6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Y</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조회 응답에서 받은 전달 건 ID를 그대로 반환</w:t>
            </w:r>
          </w:p>
        </w:tc>
      </w:tr>
      <w:t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popupId</w:t>
            </w:r>
          </w:p>
        </w:tc>
        <w:tc>
          <w:tcPr>
            <w:tcW w:type="dxa" w:w="6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Y</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해당 전달 건의 팝업 ID. 서버에서 일치 검증</w:t>
            </w:r>
          </w:p>
        </w:tc>
      </w:tr>
      <w:t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action</w:t>
            </w:r>
          </w:p>
        </w:tc>
        <w:tc>
          <w:tcPr>
            <w:tcW w:type="dxa" w:w="6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Y</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CLOSE 또는 SUBMIT</w:t>
            </w:r>
          </w:p>
        </w:tc>
      </w:tr>
      <w:t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displayedAt</w:t>
            </w:r>
          </w:p>
        </w:tc>
        <w:tc>
          <w:tcPr>
            <w:tcW w:type="dxa" w:w="6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Y</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실제 표시 시각. 동일 결과 재전송 시 유지</w:t>
            </w:r>
          </w:p>
        </w:tc>
      </w:tr>
      <w:t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completedAt</w:t>
            </w:r>
          </w:p>
        </w:tc>
        <w:tc>
          <w:tcPr>
            <w:tcW w:type="dxa" w:w="6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Y</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닫기 또는 제출 시각. 업무 완료 판정과 별개</w:t>
            </w:r>
          </w:p>
        </w:tc>
      </w:tr>
      <w:t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answers</w:t>
            </w:r>
          </w:p>
        </w:tc>
        <w:tc>
          <w:tcPr>
            <w:tcW w:type="dxa" w:w="6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Y</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설문·퀴즈 답변. 일반 팝업은 빈 배열</w:t>
            </w:r>
          </w:p>
        </w:tc>
      </w:tr>
      <w:t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answers[].questionId</w:t>
            </w:r>
          </w:p>
        </w:tc>
        <w:tc>
          <w:tcPr>
            <w:tcW w:type="dxa" w:w="6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조건</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답변 원소의 문항 ID</w:t>
            </w:r>
          </w:p>
        </w:tc>
      </w:tr>
      <w:t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answers[].selectedOptionIds</w:t>
            </w:r>
          </w:p>
        </w:tc>
        <w:tc>
          <w:tcPr>
            <w:tcW w:type="dxa" w:w="6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조건</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선택형 ID 배열. 서술형은 빈 배열</w:t>
            </w:r>
          </w:p>
        </w:tc>
      </w:tr>
      <w:tr>
        <w:tc>
          <w:tcPr>
            <w:tcW w:type="dxa" w:w="32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answers[].answerText</w:t>
            </w:r>
          </w:p>
        </w:tc>
        <w:tc>
          <w:tcPr>
            <w:tcW w:type="dxa" w:w="64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조건</w:t>
            </w:r>
          </w:p>
        </w:tc>
        <w:tc>
          <w:tcPr>
            <w:tcW w:type="dxa" w:w="619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서술형 답변. 선택형은 null</w:t>
            </w:r>
          </w:p>
        </w:tc>
      </w:tr>
    </w:tbl>
    <w:p>
      <w:r/>
    </w:p>
    <w:p>
      <w:pPr>
        <w:pStyle w:val="Heading2"/>
      </w:pPr>
      <w:r>
        <w:t>퀴즈 제출 예시</w:t>
      </w:r>
    </w:p>
    <w:p>
      <w:pPr>
        <w:spacing w:line="240" w:lineRule="exact" w:after="140"/>
      </w:pPr>
      <w:r>
        <w:rPr>
          <w:sz w:val="18"/>
        </w:rPr>
        <w:t>{</w:t>
        <w:br/>
        <w:t xml:space="preserve">  "resultId": "95ec732f-7675-4cb5-8505-0c6d3a715082",</w:t>
        <w:br/>
        <w:t xml:space="preserve">  "deliveryId": "DLV-0001",</w:t>
        <w:br/>
        <w:t xml:space="preserve">  "popupId": "QUIZ-001",</w:t>
        <w:br/>
        <w:t xml:space="preserve">  "action": "SUBMIT",</w:t>
        <w:br/>
        <w:t xml:space="preserve">  "displayedAt": "2026-10-13T10:00:00+09:00",</w:t>
        <w:br/>
        <w:t xml:space="preserve">  "completedAt": "2026-10-13T10:05:00+09:00",</w:t>
        <w:br/>
        <w:t xml:space="preserve">  "answers": [</w:t>
        <w:br/>
        <w:t xml:space="preserve">    {</w:t>
        <w:br/>
        <w:t xml:space="preserve">      "questionId": 101,</w:t>
        <w:br/>
        <w:t xml:space="preserve">      "selectedOptionIds": [</w:t>
        <w:br/>
        <w:t xml:space="preserve">        1001</w:t>
        <w:br/>
        <w:t xml:space="preserve">      ],</w:t>
        <w:br/>
        <w:t xml:space="preserve">      "answerText": null</w:t>
        <w:br/>
        <w:t xml:space="preserve">    }</w:t>
        <w:br/>
        <w:t xml:space="preserve">  ]</w:t>
        <w:br/>
        <w:t>}</w:t>
      </w:r>
    </w:p>
    <w:p>
      <w:r>
        <w:t>일반 팝업은 action=CLOSE, answers=[]를 사용한다. 다시 보지 않기, 영상 시청 정보와 채점 정보 등 필요한 기존 결과 필드는 유지한다. 조기 닫기를 완료로 인정할지는 별도 정책이다.</w:t>
      </w:r>
    </w:p>
    <w:p>
      <w:r>
        <w:t>deliveryId와 resultId 통합은 보류 상태다. 본 개정은 전달 건 식별자와 결과 제출 식별자를 별도로 유지한다.</w:t>
      </w:r>
    </w:p>
    <w:p>
      <w:r/>
    </w:p>
    <w:p>
      <w:pPr>
        <w:pStyle w:val="Heading1"/>
      </w:pPr>
      <w:r>
        <w:t>4 결과 수신 응답과 후속 조회</w:t>
      </w:r>
    </w:p>
    <w:p>
      <w:r>
        <w:t>결과 수신 API는 저장 후 현재 노출 조건에 맞는 후속 후보의 존재를 확인한다. 처리 status와 후보 유무 nextStatus를 반환하며 팝업 콘텐츠는 포함하지 않는다. nextStatus는 결과 저장 성공 여부가 아니므로 두 필드를 구분한다. 후보 존재 확인은 COUNT 전체 집계와 EXISTS 등 방식을 비교하여 구현한다.</w:t>
      </w:r>
    </w:p>
    <w:tbl>
      <w:tblPr>
        <w:tblW w:type="auto" w:w="0"/>
        <w:tblLayout w:type="fixed"/>
        <w:tblLook w:firstColumn="1" w:firstRow="1" w:lastColumn="0" w:lastRow="0" w:noHBand="0" w:noVBand="1" w:val="04A0"/>
      </w:tblPr>
      <w:tblGrid>
        <w:gridCol w:w="2016"/>
        <w:gridCol w:w="1584"/>
        <w:gridCol w:w="6480"/>
      </w:tblGrid>
      <w:tr>
        <w:trPr>
          <w:tblHeader/>
        </w:trP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필드</w:t>
            </w:r>
          </w:p>
        </w:tc>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타입</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설명</w:t>
            </w:r>
          </w:p>
        </w:tc>
      </w:tr>
      <w:t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resultId</w:t>
            </w:r>
          </w:p>
        </w:tc>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string</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수신 요청의 resultId</w:t>
            </w:r>
          </w:p>
        </w:tc>
      </w:tr>
      <w:t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r>
              <w:t>status</w:t>
            </w:r>
          </w:p>
        </w:tc>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tcPr>
          <w:p>
            <w:r>
              <w:t>string</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tcPr>
          <w:p>
            <w:r>
              <w:t>기존 결과 처리 상태. ACCEPTED·DUPLICATE 등 실제 RESULT 계약 사용</w:t>
            </w:r>
          </w:p>
        </w:tc>
      </w:tr>
      <w:tr>
        <w:tc>
          <w:tcPr>
            <w:tcW w:type="dxa" w:w="2016"/>
            <w:tcBorders>
              <w:top w:val="single" w:sz="4" w:color="D9D9D9"/>
              <w:left w:val="single" w:sz="4" w:color="D9D9D9"/>
              <w:bottom w:val="single" w:sz="4" w:color="D9D9D9"/>
              <w:right w:val="single" w:sz="4" w:color="D9D9D9"/>
            </w:tcBorders>
            <w:tcMar>
              <w:top w:w="85" w:type="dxa"/>
              <w:left w:w="85" w:type="dxa"/>
              <w:bottom w:w="85" w:type="dxa"/>
              <w:right w:w="85" w:type="dxa"/>
            </w:tcMar>
          </w:tcPr>
          <w:p>
            <w:r>
              <w:t>nextStatus</w:t>
            </w:r>
          </w:p>
        </w:tc>
        <w:tc>
          <w:tcPr>
            <w:tcW w:type="dxa" w:w="1584"/>
            <w:tcBorders>
              <w:top w:val="single" w:sz="4" w:color="D9D9D9"/>
              <w:left w:val="single" w:sz="4" w:color="D9D9D9"/>
              <w:bottom w:val="single" w:sz="4" w:color="D9D9D9"/>
              <w:right w:val="single" w:sz="4" w:color="D9D9D9"/>
            </w:tcBorders>
            <w:tcMar>
              <w:top w:w="85" w:type="dxa"/>
              <w:left w:w="85" w:type="dxa"/>
              <w:bottom w:w="85" w:type="dxa"/>
              <w:right w:w="85" w:type="dxa"/>
            </w:tcMar>
          </w:tcPr>
          <w:p>
            <w:r>
              <w:t>string</w:t>
            </w:r>
          </w:p>
        </w:tc>
        <w:tc>
          <w:tcPr>
            <w:tcW w:type="dxa" w:w="6480"/>
            <w:tcBorders>
              <w:top w:val="single" w:sz="4" w:color="D9D9D9"/>
              <w:left w:val="single" w:sz="4" w:color="D9D9D9"/>
              <w:bottom w:val="single" w:sz="4" w:color="D9D9D9"/>
              <w:right w:val="single" w:sz="4" w:color="D9D9D9"/>
            </w:tcBorders>
            <w:tcMar>
              <w:top w:w="85" w:type="dxa"/>
              <w:left w:w="85" w:type="dxa"/>
              <w:bottom w:w="85" w:type="dxa"/>
              <w:right w:w="85" w:type="dxa"/>
            </w:tcMar>
          </w:tcPr>
          <w:p>
            <w:r>
              <w:t>후속 후보 유무: AVAILABLE / EMPTY. 정상 저장 처리 확인 후 사용</w:t>
            </w:r>
          </w:p>
        </w:tc>
      </w:tr>
    </w:tbl>
    <w:p>
      <w:r/>
    </w:p>
    <w:p>
      <w:pPr>
        <w:pStyle w:val="Heading2"/>
      </w:pPr>
      <w:r>
        <w:t>저장 성공 응답 예시</w:t>
      </w:r>
    </w:p>
    <w:p>
      <w:r>
        <w:t>HTTP 200</w:t>
      </w:r>
    </w:p>
    <w:p>
      <w:pPr>
        <w:spacing w:line="240" w:lineRule="exact" w:after="140"/>
      </w:pPr>
      <w:r>
        <w:rPr>
          <w:sz w:val="18"/>
        </w:rPr>
        <w:t>{</w:t>
        <w:br/>
        <w:t xml:space="preserve">  "resultId": "95ec732f-7675-4cb5-8505-0c6d3a715082",</w:t>
        <w:br/>
        <w:t xml:space="preserve">  "status": "ACCEPTED",</w:t>
        <w:br/>
        <w:t xml:space="preserve">  "nextStatus": "AVAILABLE"</w:t>
        <w:br/>
        <w:t>}</w:t>
      </w:r>
    </w:p>
    <w:p>
      <w:r>
        <w:t>위 status=ACCEPTED는 기존 정상 처리 값의 예시다. 중복 처리 성공은 기존 DUPLICATE 등 계약으로 판정한다. 결과 거절·일시 실패에는 다음 조회를 자동 진행하지 않는다. 저장은 성공했으나 후보 확인이 실패한 경우를 EMPTY로 반환하지 않으며, 저장 성공 표현·오류 응답·복구 순서는 별도 계약으로 정한다.</w:t>
      </w:r>
    </w:p>
    <w:p>
      <w:pPr>
        <w:pStyle w:val="Heading2"/>
      </w:pPr>
      <w:r>
        <w:t>저장 성공 이후 처리</w:t>
      </w:r>
    </w:p>
    <w:p>
      <w:r>
        <w:t>클라이언트는 status로 결과가 처리되었음을 확인한다. nextStatus=AVAILABLE이면 조회 API를 즉시 호출하고, EMPTY이면 가장 최근 pollingIntervalSeconds만큼 대기한다. 조회 응답은 popup 객체/null로 처리한다. 후보 확인과 실제 조회 사이 게시중단·기간 만료 등이 발생하면 popup=null을 정상 처리한다. 다음 대상이 없다는 이유로 저장 API를 다시 호출하지 않는다.</w:t>
      </w:r>
    </w:p>
    <w:p>
      <w:pPr>
        <w:pStyle w:val="Heading2"/>
      </w:pPr>
      <w:r>
        <w:t>저장은 성공하고 후속 조회만 실패한 경우</w:t>
      </w:r>
    </w:p>
    <w:p>
      <w:r>
        <w:t>저장 성공이 확인된 결과는 다시 제출할 필요가 없다. 실패한 조회 요청만 복구 대상으로 구분한다. 구체적인 장애 재시도 간격과 복구 진행 정책은 이번 개정에서 새로 확정하지 않는다.</w:t>
      </w:r>
    </w:p>
    <w:p>
      <w:pPr>
        <w:pStyle w:val="Heading2"/>
      </w:pPr>
      <w:r>
        <w:t>저장 응답을 받지 못한 경우</w:t>
      </w:r>
    </w:p>
    <w:p>
      <w:r>
        <w:t>타임아웃이나 연결 종료만으로 서버가 결과를 저장하지 않았다고 단정할 수 없다. 재전송하게 되면 기존 resultId와 동일 본문을 사용하여 중복 저장을 방지해야 한다. 언제 재전송하고 다음 조회를 허용할지는 주간회의 결정 대기 사항이다.</w:t>
      </w:r>
    </w:p>
    <w:p>
      <w:pPr>
        <w:pStyle w:val="Heading2"/>
      </w:pPr>
      <w:r>
        <w:t>분리 후 역할 비교</w:t>
      </w:r>
    </w:p>
    <w:tbl>
      <w:tblPr>
        <w:tblW w:type="auto" w:w="0"/>
        <w:tblLayout w:type="fixed"/>
        <w:tblLook w:firstColumn="1" w:firstRow="1" w:lastColumn="0" w:lastRow="0" w:noHBand="0" w:noVBand="1" w:val="04A0"/>
      </w:tblPr>
      <w:tblGrid>
        <w:gridCol w:w="2880"/>
        <w:gridCol w:w="3600"/>
        <w:gridCol w:w="3600"/>
      </w:tblGrid>
      <w:tr>
        <w:trPr>
          <w:tblHeader/>
        </w:trP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항목</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조회 API</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결과 수신 API</w:t>
            </w:r>
          </w:p>
        </w:tc>
      </w:tr>
      <w:t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팝업 선정</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현재 조건으로 최대 1건</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tcPr>
          <w:p>
            <w:r>
              <w:t>저장 후 후보 유무 확인. 콘텐츠 선정·반환은 조회 API 담당</w:t>
            </w:r>
          </w:p>
        </w:tc>
      </w:tr>
      <w:t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deliveryId</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팝업과 함께 반환</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요청으로 수신하여 검증</w:t>
            </w:r>
          </w:p>
        </w:tc>
      </w:tr>
      <w:t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사용자 처리 결과 저장</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수행하지 않음</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결과 한 건 저장</w:t>
            </w:r>
          </w:p>
        </w:tc>
      </w:tr>
      <w:tr>
        <w:tc>
          <w:tcPr>
            <w:tcW w:type="dxa" w:w="2880"/>
            <w:tcBorders>
              <w:top w:val="single" w:sz="4" w:color="D9D9D9"/>
              <w:left w:val="single" w:sz="4" w:color="D9D9D9"/>
              <w:bottom w:val="single" w:sz="4" w:color="D9D9D9"/>
              <w:right w:val="single" w:sz="4" w:color="D9D9D9"/>
            </w:tcBorders>
            <w:tcMar>
              <w:top w:w="85" w:type="dxa"/>
              <w:left w:w="85" w:type="dxa"/>
              <w:bottom w:w="85" w:type="dxa"/>
              <w:right w:w="85" w:type="dxa"/>
            </w:tcMar>
          </w:tcPr>
          <w:p>
            <w:r>
              <w:t>popup / nextStatus</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tcPr>
          <w:p>
            <w:r>
              <w:t>popup 객체/null 제공, nextStatus 없음</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tcPr>
          <w:p>
            <w:r>
              <w:t>status와 nextStatus 제공, popup 없음</w:t>
            </w:r>
          </w:p>
        </w:tc>
      </w:tr>
    </w:tbl>
    <w:p>
      <w:r/>
    </w:p>
    <w:p>
      <w:r/>
    </w:p>
    <w:p>
      <w:pPr>
        <w:pStyle w:val="Heading1"/>
      </w:pPr>
      <w:r>
        <w:t>5 정합성과 클라이언트 처리</w:t>
      </w:r>
    </w:p>
    <w:p>
      <w:pPr>
        <w:pStyle w:val="Heading2"/>
      </w:pPr>
      <w:r>
        <w:t>서버 처리 책임</w:t>
      </w:r>
    </w:p>
    <w:p>
      <w:r>
        <w:t>조회 API는 현재 서버 시각, 게시 상태, 대상 조건, 기간과 응답·숨김 정책으로 후보를 선정한다. 유효한 미완료 전달 건이 있으면 재사용하는 이전 제안을 유지한다. 전달 자체를 읽음 또는 완료로 처리하지 않는다.</w:t>
      </w:r>
    </w:p>
    <w:p>
      <w:r>
        <w:t>결과 API는 인증과 전달 건 소유권 확인, resultId 중복 검사, 답변 및 종료 조건 검증을 수행한 뒤 결과 저장과 전달 건 종료를 확정한다. 그 뒤 후속 후보 유무를 확인하여 nextStatus를 반환한다. 후보 확인과 실제 조회는 동일한 게시·기간·대상·완료·숨김 기준을 사용한다. 실제 팝업 선정·콘텐츠 반환은 별도 조회 API에서 수행한다.</w:t>
      </w:r>
    </w:p>
    <w:p>
      <w:pPr>
        <w:pStyle w:val="Heading2"/>
      </w:pPr>
      <w:r>
        <w:t>중복과 응답 유실</w:t>
      </w:r>
    </w:p>
    <w:p>
      <w:r>
        <w:t>동일 resultId와 동일 본문을 다시 수신하면 결과를 중복 저장하지 않고 이미 처리된 상태를 반환한다. 동일 resultId의 내용이 달라지면 충돌로 처리하는 안을 유지한다. 하나의 deliveryId에 서로 다른 resultId로 중복 결과가 제출되는 경우도 검증한다.</w:t>
      </w:r>
    </w:p>
    <w:p>
      <w:r>
        <w:t>조회 응답을 유실하여 다시 조회할 때는 같은 유효한 미완료 전달 건에 같은 deliveryId를 사용한다. 재전달 전 게시 여부·기간·대상 조건을 다시 확인한다. 동시 요청의 중복 전달 건 생성 방지와 여러 PC의 진행 단위는 구현·정책 검토가 필요하다.</w:t>
      </w:r>
    </w:p>
    <w:p>
      <w:pPr>
        <w:pStyle w:val="Heading2"/>
      </w:pPr>
      <w:r>
        <w:t>게시중단 반영</w:t>
      </w:r>
    </w:p>
    <w:p>
      <w:r>
        <w:t>A를 표시하는 동안 B가 게시중단되면 A 결과 저장 성공 후 호출한 조회 API에서 B를 제외한다. 이미 생성된 미완료 전달 건도 재조회 시 유효성을 확인한다. 조회 직후 표시 직전의 게시중단이나 이미 열린 팝업 회수까지 보장하는 구조는 아니다.</w:t>
      </w:r>
    </w:p>
    <w:p>
      <w:pPr>
        <w:pStyle w:val="Heading2"/>
      </w:pPr>
      <w:r>
        <w:t>클라이언트 상태별 처리</w:t>
      </w:r>
    </w:p>
    <w:tbl>
      <w:tblPr>
        <w:tblW w:type="auto" w:w="0"/>
        <w:tblLayout w:type="fixed"/>
        <w:tblLook w:firstColumn="1" w:firstRow="1" w:lastColumn="0" w:lastRow="0" w:noHBand="0" w:noVBand="1" w:val="04A0"/>
      </w:tblPr>
      <w:tblGrid>
        <w:gridCol w:w="2736"/>
        <w:gridCol w:w="7344"/>
      </w:tblGrid>
      <w:tr>
        <w:trPr>
          <w:tblHeader/>
        </w:trP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상태</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처리</w:t>
            </w:r>
          </w:p>
        </w:tc>
      </w:tr>
      <w:t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표시 중</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현재 팝업 한 건을 유지하고 중복 조회·표시를 막음</w:t>
            </w:r>
          </w:p>
        </w:tc>
      </w:tr>
      <w:t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정상 결과 제출 중</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연속 제출을 막고 저장 처리 응답을 기다림</w:t>
            </w:r>
          </w:p>
        </w:tc>
      </w:tr>
      <w:t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저장 성공 확인</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tcPr>
          <w:p>
            <w:r>
              <w:t>nextStatus AVAILABLE이면 즉시 조회, EMPTY이면 최신 폴링 간격 대기</w:t>
            </w:r>
          </w:p>
        </w:tc>
      </w:tr>
      <w:t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조회 대상 없음</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pollingIntervalSeconds 이후 조회</w:t>
            </w:r>
          </w:p>
        </w:tc>
      </w:tr>
      <w:t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토큰 만료</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재로그인 후 실패한 API 재시도</w:t>
            </w:r>
          </w:p>
        </w:tc>
      </w:tr>
      <w:t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저장 여부 불명 또는 서버 장애</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결과와 식별자 유지 필요. 재전송·진행 정책 결정 대기</w:t>
            </w:r>
          </w:p>
        </w:tc>
      </w:tr>
      <w:t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프로그램 종료 또는 재부팅</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미전송 결과 보존·복구 범위 결정 대기</w:t>
            </w:r>
          </w:p>
        </w:tc>
      </w:tr>
    </w:tbl>
    <w:p>
      <w:r/>
    </w:p>
    <w:p>
      <w:r>
        <w:t>장애 상태에서 다음 팝업 진행을 허용할지, 미전송 결과를 먼저 처리할지는 이 표로 확정하지 않는다. 정상 흐름의 단건 제출과 장애 복구 방식을 분리하여 결정한다.</w:t>
      </w:r>
    </w:p>
    <w:p>
      <w:r/>
    </w:p>
    <w:p>
      <w:pPr>
        <w:pStyle w:val="Heading1"/>
      </w:pPr>
      <w:r>
        <w:t>6 오류 처리와 의사결정 대기 사항</w:t>
      </w:r>
    </w:p>
    <w:p>
      <w:pPr>
        <w:pStyle w:val="Heading2"/>
      </w:pPr>
      <w:r>
        <w:t>기존 오류 분류 제안 유지</w:t>
      </w:r>
    </w:p>
    <w:tbl>
      <w:tblPr>
        <w:tblW w:type="auto" w:w="0"/>
        <w:tblLayout w:type="fixed"/>
        <w:tblLook w:firstColumn="1" w:firstRow="1" w:lastColumn="0" w:lastRow="0" w:noHBand="0" w:noVBand="1" w:val="04A0"/>
      </w:tblPr>
      <w:tblGrid>
        <w:gridCol w:w="1152"/>
        <w:gridCol w:w="3816"/>
        <w:gridCol w:w="5112"/>
      </w:tblGrid>
      <w:tr>
        <w:trPr>
          <w:tblHeader/>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HTTP</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예시</w:t>
            </w:r>
          </w:p>
        </w:tc>
        <w:tc>
          <w:tcPr>
            <w:tcW w:type="dxa" w:w="5112"/>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처리 원칙</w:t>
            </w:r>
          </w:p>
        </w:tc>
      </w:tr>
      <w:t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400</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INVALID_REQUEST</w:t>
            </w:r>
          </w:p>
        </w:tc>
        <w:tc>
          <w:tcPr>
            <w:tcW w:type="dxa" w:w="51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요청 필드·값 수정 필요</w:t>
            </w:r>
          </w:p>
        </w:tc>
      </w:tr>
      <w:t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401</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UNAUTHORIZED</w:t>
            </w:r>
          </w:p>
        </w:tc>
        <w:tc>
          <w:tcPr>
            <w:tcW w:type="dxa" w:w="51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토큰 만료 시 재로그인 후 실패 요청 재시도</w:t>
            </w:r>
          </w:p>
        </w:tc>
      </w:tr>
      <w:t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403</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FORBIDDEN</w:t>
            </w:r>
          </w:p>
        </w:tc>
        <w:tc>
          <w:tcPr>
            <w:tcW w:type="dxa" w:w="51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권한 확인. 재로그인만으로 해결된다고 보지 않음</w:t>
            </w:r>
          </w:p>
        </w:tc>
      </w:tr>
      <w:t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409</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RESULT_ID_CONFLICT</w:t>
            </w:r>
          </w:p>
        </w:tc>
        <w:tc>
          <w:tcPr>
            <w:tcW w:type="dxa" w:w="51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동일 ID의 요청 내용 충돌 확인</w:t>
            </w:r>
          </w:p>
        </w:tc>
      </w:tr>
      <w:t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409</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DELIVERY_ALREADY_COMPLETED</w:t>
            </w:r>
          </w:p>
        </w:tc>
        <w:tc>
          <w:tcPr>
            <w:tcW w:type="dxa" w:w="51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전달 건의 중복 처리 여부 확인</w:t>
            </w:r>
          </w:p>
        </w:tc>
      </w:tr>
      <w:t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422</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RESULT_VALIDATION_FAILED</w:t>
            </w:r>
          </w:p>
        </w:tc>
        <w:tc>
          <w:tcPr>
            <w:tcW w:type="dxa" w:w="51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필수 답변·완료 조건 확인</w:t>
            </w:r>
          </w:p>
        </w:tc>
      </w:tr>
      <w:t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429</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RATE_LIMITED</w:t>
            </w:r>
          </w:p>
        </w:tc>
        <w:tc>
          <w:tcPr>
            <w:tcW w:type="dxa" w:w="51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서버가 알린 대기 조건 확인</w:t>
            </w:r>
          </w:p>
        </w:tc>
      </w:tr>
      <w:t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5xx / 시간 초과</w:t>
            </w:r>
          </w:p>
        </w:tc>
        <w:tc>
          <w:tcPr>
            <w:tcW w:type="dxa" w:w="381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서버 장애 또는 응답 불명</w:t>
            </w:r>
          </w:p>
        </w:tc>
        <w:tc>
          <w:tcPr>
            <w:tcW w:type="dxa" w:w="511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조회 실패와 결과 저장 여부 불명을 구분</w:t>
            </w:r>
          </w:p>
        </w:tc>
      </w:tr>
    </w:tbl>
    <w:p>
      <w:r/>
    </w:p>
    <w:p>
      <w:r>
        <w:t>HTTP 및 업무 오류 코드의 정확한 매핑은 기존 계약과 맞춘다. 위 분류는 새로 확정한 재시도 횟수·대기 시간 정책이 아니다. 조회 오류를 정상적인 대상 없음으로 변환하지 않는다.</w:t>
      </w:r>
    </w:p>
    <w:p>
      <w:pPr>
        <w:pStyle w:val="Heading2"/>
      </w:pPr>
      <w:r>
        <w:t>주간회의 결정 대기</w:t>
      </w:r>
    </w:p>
    <w:tbl>
      <w:tblPr>
        <w:tblW w:type="auto" w:w="0"/>
        <w:tblLayout w:type="fixed"/>
        <w:tblLook w:firstColumn="1" w:firstRow="1" w:lastColumn="0" w:lastRow="0" w:noHBand="0" w:noVBand="1" w:val="04A0"/>
      </w:tblPr>
      <w:tblGrid>
        <w:gridCol w:w="2736"/>
        <w:gridCol w:w="7344"/>
      </w:tblGrid>
      <w:tr>
        <w:trPr>
          <w:tblHeader/>
        </w:trP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항목</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shd w:fill="E4EDF5"/>
          </w:tcPr>
          <w:p>
            <w:pPr>
              <w:spacing w:after="40" w:line="260" w:lineRule="exact"/>
            </w:pPr>
            <w:r>
              <w:rPr>
                <w:b/>
                <w:sz w:val="18"/>
              </w:rPr>
              <w:t>확인할 결정</w:t>
            </w:r>
          </w:p>
        </w:tc>
      </w:tr>
      <w:t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누적 결과 전송 단위</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단건 순차 재전송 또는 장애 복구 시 일괄 전송 허용</w:t>
            </w:r>
          </w:p>
        </w:tc>
      </w:tr>
      <w:t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다음 팝업 진행 조건</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미전송 결과 처리 완료 후 조회 또는 보관 후 진행</w:t>
            </w:r>
          </w:p>
        </w:tc>
      </w:tr>
      <w:tr>
        <w:tc>
          <w:tcPr>
            <w:tcW w:type="dxa" w:w="273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종료와 재부팅</w:t>
            </w:r>
          </w:p>
        </w:tc>
        <w:tc>
          <w:tcPr>
            <w:tcW w:type="dxa" w:w="73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60" w:lineRule="exact"/>
            </w:pPr>
            <w:r>
              <w:rPr>
                <w:b w:val="0"/>
                <w:sz w:val="18"/>
              </w:rPr>
              <w:t>메모리 결과 유실 허용 여부 및 영속 보관·복구 범위</w:t>
            </w:r>
          </w:p>
        </w:tc>
      </w:tr>
    </w:tbl>
    <w:p>
      <w:r/>
    </w:p>
    <w:p>
      <w:r>
        <w:t>일괄 전송을 선택하면 정상 흐름의 단건 계약과 별도로 배열 수신 및 항목별 처리 상태를 정의해야 한다. 이번 버전에는 해당 예외를 추가하지 않는다.</w:t>
      </w:r>
    </w:p>
    <w:p>
      <w:pPr>
        <w:pStyle w:val="Heading2"/>
      </w:pPr>
      <w:r>
        <w:t>이전 제안에서 유지하는 검토 항목</w:t>
      </w:r>
    </w:p>
    <w:p>
      <w:r>
        <w:t>우선순위 및 동률 정렬, 조기 닫기와 재노출 시점, 게시중단 후 이미 표시된 건의 결과 수용, 사용자·장치·세션별 진행 단위, 전달 건 만료와 중복 방지 기록 보존 기간, 기존 인증·답변·숨김·시청 필드 매핑은 별도 검토 항목으로 유지한다.</w:t>
      </w:r>
    </w:p>
    <w:p>
      <w:pPr>
        <w:pStyle w:val="Heading2"/>
      </w:pPr>
      <w:r>
        <w:t>검증 범위</w:t>
      </w:r>
    </w:p>
    <w:p>
      <w:r>
        <w:t>로그인 후 0건·1건 조회, 단건 제출 성공 후 다음 조회, A 표시 중 B 게시중단, 조회·제출 각각의 토큰 만료 복구, 중복 클릭, 저장 성공 후 조회 실패를 확인한다. 장애 누적·앱 재시작·다중 PC 시나리오는 정책 결정 후 기대 동작을 확정한다.</w:t>
      </w:r>
    </w:p>
    <w:p>
      <w:r>
        <w:t>개정 이력: 0.1의 결과 저장·다음 팝업 반환 결합안을 0.2에서 세 API로 분리했다. 0.3은 조회의 nextStatus 제거, nextPopup→popup 변경, 결과 응답의 status·nextStatus와 조건부 후속 조회를 반영했다. 장애 복구 세부 정책과 실제 필드 매핑은 후속 확정 사항이다.</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rPr>
      <w:t xml:space="preserve">제안 0.3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Noto Sans KR" w:hAnsi="Noto Sans KR" w:eastAsia="Noto Sans KR" w:cs="Noto Sans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KR" w:hAnsi="Noto Sans KR" w:eastAsia="Noto Sans KR" w:cs="Noto Sans KR"/>
    </w:rPr>
  </w:style>
  <w:style w:type="character" w:customStyle="1" w:styleId="HeaderChar">
    <w:name w:val="Header Char"/>
    <w:basedOn w:val="DefaultParagraphFont"/>
    <w:link w:val="Header"/>
    <w:uiPriority w:val="99"/>
    <w:rsid w:val="00E618BF"/>
    <w:rPr>
      <w:rFonts w:ascii="Noto Sans KR" w:hAnsi="Noto Sans KR" w:eastAsia="Noto Sans KR" w:cs="Noto Sans K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KR" w:hAnsi="Noto Sans KR" w:eastAsia="Noto Sans KR" w:cs="Noto Sans KR"/>
    </w:rPr>
  </w:style>
  <w:style w:type="character" w:customStyle="1" w:styleId="FooterChar">
    <w:name w:val="Footer Char"/>
    <w:basedOn w:val="DefaultParagraphFont"/>
    <w:link w:val="Footer"/>
    <w:uiPriority w:val="99"/>
    <w:rsid w:val="00E618BF"/>
    <w:rPr>
      <w:rFonts w:ascii="Noto Sans KR" w:hAnsi="Noto Sans KR" w:eastAsia="Noto Sans KR" w:cs="Noto Sans KR"/>
    </w:rPr>
  </w:style>
  <w:style w:type="paragraph" w:styleId="Heading1">
    <w:name w:val="heading 1"/>
    <w:basedOn w:val="Normal"/>
    <w:next w:val="Normal"/>
    <w:link w:val="Heading1Char"/>
    <w:uiPriority w:val="9"/>
    <w:qFormat/>
    <w:rsid w:val="00FC693F"/>
    <w:pPr>
      <w:keepNext/>
      <w:keepLines/>
      <w:spacing w:before="480" w:after="120" w:line="300" w:lineRule="exact"/>
      <w:outlineLvl w:val="0"/>
    </w:pPr>
    <w:rPr>
      <w:rFonts w:asciiTheme="majorHAnsi" w:eastAsiaTheme="majorEastAsia" w:hAnsiTheme="majorHAnsi" w:cstheme="majorBidi" w:ascii="Noto Sans KR" w:hAnsi="Noto Sans KR" w:eastAsia="Noto Sans KR" w:cs="Noto Sans K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00" w:lineRule="exact"/>
      <w:outlineLvl w:val="1"/>
    </w:pPr>
    <w:rPr>
      <w:rFonts w:asciiTheme="majorHAnsi" w:eastAsiaTheme="majorEastAsia" w:hAnsiTheme="majorHAnsi" w:cstheme="majorBidi" w:ascii="Noto Sans KR" w:hAnsi="Noto Sans KR" w:eastAsia="Noto Sans KR" w:cs="Noto Sans KR"/>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KR" w:hAnsi="Noto Sans KR" w:eastAsia="Noto Sans KR" w:cs="Noto Sans K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KR" w:hAnsi="Noto Sans KR" w:eastAsia="Noto Sans KR" w:cs="Noto Sans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KR" w:hAnsi="Noto Sans KR" w:eastAsia="Noto Sans KR" w:cs="Noto Sans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KR" w:hAnsi="Noto Sans KR" w:eastAsia="Noto Sans KR" w:cs="Noto Sans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KR" w:hAnsi="Noto Sans KR" w:eastAsia="Noto Sans KR" w:cs="Noto Sans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KR" w:hAnsi="Noto Sans KR" w:eastAsia="Noto Sans KR" w:cs="Noto Sans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KR" w:hAnsi="Noto Sans KR" w:eastAsia="Noto Sans KR" w:cs="Noto Sans KR"/>
      <w:i/>
      <w:iCs/>
      <w:color w:val="404040" w:themeColor="text1" w:themeTint="BF"/>
      <w:sz w:val="20"/>
      <w:szCs w:val="20"/>
    </w:rPr>
  </w:style>
  <w:style w:type="character" w:default="1" w:styleId="DefaultParagraphFont">
    <w:name w:val="Default Paragraph Font"/>
    <w:uiPriority w:val="1"/>
    <w:semiHidden/>
    <w:unhideWhenUsed/>
    <w:rPr>
      <w:rFonts w:ascii="Noto Sans KR" w:hAnsi="Noto Sans KR" w:eastAsia="Noto Sans KR" w:cs="Noto Sans K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KR" w:hAnsi="Noto Sans KR" w:eastAsia="Noto Sans KR" w:cs="Noto Sans 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KR" w:hAnsi="Noto Sans KR" w:eastAsia="Noto Sans KR" w:cs="Noto Sans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KR" w:hAnsi="Noto Sans KR" w:eastAsia="Noto Sans KR" w:cs="Noto Sans KR"/>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KR" w:hAnsi="Noto Sans KR" w:eastAsia="Noto Sans KR" w:cs="Noto Sans KR"/>
      <w:b/>
      <w:bCs/>
      <w:color w:val="4F81BD" w:themeColor="accent1"/>
    </w:rPr>
  </w:style>
  <w:style w:type="paragraph" w:styleId="Title">
    <w:name w:val="Title"/>
    <w:basedOn w:val="Normal"/>
    <w:next w:val="Normal"/>
    <w:link w:val="TitleChar"/>
    <w:uiPriority w:val="10"/>
    <w:qFormat/>
    <w:rsid w:val="00FC693F"/>
    <w:pPr>
      <w:spacing w:after="120" w:line="560" w:lineRule="exact"/>
      <w:contextualSpacing/>
    </w:pPr>
    <w:rPr>
      <w:rFonts w:asciiTheme="majorHAnsi" w:eastAsiaTheme="majorEastAsia" w:hAnsiTheme="majorHAnsi" w:cstheme="majorBidi" w:ascii="Noto Sans KR" w:hAnsi="Noto Sans KR" w:eastAsia="Noto Sans KR" w:cs="Noto Sans KR"/>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KR" w:hAnsi="Noto Sans KR" w:eastAsia="Noto Sans KR" w:cs="Noto Sans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KR" w:hAnsi="Noto Sans KR" w:eastAsia="Noto Sans KR" w:cs="Noto Sans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KR" w:hAnsi="Noto Sans KR" w:eastAsia="Noto Sans KR" w:cs="Noto Sans K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KR" w:hAnsi="Noto Sans KR" w:eastAsia="Noto Sans KR" w:cs="Noto Sans KR"/>
    </w:rPr>
  </w:style>
  <w:style w:type="paragraph" w:styleId="BodyText">
    <w:name w:val="Body Text"/>
    <w:basedOn w:val="Normal"/>
    <w:link w:val="BodyTextChar"/>
    <w:uiPriority w:val="99"/>
    <w:unhideWhenUsed/>
    <w:rsid w:val="00AA1D8D"/>
    <w:pPr>
      <w:spacing w:after="120"/>
    </w:pPr>
    <w:rPr>
      <w:rFonts w:ascii="Noto Sans KR" w:hAnsi="Noto Sans KR" w:eastAsia="Noto Sans KR" w:cs="Noto Sans KR"/>
    </w:rPr>
  </w:style>
  <w:style w:type="character" w:customStyle="1" w:styleId="BodyTextChar">
    <w:name w:val="Body Text Char"/>
    <w:basedOn w:val="DefaultParagraphFont"/>
    <w:link w:val="BodyText"/>
    <w:uiPriority w:val="99"/>
    <w:rsid w:val="00AA1D8D"/>
    <w:rPr>
      <w:rFonts w:ascii="Noto Sans KR" w:hAnsi="Noto Sans KR" w:eastAsia="Noto Sans KR" w:cs="Noto Sans KR"/>
    </w:rPr>
  </w:style>
  <w:style w:type="paragraph" w:styleId="BodyText2">
    <w:name w:val="Body Text 2"/>
    <w:basedOn w:val="Normal"/>
    <w:link w:val="BodyText2Char"/>
    <w:uiPriority w:val="99"/>
    <w:unhideWhenUsed/>
    <w:rsid w:val="00AA1D8D"/>
    <w:pPr>
      <w:spacing w:after="120" w:line="480" w:lineRule="auto"/>
    </w:pPr>
    <w:rPr>
      <w:rFonts w:ascii="Noto Sans KR" w:hAnsi="Noto Sans KR" w:eastAsia="Noto Sans KR" w:cs="Noto Sans KR"/>
    </w:rPr>
  </w:style>
  <w:style w:type="character" w:customStyle="1" w:styleId="BodyText2Char">
    <w:name w:val="Body Text 2 Char"/>
    <w:basedOn w:val="DefaultParagraphFont"/>
    <w:link w:val="BodyText2"/>
    <w:uiPriority w:val="99"/>
    <w:rsid w:val="00AA1D8D"/>
    <w:rPr>
      <w:rFonts w:ascii="Noto Sans KR" w:hAnsi="Noto Sans KR" w:eastAsia="Noto Sans KR" w:cs="Noto Sans KR"/>
    </w:rPr>
  </w:style>
  <w:style w:type="paragraph" w:styleId="BodyText3">
    <w:name w:val="Body Text 3"/>
    <w:basedOn w:val="Normal"/>
    <w:link w:val="BodyText3Char"/>
    <w:uiPriority w:val="99"/>
    <w:unhideWhenUsed/>
    <w:rsid w:val="00AA1D8D"/>
    <w:pPr>
      <w:spacing w:after="120"/>
    </w:pPr>
    <w:rPr>
      <w:rFonts w:ascii="Noto Sans KR" w:hAnsi="Noto Sans KR" w:eastAsia="Noto Sans KR" w:cs="Noto Sans KR"/>
      <w:sz w:val="16"/>
      <w:szCs w:val="16"/>
    </w:rPr>
  </w:style>
  <w:style w:type="character" w:customStyle="1" w:styleId="BodyText3Char">
    <w:name w:val="Body Text 3 Char"/>
    <w:basedOn w:val="DefaultParagraphFont"/>
    <w:link w:val="BodyText3"/>
    <w:uiPriority w:val="99"/>
    <w:rsid w:val="00AA1D8D"/>
    <w:rPr>
      <w:rFonts w:ascii="Noto Sans KR" w:hAnsi="Noto Sans KR" w:eastAsia="Noto Sans KR" w:cs="Noto Sans KR"/>
      <w:sz w:val="16"/>
      <w:szCs w:val="16"/>
    </w:rPr>
  </w:style>
  <w:style w:type="paragraph" w:styleId="List">
    <w:name w:val="List"/>
    <w:basedOn w:val="Normal"/>
    <w:uiPriority w:val="99"/>
    <w:unhideWhenUsed/>
    <w:rsid w:val="00AA1D8D"/>
    <w:pPr>
      <w:ind w:left="360" w:hanging="360"/>
      <w:contextualSpacing/>
    </w:pPr>
    <w:rPr>
      <w:rFonts w:ascii="Noto Sans KR" w:hAnsi="Noto Sans KR" w:eastAsia="Noto Sans KR" w:cs="Noto Sans KR"/>
    </w:rPr>
  </w:style>
  <w:style w:type="paragraph" w:styleId="List2">
    <w:name w:val="List 2"/>
    <w:basedOn w:val="Normal"/>
    <w:uiPriority w:val="99"/>
    <w:unhideWhenUsed/>
    <w:rsid w:val="00326F90"/>
    <w:pPr>
      <w:ind w:left="720" w:hanging="360"/>
      <w:contextualSpacing/>
    </w:pPr>
    <w:rPr>
      <w:rFonts w:ascii="Noto Sans KR" w:hAnsi="Noto Sans KR" w:eastAsia="Noto Sans KR" w:cs="Noto Sans KR"/>
    </w:rPr>
  </w:style>
  <w:style w:type="paragraph" w:styleId="List3">
    <w:name w:val="List 3"/>
    <w:basedOn w:val="Normal"/>
    <w:uiPriority w:val="99"/>
    <w:unhideWhenUsed/>
    <w:rsid w:val="00326F90"/>
    <w:pPr>
      <w:ind w:left="1080" w:hanging="360"/>
      <w:contextualSpacing/>
    </w:pPr>
    <w:rPr>
      <w:rFonts w:ascii="Noto Sans KR" w:hAnsi="Noto Sans KR" w:eastAsia="Noto Sans KR" w:cs="Noto Sans KR"/>
    </w:rPr>
  </w:style>
  <w:style w:type="paragraph" w:styleId="ListBullet">
    <w:name w:val="List Bullet"/>
    <w:basedOn w:val="Normal"/>
    <w:uiPriority w:val="99"/>
    <w:unhideWhenUsed/>
    <w:rsid w:val="00326F90"/>
    <w:pPr>
      <w:numPr>
        <w:numId w:val="1"/>
      </w:numPr>
      <w:contextualSpacing/>
    </w:pPr>
    <w:rPr>
      <w:rFonts w:ascii="Noto Sans KR" w:hAnsi="Noto Sans KR" w:eastAsia="Noto Sans KR" w:cs="Noto Sans KR"/>
    </w:rPr>
  </w:style>
  <w:style w:type="paragraph" w:styleId="ListBullet2">
    <w:name w:val="List Bullet 2"/>
    <w:basedOn w:val="Normal"/>
    <w:uiPriority w:val="99"/>
    <w:unhideWhenUsed/>
    <w:rsid w:val="00326F90"/>
    <w:pPr>
      <w:numPr>
        <w:numId w:val="2"/>
      </w:numPr>
      <w:contextualSpacing/>
    </w:pPr>
    <w:rPr>
      <w:rFonts w:ascii="Noto Sans KR" w:hAnsi="Noto Sans KR" w:eastAsia="Noto Sans KR" w:cs="Noto Sans KR"/>
    </w:rPr>
  </w:style>
  <w:style w:type="paragraph" w:styleId="ListBullet3">
    <w:name w:val="List Bullet 3"/>
    <w:basedOn w:val="Normal"/>
    <w:uiPriority w:val="99"/>
    <w:unhideWhenUsed/>
    <w:rsid w:val="00326F90"/>
    <w:pPr>
      <w:numPr>
        <w:numId w:val="3"/>
      </w:numPr>
      <w:contextualSpacing/>
    </w:pPr>
    <w:rPr>
      <w:rFonts w:ascii="Noto Sans KR" w:hAnsi="Noto Sans KR" w:eastAsia="Noto Sans KR" w:cs="Noto Sans KR"/>
    </w:rPr>
  </w:style>
  <w:style w:type="paragraph" w:styleId="ListNumber">
    <w:name w:val="List Number"/>
    <w:basedOn w:val="Normal"/>
    <w:uiPriority w:val="99"/>
    <w:unhideWhenUsed/>
    <w:rsid w:val="00326F90"/>
    <w:pPr>
      <w:numPr>
        <w:numId w:val="5"/>
      </w:numPr>
      <w:contextualSpacing/>
    </w:pPr>
    <w:rPr>
      <w:rFonts w:ascii="Noto Sans KR" w:hAnsi="Noto Sans KR" w:eastAsia="Noto Sans KR" w:cs="Noto Sans KR"/>
    </w:rPr>
  </w:style>
  <w:style w:type="paragraph" w:styleId="ListNumber2">
    <w:name w:val="List Number 2"/>
    <w:basedOn w:val="Normal"/>
    <w:uiPriority w:val="99"/>
    <w:unhideWhenUsed/>
    <w:rsid w:val="0029639D"/>
    <w:pPr>
      <w:numPr>
        <w:numId w:val="6"/>
      </w:numPr>
      <w:contextualSpacing/>
    </w:pPr>
    <w:rPr>
      <w:rFonts w:ascii="Noto Sans KR" w:hAnsi="Noto Sans KR" w:eastAsia="Noto Sans KR" w:cs="Noto Sans KR"/>
    </w:rPr>
  </w:style>
  <w:style w:type="paragraph" w:styleId="ListNumber3">
    <w:name w:val="List Number 3"/>
    <w:basedOn w:val="Normal"/>
    <w:uiPriority w:val="99"/>
    <w:unhideWhenUsed/>
    <w:rsid w:val="0029639D"/>
    <w:pPr>
      <w:numPr>
        <w:numId w:val="7"/>
      </w:numPr>
      <w:contextualSpacing/>
    </w:pPr>
    <w:rPr>
      <w:rFonts w:ascii="Noto Sans KR" w:hAnsi="Noto Sans KR" w:eastAsia="Noto Sans KR" w:cs="Noto Sans KR"/>
    </w:rPr>
  </w:style>
  <w:style w:type="paragraph" w:styleId="ListContinue">
    <w:name w:val="List Continue"/>
    <w:basedOn w:val="Normal"/>
    <w:uiPriority w:val="99"/>
    <w:unhideWhenUsed/>
    <w:rsid w:val="0029639D"/>
    <w:pPr>
      <w:spacing w:after="120"/>
      <w:ind w:left="360"/>
      <w:contextualSpacing/>
    </w:pPr>
    <w:rPr>
      <w:rFonts w:ascii="Noto Sans KR" w:hAnsi="Noto Sans KR" w:eastAsia="Noto Sans KR" w:cs="Noto Sans KR"/>
    </w:rPr>
  </w:style>
  <w:style w:type="paragraph" w:styleId="ListContinue2">
    <w:name w:val="List Continue 2"/>
    <w:basedOn w:val="Normal"/>
    <w:uiPriority w:val="99"/>
    <w:unhideWhenUsed/>
    <w:rsid w:val="0029639D"/>
    <w:pPr>
      <w:spacing w:after="120"/>
      <w:ind w:left="720"/>
      <w:contextualSpacing/>
    </w:pPr>
    <w:rPr>
      <w:rFonts w:ascii="Noto Sans KR" w:hAnsi="Noto Sans KR" w:eastAsia="Noto Sans KR" w:cs="Noto Sans KR"/>
    </w:rPr>
  </w:style>
  <w:style w:type="paragraph" w:styleId="ListContinue3">
    <w:name w:val="List Continue 3"/>
    <w:basedOn w:val="Normal"/>
    <w:uiPriority w:val="99"/>
    <w:unhideWhenUsed/>
    <w:rsid w:val="0029639D"/>
    <w:pPr>
      <w:spacing w:after="120"/>
      <w:ind w:left="1080"/>
      <w:contextualSpacing/>
    </w:pPr>
    <w:rPr>
      <w:rFonts w:ascii="Noto Sans KR" w:hAnsi="Noto Sans KR" w:eastAsia="Noto Sans KR" w:cs="Noto Sans 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KR" w:hAnsi="Noto Sans KR" w:eastAsia="Noto Sans KR" w:cs="Noto Sans KR"/>
      <w:sz w:val="20"/>
      <w:szCs w:val="20"/>
    </w:rPr>
  </w:style>
  <w:style w:type="character" w:customStyle="1" w:styleId="MacroTextChar">
    <w:name w:val="Macro Text Char"/>
    <w:basedOn w:val="DefaultParagraphFont"/>
    <w:link w:val="MacroText"/>
    <w:uiPriority w:val="99"/>
    <w:rsid w:val="0029639D"/>
    <w:rPr>
      <w:rFonts w:ascii="Noto Sans KR" w:hAnsi="Noto Sans KR" w:eastAsia="Noto Sans KR" w:cs="Noto Sans KR"/>
      <w:sz w:val="20"/>
      <w:szCs w:val="20"/>
    </w:rPr>
  </w:style>
  <w:style w:type="paragraph" w:styleId="Quote">
    <w:name w:val="Quote"/>
    <w:basedOn w:val="Normal"/>
    <w:next w:val="Normal"/>
    <w:link w:val="QuoteChar"/>
    <w:uiPriority w:val="29"/>
    <w:qFormat/>
    <w:rsid w:val="00FC693F"/>
    <w:rPr>
      <w:rFonts w:ascii="Noto Sans KR" w:hAnsi="Noto Sans KR" w:eastAsia="Noto Sans KR" w:cs="Noto Sans KR"/>
      <w:i/>
      <w:iCs/>
      <w:color w:val="000000" w:themeColor="text1"/>
    </w:rPr>
  </w:style>
  <w:style w:type="character" w:customStyle="1" w:styleId="QuoteChar">
    <w:name w:val="Quote Char"/>
    <w:basedOn w:val="DefaultParagraphFont"/>
    <w:link w:val="Quote"/>
    <w:uiPriority w:val="29"/>
    <w:rsid w:val="00FC693F"/>
    <w:rPr>
      <w:rFonts w:ascii="Noto Sans KR" w:hAnsi="Noto Sans KR" w:eastAsia="Noto Sans KR" w:cs="Noto Sans K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KR" w:hAnsi="Noto Sans KR" w:eastAsia="Noto Sans KR" w:cs="Noto Sans KR"/>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KR" w:hAnsi="Noto Sans KR" w:eastAsia="Noto Sans KR" w:cs="Noto Sans KR"/>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KR" w:hAnsi="Noto Sans KR" w:eastAsia="Noto Sans KR" w:cs="Noto Sans KR"/>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KR" w:hAnsi="Noto Sans KR" w:eastAsia="Noto Sans KR" w:cs="Noto Sans KR"/>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KR" w:hAnsi="Noto Sans KR" w:eastAsia="Noto Sans KR" w:cs="Noto Sans KR"/>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KR" w:hAnsi="Noto Sans KR" w:eastAsia="Noto Sans KR" w:cs="Noto Sans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exact" w:after="120"/>
    </w:pPr>
    <w:rPr>
      <w:rFonts w:ascii="Noto Sans KR" w:hAnsi="Noto Sans KR" w:eastAsia="Noto Sans KR" w:cs="Noto Sans KR"/>
      <w:b/>
      <w:bCs/>
      <w:color w:val="000000"/>
      <w:sz w:val="22"/>
      <w:szCs w:val="18"/>
    </w:rPr>
  </w:style>
  <w:style w:type="character" w:styleId="Strong">
    <w:name w:val="Strong"/>
    <w:basedOn w:val="DefaultParagraphFont"/>
    <w:uiPriority w:val="22"/>
    <w:qFormat/>
    <w:rsid w:val="00FC693F"/>
    <w:rPr>
      <w:rFonts w:ascii="Noto Sans KR" w:hAnsi="Noto Sans KR" w:eastAsia="Noto Sans KR" w:cs="Noto Sans KR"/>
      <w:b/>
      <w:bCs/>
    </w:rPr>
  </w:style>
  <w:style w:type="character" w:styleId="Emphasis">
    <w:name w:val="Emphasis"/>
    <w:basedOn w:val="DefaultParagraphFont"/>
    <w:uiPriority w:val="20"/>
    <w:qFormat/>
    <w:rsid w:val="00FC693F"/>
    <w:rPr>
      <w:rFonts w:ascii="Noto Sans KR" w:hAnsi="Noto Sans KR" w:eastAsia="Noto Sans KR" w:cs="Noto Sans K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Noto Sans KR" w:hAnsi="Noto Sans KR" w:eastAsia="Noto Sans KR" w:cs="Noto Sans KR"/>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KR" w:hAnsi="Noto Sans KR" w:eastAsia="Noto Sans KR" w:cs="Noto Sans KR"/>
      <w:b/>
      <w:bCs/>
      <w:i/>
      <w:iCs/>
      <w:color w:val="4F81BD" w:themeColor="accent1"/>
    </w:rPr>
  </w:style>
  <w:style w:type="character" w:styleId="SubtleEmphasis">
    <w:name w:val="Subtle Emphasis"/>
    <w:basedOn w:val="DefaultParagraphFont"/>
    <w:uiPriority w:val="19"/>
    <w:qFormat/>
    <w:rsid w:val="00FC693F"/>
    <w:rPr>
      <w:rFonts w:ascii="Noto Sans KR" w:hAnsi="Noto Sans KR" w:eastAsia="Noto Sans KR" w:cs="Noto Sans KR"/>
      <w:i/>
      <w:iCs/>
      <w:color w:val="808080" w:themeColor="text1" w:themeTint="7F"/>
    </w:rPr>
  </w:style>
  <w:style w:type="character" w:styleId="IntenseEmphasis">
    <w:name w:val="Intense Emphasis"/>
    <w:basedOn w:val="DefaultParagraphFont"/>
    <w:uiPriority w:val="21"/>
    <w:qFormat/>
    <w:rsid w:val="00FC693F"/>
    <w:rPr>
      <w:rFonts w:ascii="Noto Sans KR" w:hAnsi="Noto Sans KR" w:eastAsia="Noto Sans KR" w:cs="Noto Sans KR"/>
      <w:b/>
      <w:bCs/>
      <w:i/>
      <w:iCs/>
      <w:color w:val="4F81BD" w:themeColor="accent1"/>
    </w:rPr>
  </w:style>
  <w:style w:type="character" w:styleId="SubtleReference">
    <w:name w:val="Subtle Reference"/>
    <w:basedOn w:val="DefaultParagraphFont"/>
    <w:uiPriority w:val="31"/>
    <w:qFormat/>
    <w:rsid w:val="00FC693F"/>
    <w:rPr>
      <w:rFonts w:ascii="Noto Sans KR" w:hAnsi="Noto Sans KR" w:eastAsia="Noto Sans KR" w:cs="Noto Sans KR"/>
      <w:smallCaps/>
      <w:color w:val="C0504D" w:themeColor="accent2"/>
      <w:u w:val="single"/>
    </w:rPr>
  </w:style>
  <w:style w:type="character" w:styleId="IntenseReference">
    <w:name w:val="Intense Reference"/>
    <w:basedOn w:val="DefaultParagraphFont"/>
    <w:uiPriority w:val="32"/>
    <w:qFormat/>
    <w:rsid w:val="00FC693F"/>
    <w:rPr>
      <w:rFonts w:ascii="Noto Sans KR" w:hAnsi="Noto Sans KR" w:eastAsia="Noto Sans KR" w:cs="Noto Sans KR"/>
      <w:b/>
      <w:bCs/>
      <w:smallCaps/>
      <w:color w:val="C0504D" w:themeColor="accent2"/>
      <w:spacing w:val="5"/>
      <w:u w:val="single"/>
    </w:rPr>
  </w:style>
  <w:style w:type="character" w:styleId="BookTitle">
    <w:name w:val="Book Title"/>
    <w:basedOn w:val="DefaultParagraphFont"/>
    <w:uiPriority w:val="33"/>
    <w:qFormat/>
    <w:rsid w:val="00FC693F"/>
    <w:rPr>
      <w:rFonts w:ascii="Noto Sans KR" w:hAnsi="Noto Sans KR" w:eastAsia="Noto Sans KR" w:cs="Noto Sans K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KR" w:hAnsi="Noto Sans KR" w:eastAsia="Noto Sans KR" w:cs="Noto Sans K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