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더</w:t>
      </w:r>
      <w:r>
        <w:rPr>
          <w:rFonts w:ascii="Arial" w:hAnsi="Arial" w:cs="Arial" w:eastAsia="Arial"/>
          <w:color w:val="252525"/>
          <w:sz w:val="59"/>
        </w:rPr>
        <w:t xml:space="preserve">스테이클래식(명동) 생활형숙박시설 </w:t>
      </w:r>
      <w:r>
        <w:rPr>
          <w:rFonts w:ascii="Arial" w:hAnsi="Arial" w:cs="Arial" w:eastAsia="Arial"/>
          <w:color w:val="252525"/>
          <w:sz w:val="59"/>
        </w:rPr>
        <w:rPr>
          <w:shd w:val="clear" w:color="auto" w:fill="0037FF"/>
        </w:rPr>
        <w:t>위탁운영계약서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제1조 [게약 목적]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제2조 [위탁기간 및 사전운영준비기간, 운영개시일]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제3조 [운영수익금의 지급]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제4조 [소유권이전 및 운영수익금 지급 방법]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3"/>
        </w:rPr>
        <w:t>제5조 [건물 관리 등에 대한 상호 업무]제6조 [세무 처리 및 관리비 납부]제8조 [계약 승계]제9조 [계약의 해제 및 해지]제10조 [계약의 변경]제11조 [계약의 갱신]제12조 [계약의 종료]제13조 [통지 의무]제14조 [기타사항]</w:t>
      </w:r>
      <w:r>
        <w:rPr>
          <w:rFonts w:ascii="Arial" w:hAnsi="Arial" w:cs="Arial" w:eastAsia="Arial"/>
          <w:color w:val="252525"/>
          <w:sz w:val="5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목적부동산 : 서울특별시 중구 남대문로 3가 94번지 외 3필지(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계약면적에는 주차장, 관리사무소, 기계실, 전기실 등의 공용면적이 포함되어 있음.위탁자 아무게 (생활형숙박시설 개별 호실 소유자, 이하 “갑”이라 한다)와 수탁자(주식회사 에스엠비즈 코리아 이하 “을”이라 한다)는 위 목적부동산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에 대한 위탁운영 계약을 다음과 같이 체결한다.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--- 다  음 ---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제1조 [게약 목적]본 계약은 ‘갑’의 목적부동산을 ‘을’이 제2조에서 정한 계약기간 동안 위 목적 부동산을 수탁하여 안전하고 효율적으로 운영함에 있어 계약기간, 운영수익금 등 제반 사항을 규정하는 것을 목적으로 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제2조 [위탁기간 및 사전운영준비기간, 운영개시일]① 본 계약의 위탁기간은 운영개시일로부터 만 5년으로 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② 사전운영 준비기간이란 준공 후 소유권이전등기가 완료된 일로부터 60일간으로 하며, 이 기간에는 운영수익금은 지불하지 않는다.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③ 운영개시일은 ‘갑’의 소유권이전등기 완료 후 사전운영 준비기간의 종료일 익일부터로 하며, 운영수익금은 운영 개시일로부터 산정하여 지급하기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로 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제3조 [운영수익금의 지급]① ‘을’은 위탁받은 본 목적부동산을 숙박시설로서 운영하고, 발생된 수익을 ‘갑’에게 지불하기로 하며, 별도의 보증금은 없는 것으로 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② 운영수익금은 운영매출에서 운영경비를 제외한 수익부분에 대해 전체 수분양자들의 상기 목적부동산의 분양금액(VAT제외)을 기준으로 균등하게 나누어 지급하기로 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③ </w:t>
      </w:r>
      <w:r>
        <w:rPr>
          <w:rFonts w:ascii="Arial" w:hAnsi="Arial" w:cs="Arial" w:eastAsia="Arial"/>
          <w:color w:val="252525"/>
          <w:sz w:val="59"/>
        </w:rPr>
        <w:rPr>
          <w:shd w:val="clear" w:color="auto" w:fill="0037FF"/>
        </w:rPr>
        <w:t xml:space="preserve">운영1년차 이후 </w:t>
      </w:r>
      <w:r>
        <w:rPr>
          <w:rFonts w:ascii="Arial" w:hAnsi="Arial" w:cs="Arial" w:eastAsia="Arial"/>
          <w:color w:val="252525"/>
          <w:sz w:val="59"/>
        </w:rPr>
        <w:t xml:space="preserve">운영수익금의 지급가, 운영 1년차의 ‘손익상태표(세무사 작성)’를 기준으로 ‘갑’의 의견을 수렴하여 ‘을’은 운영수익금의 지불계획을 수립하고, </w:t>
      </w:r>
      <w:r>
        <w:rPr>
          <w:rFonts w:ascii="Arial" w:hAnsi="Arial" w:cs="Arial" w:eastAsia="Arial"/>
          <w:color w:val="252525"/>
          <w:sz w:val="59"/>
        </w:rPr>
        <w:rPr>
          <w:shd w:val="clear" w:color="auto" w:fill="0037FF"/>
        </w:rPr>
        <w:t>매출액에서 운영에 소요되는 비용</w:t>
      </w:r>
      <w:r>
        <w:rPr>
          <w:rFonts w:ascii="Arial" w:hAnsi="Arial" w:cs="Arial" w:eastAsia="Arial"/>
          <w:color w:val="252525"/>
          <w:sz w:val="59"/>
        </w:rPr>
        <w:t xml:space="preserve">을 </w:t>
      </w:r>
      <w:r>
        <w:rPr>
          <w:rFonts w:ascii="Arial" w:hAnsi="Arial" w:cs="Arial" w:eastAsia="Arial"/>
          <w:color w:val="252525"/>
          <w:sz w:val="59"/>
        </w:rPr>
        <w:rPr>
          <w:shd w:val="clear" w:color="auto" w:fill="AE33FF"/>
        </w:rPr>
        <w:t xml:space="preserve">차감한 영업이익을 ‘갑’에게 지급하며, </w:t>
      </w:r>
      <w:r>
        <w:rPr>
          <w:rFonts w:ascii="Arial" w:hAnsi="Arial" w:cs="Arial" w:eastAsia="Arial"/>
          <w:color w:val="252525"/>
          <w:sz w:val="59"/>
        </w:rPr>
        <w:t>분양금의 7%이상 수익이 발생될 경우</w:t>
      </w:r>
      <w:r>
        <w:rPr>
          <w:rFonts w:ascii="Arial" w:hAnsi="Arial" w:cs="Arial" w:eastAsia="Arial"/>
          <w:color w:val="252525"/>
          <w:sz w:val="59"/>
        </w:rPr>
        <w:t xml:space="preserve"> ‘을’은 그 초과수익의 30%를 운영사가 인센티브로 수취하며, ‘갑’에게 나머지 70%를 지급한다.</w:t>
      </w:r>
      <w:r>
        <w:rPr>
          <w:rFonts w:ascii="Arial" w:hAnsi="Arial" w:cs="Arial" w:eastAsia="Arial"/>
          <w:color w:val="252525"/>
          <w:sz w:val="5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나, 운영비용은 1차년도 매출 및 운영실적을 고려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하여 운영에 투입된 회계상 비용을 기준으로 책정한다.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다. 운영비용은 다음 항목으로 한다.- 임직원인건비 및 복리후생비- 각종 공과금(수도, 전기, 가스, 난방비 등), 보험료 및 건물유지 관리비- 세탁비, 소모품비, 지급수수료, 시설충당금 등- 상기 외 호텔운영에 필요한 일체의 비용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④ ‘을’이 ‘갑’에게 매월 지급하는 운영수익금의 산정기간이 30일 미만일 경우에는 일할 계산하여 지급한다.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제4조 [소유권이전 및 운영수익금 지급 방법]① ‘갑’은 운영개시일 이전까지 소유권이전등기를 완료하고 정상적인 객실판매가 가능한 상태로 ‘을에게 인도하여야 하며, 만일 소유권이전등기가 완료되지 않거나 객실판매가 불가능한 상태로 인도할 경우에는 본 계약도 그 효력이 발생하지 않는 것으로 한다.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② ‘을’은 제3조의 운영수익금을 ‘갑’이 지정하는 아래 금융계좌로 지급하기로 한다. 단, 운영수익금 지급일이 은행영업일이 아닐 경우, 해당일 다음 첫 은행영업일에 해당 운영수익금을 지급하기로 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③ ‘갑’ 또는 ‘갑’이 지정한 세무대리인은 운영수익금에 대한 세금계산서를 발행하여 ‘을’의 운영수익금 지급 10일 전까지 교부받을 수 있도록 하여야 한다. 만일 ‘을’이 기한 내에 세금계산서를 교부받지 못한 경우 ‘을’의 운영수익금 지급의무는 세금계산서 수령시까지 유보되며, ‘을’이 이에 대한 일체 책임을 부담하지 아니한다.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제5조 [건물 관리 등에 대한 상호 업무]① ‘갑’은 다음 각 호의 업무를 수행한다.가, 본 계약 운영개시 이전까지 소유권이전등기 완료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나, 본 목적부동산을 호텔영업이 가능한 상태로 ‘을’에게 인계(단, ‘갑’이 부담해야 할 객실내 호텔운영물품등의 구매, 설치 등을 ‘을’이 대신하며, ‘갑’은 건축물 사용승인 4개월 전 ‘을에게 납부(143만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월/실,부가세포함)해야 한다.)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다, ‘을’의 운영수익금에 대한 세금계산서 발행 후 ‘을’에게 교부(수령일기준 전월 말일 한)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라, 목적부동산의 권리사항 변경 및 ‘갑’의 기타 신상사항 변경 발생 시 ‘을’에게 통지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② ‘을’은 다음 각 호의 업무를 수행한다.가, 호텔운영을 통한 매월 10일 ‘갑’에게 목적 부동산에 대한 월 운영수익금 지급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나, 목적부동산에 대한 청소, 수선, 경비 등 건물 유지·관리 업무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③ ‘을’이 목적부동산의 명도 시, ‘을’은 계약기간 중 목적 부동산 내부시설(가구 및 가전제품 포함)의 정상 이용에 노후화와 전기, 설비 등의 기능적인 노후화에 대한 책임은 지지 않는 것으로 한다.(노후화란 내부시설을 사용함으로써 생기는 마멸 및 시간의 경과, 그리고 자연적 작용 등에 의한 물리적인 노후화와 기술혁신, 경제발전 등에 의한 내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부 시설의 기능적인 노후화를 뜻한다)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④ ‘을’은 최선의 위탁관리로 목적부동산을 유지 및 관리하며, ‘갑’과 ‘을’은 목적부동산이 효율적으로 위탁관리 될 수 있도록 상호 협조하도록 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제6조 [세무 처리 및 관리비 납부]① ‘갑’은 목적부동산의 준공 후 소유권이전등기 등 이와 관련한 취득세 등 제세공과금 납부는 ‘갑’의 책임과 부담으로 처리한다.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② ‘갑’은 본 계약에 의한 ‘갑’의 운영수입에 대한 부가세 신고 및 세금계산서 발행은 ‘갑’의 책임과 부담으로 처리한다.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③ ‘갑’은 목적부동산의 소유로 인하여 부과되는 종합토지세, 재산세, 임대소득세, 부가세 등 제세공과금 납부는 ‘갑’의 책임과 부담으로 처리한다.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④ ‘갑’의 목적 부동산을 ‘을’이 수탁하여 발생되는 관리비는 ‘을’의 책임과 부담으로 처리한다.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⑤ 건물 소유자에 부과되는 장기수선충당금, 객실수선충당금 등의 관리 제비용에 대하여 최초 1년 간 ‘갑’의 부담은 없는 것으로 한다. 단, 운영개시일 1년 후부터 적립하는 장기수선충당금, 객실수선충당금에 대해서는 ‘갑’과 ‘을’이 협의하여 정하기로 하며, 해당 금액은 ‘갑’의 수익금에서 공제한다.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⑥ ‘갑’은 최초 운영개시일로부터 7일 이내에 평당 3만원을 기준으로 선수관리비(관리비예치금)를 시설관리 주체에 예치한다.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제7조 [효율적 위탁관리]① ‘을’은 효율적인 위탁관리가 필요한 경우. ‘갑’의 동의 없이 ‘을’의 상호 및 호텔 브랜드를 변경하거나, ‘을’의 대리인을 선정하여 위탁 업무를 대행시킬 수 있다.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② ‘을’은 위탁운영 업무를 수행함에 있어서 선량한 관리자로서 업무를 수행하되, ‘을’의 고의 또는 직접 과실이 아닌 천재지변, 기타 불가항력 등에 의한 ‘갑’의 손해에 대하여 ‘을’이 배상의무를 부담하지 아니한다.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제8조 [계약 승계]본 계약은 ‘갑’이 목적부동산의 계약권리양도 및 소유권이전 시 승계됨을 원칙으로 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제9조 [계약의 해제 및 해지]① ‘갑’ 또는 ‘을’이 본 계약에서 정한 사항을 위반하거나 아래 각 호에 해당하는 행위를 하였을 경우에는 상당한 기간을 정하여 이행을 최고한 후 그 이행이 없는 경우 본 계약을 해체 또는 해지할 수 있다.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가. ‘갑’ 또는 ‘을’이 본 계약에서 정한 사항을 위반한 경우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나. ‘갑’이 목적부동산의 소유권이전등기를 법적기한 내에 완료하지 아니한 경우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다. 목적부동산이 멸실 또는 훼손되어 위탁운영이 곤란한 경우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라. 목적부동산에 대하여 보존처분을 받거나 또는 법적 소송 및 집행 등으로 ‘을’의 정상적인 위탁유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지가 곤란한 경우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마. ‘을’이 ‘갑’에게 지급할 운영수익금을 3개월분 이상 연체한 경우. 단, 본 계약 제5조 제1항에 규정된 ‘갑’의 의무를 다하지 않거나, ‘을’의 정당한 사유가 있는 경우에는 예외로 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② ‘갑’이 목적 부동산을 매각하거나 직접 사용. 또는 기타 목적 등으로 본 계약 제2조 계약기간 중에 중도해지를 희망할 경우 사전영업 예약분등의 손해가 발생하므로 ‘갑’은 ‘을’에게 위약금을 지불하여야 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가. 위약금은 ‘을’이 ‘갑’에게 지급할 3개월분의 위탁수수료와 ‘을’이 ‘을’의 이용객에게 배상할 위약금 중 큰 것으로 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나. ‘을’은 계약 해지일로부터 30일 이내에 목적 부동산을 ‘갑’에게 명도하여야 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다. 단, 본 계약과 동일한 조건으로 매수인이 승계하면 위약금은 없는 것으로 한다.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③ ‘을’이 본 계약 제2조의 계약기간 중에 중도 해지하고자 하는 경우, 3개월 이전에 ‘갑’에게 해지의사를 서면으로 통보하여야 한다. 특별한 사유(천재지변, 기타 불가항력 등이 아닌 ‘갑’의 고의 또는 직접 과실, 동조제②항의 해지율이 전체의 25%를 초과할 경우)가 없이 중도 해지할 경우 ‘을’은 ‘갑’에게 위탁수수료 1개월분을 위약금으로 지급한다.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④ 본 계약이 해제 또는 해지되는 경우 ‘갑’은 계약 해제 또는 해지일의 익일부터 입주여부와 관계없이 목적부동산의 관리비를 납부하여야 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제10조 [계약의 변경]본 계약은 ‘갑’과 ‘을’의 서면합의에 의하여서만 변경할 수 있다.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제11조 [계약의 갱신]① ‘갑’과 ‘을’은 본 계약의 만기일 2개월 전부터 상호 합의에 의하여 계약을 변경하거나 연장할 수 있다.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② 계약의 변경 또는 갱신의 의사가 있는 ‘갑’ 또는 ‘을’은 본 계약의 만기일로부터 1개월 이전까지 상대방에게 이를 서면 통지하여야 한다. 당사자 어느 일방의 통지가 없을 시에는 본 계약은 동일한 조건으로 갱신되는 것으로 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제12조 [계약의 종료]① 본 계약이 종료 시 ‘을’은 ‘을’의 책임 하에 위 목적부동산을 ‘갑’에게 명도하기로 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② 본 계약의 종료 시 ‘을’은 위탁관리 업무를 수행하기 위해 구비한 ‘을’의 자산을 철수할 수 있다.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제13조 [통지 의무]① ‘갑’은 ‘을’이 위탁관리 업무를 수행함에 있어 지장을 초래할 수 있는 소송 및 목적부동산의 권리에 변화가 발생한 때에는 이를 지체 없이 ‘을’에게 통지하여야 한다. 소송이 취하, 화해 또는 완결된 때에도 또한 같다.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② ‘갑’은 우편물 수령이 가능한 주소와 긴급연락처, 운영수익금 지급 지정금융계좌의 변경 등 신상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의 변경이 있은 때에는 이를 ‘을’에게 변경사실이 있은 후 10일 이내에 통지하여야 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③ 본 조 규정의 통지 의무 불이행으로 초래되는 ‘갑’의 불이익에 대하여 ‘을’은 책임지지 아니한다.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제14조 [기타사항]① ‘갑’은 본 계약과 관련한 일체의 권리 및 의무에 대하여 ‘을’에게만 그 보장이나 책임을 주장 할 수 있으며, 목적부동산의 신탁사인 코리아신탁 주식회사는 본 계약과 관련한 일체의 보장이나 책임을 부담하지 않는 것에 동의하며, 이에 따라 ‘갑’은 위탁수수료의 지급 및 위탁운영관리 등 본 계약의 조건이 이행되지 않은 것을 이유로 코리아신탁 주식회사에게 공급계약의 해지, 매매대금의 감액, 손해배상 요구 등 어떠한 청구도 할 수 없다.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② 본 계약서 내용에서 정하지 아니한 사항은 계약 당사자 간의 합의에 의하여 해결함을 원칙으로 하고, 합의에 이르지 못할 경우 관계법규, 사회관습, 중재법의 순으로 적용하기로 하며, 본 계약에 관한 소송은 ‘을’의 본점 소재지 관할법원으로 한다.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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본 계약의 체결됨을 증빙하기 위하여 계약서 2통을 작성한 후 ‘갑’과 ‘을’이 각각 날인하여 1부씩 보관하기로 한다.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※ 유의사항 : 본 계약 체결 후 주소 또는 연락처의 변경이 있는 경우 반드시 변경내용을 수탁자(을)에게 통보하여 주시기 바랍니다.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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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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2026-06-21T10:19:46Z</dcterms:created>
  <dc:creator>Apache POI</dc:creator>
</cp:coreProperties>
</file>