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1F" w:rsidRDefault="006F591F" w:rsidP="006F591F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r>
        <w:rPr>
          <w:rFonts w:asciiTheme="minorBidi" w:hAnsiTheme="minorBidi"/>
        </w:rPr>
        <w:t>java.awt.Color</w:t>
      </w:r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r>
        <w:rPr>
          <w:rFonts w:asciiTheme="minorBidi" w:hAnsiTheme="minorBidi"/>
        </w:rPr>
        <w:t>mutator</w:t>
      </w:r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r w:rsidR="00AD586A">
        <w:rPr>
          <w:rFonts w:asciiTheme="minorBidi" w:hAnsiTheme="minorBidi"/>
        </w:rPr>
        <w:t>setColor()</w:t>
      </w:r>
      <w:r w:rsidR="00AD586A">
        <w:rPr>
          <w:rFonts w:asciiTheme="minorBidi" w:hAnsiTheme="minorBidi" w:hint="cs"/>
          <w:rtl/>
        </w:rPr>
        <w:t xml:space="preserve"> ו-</w:t>
      </w:r>
      <w:r w:rsidR="00AD586A">
        <w:rPr>
          <w:rFonts w:asciiTheme="minorBidi" w:hAnsiTheme="minorBidi"/>
        </w:rPr>
        <w:t>getColor()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r w:rsidR="00A076FE">
        <w:rPr>
          <w:rFonts w:asciiTheme="minorBidi" w:hAnsiTheme="minorBidi"/>
        </w:rPr>
        <w:t>setColor</w:t>
      </w:r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r w:rsidR="00A076FE">
        <w:rPr>
          <w:rFonts w:asciiTheme="minorBidi" w:hAnsiTheme="minorBidi"/>
        </w:rPr>
        <w:t>getColor</w:t>
      </w:r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r w:rsidR="00A126E3">
        <w:rPr>
          <w:rFonts w:asciiTheme="minorBidi" w:hAnsiTheme="minorBidi"/>
        </w:rPr>
        <w:t>setLocation</w:t>
      </w:r>
      <w:r w:rsidR="00A126E3">
        <w:rPr>
          <w:rFonts w:asciiTheme="minorBidi" w:hAnsiTheme="minorBidi" w:hint="cs"/>
          <w:rtl/>
        </w:rPr>
        <w:t xml:space="preserve"> ו-</w:t>
      </w:r>
      <w:r w:rsidR="00A126E3">
        <w:rPr>
          <w:rFonts w:asciiTheme="minorBidi" w:hAnsiTheme="minorBidi"/>
        </w:rPr>
        <w:t>getLocation</w:t>
      </w:r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רצ"ב קוד.</w:t>
      </w:r>
    </w:p>
    <w:p w:rsidR="009A4BC6" w:rsidRDefault="004D25BF" w:rsidP="004D25BF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D25BF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FF5376" w:rsidRDefault="00FF5376" w:rsidP="00FF537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496500" w:rsidRDefault="00496500" w:rsidP="0049650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6262C2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C589B" w:rsidRPr="004D25BF" w:rsidRDefault="00AC589B" w:rsidP="00AC589B">
      <w:pPr>
        <w:pStyle w:val="ListParagraph"/>
        <w:numPr>
          <w:ilvl w:val="0"/>
          <w:numId w:val="4"/>
        </w:numPr>
        <w:bidi/>
        <w:rPr>
          <w:rtl/>
        </w:rPr>
      </w:pPr>
      <w:bookmarkStart w:id="0" w:name="_GoBack"/>
      <w:bookmarkEnd w:id="0"/>
    </w:p>
    <w:p w:rsidR="006F591F" w:rsidRPr="00DD66FB" w:rsidRDefault="006F591F" w:rsidP="006F591F">
      <w:pPr>
        <w:bidi/>
        <w:rPr>
          <w:rFonts w:asciiTheme="minorBidi" w:hAnsiTheme="minorBidi"/>
          <w:rtl/>
        </w:rPr>
      </w:pPr>
    </w:p>
    <w:sectPr w:rsidR="006F591F" w:rsidRPr="00DD6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0F2F"/>
    <w:multiLevelType w:val="hybridMultilevel"/>
    <w:tmpl w:val="6E2E5EFA"/>
    <w:lvl w:ilvl="0" w:tplc="2E607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E55D0"/>
    <w:rsid w:val="00405CDB"/>
    <w:rsid w:val="00461D22"/>
    <w:rsid w:val="00467314"/>
    <w:rsid w:val="00473DB0"/>
    <w:rsid w:val="00496500"/>
    <w:rsid w:val="004D25BF"/>
    <w:rsid w:val="004E1827"/>
    <w:rsid w:val="00574C96"/>
    <w:rsid w:val="006262C2"/>
    <w:rsid w:val="006B305A"/>
    <w:rsid w:val="006F591F"/>
    <w:rsid w:val="009A4BC6"/>
    <w:rsid w:val="009E02D0"/>
    <w:rsid w:val="009E6A36"/>
    <w:rsid w:val="00A076FE"/>
    <w:rsid w:val="00A126E3"/>
    <w:rsid w:val="00A43F96"/>
    <w:rsid w:val="00AC589B"/>
    <w:rsid w:val="00AD586A"/>
    <w:rsid w:val="00C87B0E"/>
    <w:rsid w:val="00DD66FB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880C"/>
  <w15:docId w15:val="{1EDF88B1-8915-4A23-B750-CCB7487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Constantin Vainshtein</cp:lastModifiedBy>
  <cp:revision>9</cp:revision>
  <dcterms:created xsi:type="dcterms:W3CDTF">2017-12-03T12:39:00Z</dcterms:created>
  <dcterms:modified xsi:type="dcterms:W3CDTF">2017-12-08T19:56:00Z</dcterms:modified>
</cp:coreProperties>
</file>