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1ページ目 First page</w:t>
      </w:r>
    </w:p>
    <w:p>
      <w:r>
        <w:t>画像と本文を保持します。</w:t>
      </w:r>
    </w:p>
    <w:p>
      <w:r>
        <w:drawing>
          <wp:inline xmlns:a="http://schemas.openxmlformats.org/drawingml/2006/main" xmlns:pic="http://schemas.openxmlformats.org/drawingml/2006/picture">
            <wp:extent cx="1440000" cy="72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xt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7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2ページ目 Second page</w:t>
      </w:r>
    </w:p>
    <w:p>
      <w:r>
        <w:t>日本語とEnglishをコピーできます。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eiryo UI" w:hAnsi="Meiryo UI" w:eastAsia="Meiryo UI" w:cs="Meiryo U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CC0 DOCX conversion fixture</dc:title>
  <dc:subject/>
  <dc:creator>PDF達人の合成試験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