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2A45D6"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Lo scopo di questo progetto è di studiare l’implementazione in ambienti di programmazione open source del metodo di Choleski per la risoluzione 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2A45D6">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out of memory</w:t>
      </w:r>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Default="00732B06" w:rsidP="009D0583">
      <w:pPr>
        <w:rPr>
          <w:rFonts w:asciiTheme="minorHAnsi" w:hAnsiTheme="minorHAnsi"/>
          <w:b/>
          <w:sz w:val="48"/>
          <w:szCs w:val="4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xml:space="preserve">” e implementa la funzione che permette di effettuare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effettuiamo la decomposizione di </w:t>
      </w:r>
      <w:proofErr w:type="spellStart"/>
      <w:r w:rsidRPr="00732B06">
        <w:rPr>
          <w:rFonts w:asciiTheme="minorHAnsi" w:hAnsiTheme="minorHAnsi"/>
          <w:bCs/>
          <w:sz w:val="28"/>
          <w:szCs w:val="28"/>
        </w:rPr>
        <w:t>Cholesky</w:t>
      </w:r>
      <w:proofErr w:type="spellEnd"/>
      <w:r w:rsidRPr="00732B06">
        <w:rPr>
          <w:rFonts w:asciiTheme="minorHAnsi" w:hAnsiTheme="minorHAnsi"/>
          <w:bCs/>
          <w:sz w:val="28"/>
          <w:szCs w:val="28"/>
        </w:rPr>
        <w:t xml:space="preserve"> sulla matrice in esame. Essa deve essere simmetrica e definita positiva: queste due caratteristiche vengono verificate automaticamente dalla funzione stessa, che restituisce un errore se queste non sono rispettate, motivo per il quale è stato inserito un </w:t>
      </w:r>
      <w:proofErr w:type="spellStart"/>
      <w:r w:rsidRPr="00732B06">
        <w:rPr>
          <w:rFonts w:asciiTheme="minorHAnsi" w:hAnsiTheme="minorHAnsi"/>
          <w:bCs/>
          <w:sz w:val="28"/>
          <w:szCs w:val="28"/>
        </w:rPr>
        <w:t>try</w:t>
      </w:r>
      <w:proofErr w:type="spellEnd"/>
      <w:r w:rsidRPr="00732B06">
        <w:rPr>
          <w:rFonts w:asciiTheme="minorHAnsi" w:hAnsiTheme="minorHAnsi"/>
          <w:bCs/>
          <w:sz w:val="28"/>
          <w:szCs w:val="28"/>
        </w:rPr>
        <w:t>-catch.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proofErr w:type="spellStart"/>
      <w:proofErr w:type="gramStart"/>
      <w:r w:rsidRPr="00732B06">
        <w:rPr>
          <w:rFonts w:asciiTheme="minorHAnsi" w:hAnsiTheme="minorHAnsi"/>
          <w:bCs/>
          <w:i/>
          <w:iCs/>
          <w:sz w:val="28"/>
          <w:szCs w:val="28"/>
        </w:rPr>
        <w:t>solve.spam</w:t>
      </w:r>
      <w:proofErr w:type="spellEnd"/>
      <w:proofErr w:type="gramEnd"/>
      <w:r w:rsidRPr="00732B06">
        <w:rPr>
          <w:rFonts w:asciiTheme="minorHAnsi" w:hAnsiTheme="minorHAnsi"/>
          <w:bCs/>
          <w:sz w:val="28"/>
          <w:szCs w:val="28"/>
        </w:rPr>
        <w:t xml:space="preserve"> che, dato in input il risultato della funzione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calcola direttamente il risultato del sistema lineare, combinando in maniera opportuna </w:t>
      </w:r>
      <w:proofErr w:type="spellStart"/>
      <w:r w:rsidRPr="00732B06">
        <w:rPr>
          <w:rFonts w:asciiTheme="minorHAnsi" w:hAnsiTheme="minorHAnsi"/>
          <w:bCs/>
          <w:i/>
          <w:iCs/>
          <w:sz w:val="28"/>
          <w:szCs w:val="28"/>
        </w:rPr>
        <w:t>backsolve</w:t>
      </w:r>
      <w:proofErr w:type="spellEnd"/>
      <w:r w:rsidRPr="00732B06">
        <w:rPr>
          <w:rFonts w:asciiTheme="minorHAnsi" w:hAnsiTheme="minorHAnsi"/>
          <w:bCs/>
          <w:sz w:val="28"/>
          <w:szCs w:val="28"/>
        </w:rPr>
        <w:t xml:space="preserve"> e </w:t>
      </w:r>
      <w:proofErr w:type="spellStart"/>
      <w:r w:rsidRPr="00732B06">
        <w:rPr>
          <w:rFonts w:asciiTheme="minorHAnsi" w:hAnsiTheme="minorHAnsi"/>
          <w:bCs/>
          <w:i/>
          <w:iCs/>
          <w:sz w:val="28"/>
          <w:szCs w:val="28"/>
        </w:rPr>
        <w:t>forwardsolve</w:t>
      </w:r>
      <w:proofErr w:type="spellEnd"/>
      <w:r w:rsidRPr="00732B06">
        <w:rPr>
          <w:rFonts w:asciiTheme="minorHAnsi" w:hAnsiTheme="minorHAnsi"/>
          <w:bCs/>
          <w:sz w:val="28"/>
          <w:szCs w:val="28"/>
        </w:rPr>
        <w:t xml:space="preserve"> (dato R risultato di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calcoliamo </w:t>
      </w:r>
      <w:proofErr w:type="spellStart"/>
      <w:r w:rsidRPr="00732B06">
        <w:rPr>
          <w:rFonts w:asciiTheme="minorHAnsi" w:hAnsiTheme="minorHAnsi"/>
          <w:bCs/>
          <w:i/>
          <w:iCs/>
          <w:sz w:val="28"/>
          <w:szCs w:val="28"/>
        </w:rPr>
        <w:t>backsolve</w:t>
      </w:r>
      <w:proofErr w:type="spellEnd"/>
      <w:r w:rsidRPr="00732B06">
        <w:rPr>
          <w:rFonts w:asciiTheme="minorHAnsi" w:hAnsiTheme="minorHAnsi"/>
          <w:bCs/>
          <w:i/>
          <w:iCs/>
          <w:sz w:val="28"/>
          <w:szCs w:val="28"/>
        </w:rPr>
        <w:t xml:space="preserve">(R, </w:t>
      </w:r>
      <w:proofErr w:type="spellStart"/>
      <w:r w:rsidRPr="00732B06">
        <w:rPr>
          <w:rFonts w:asciiTheme="minorHAnsi" w:hAnsiTheme="minorHAnsi"/>
          <w:bCs/>
          <w:i/>
          <w:iCs/>
          <w:sz w:val="28"/>
          <w:szCs w:val="28"/>
        </w:rPr>
        <w:t>forwardsolve</w:t>
      </w:r>
      <w:proofErr w:type="spellEnd"/>
      <w:r w:rsidRPr="00732B06">
        <w:rPr>
          <w:rFonts w:asciiTheme="minorHAnsi" w:hAnsiTheme="minorHAnsi"/>
          <w:bCs/>
          <w:i/>
          <w:iCs/>
          <w:sz w:val="28"/>
          <w:szCs w:val="28"/>
        </w:rPr>
        <w:t>(t(R),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 xml:space="preserve"> calcolando la dimensione della matrice originale e della matrice decomposta, tramite </w:t>
      </w:r>
      <w:proofErr w:type="spellStart"/>
      <w:proofErr w:type="gramStart"/>
      <w:r w:rsidRPr="00732B06">
        <w:rPr>
          <w:rFonts w:asciiTheme="minorHAnsi" w:hAnsiTheme="minorHAnsi"/>
          <w:bCs/>
          <w:i/>
          <w:iCs/>
          <w:sz w:val="28"/>
          <w:szCs w:val="28"/>
        </w:rPr>
        <w:t>object.size</w:t>
      </w:r>
      <w:proofErr w:type="spellEnd"/>
      <w:proofErr w:type="gramEnd"/>
      <w:r w:rsidRPr="00732B06">
        <w:rPr>
          <w:rFonts w:asciiTheme="minorHAnsi" w:hAnsiTheme="minorHAnsi"/>
          <w:bCs/>
          <w:sz w:val="28"/>
          <w:szCs w:val="28"/>
        </w:rPr>
        <w:t xml:space="preserve">, e abbiamo misurato il tempo necessario per le operazioni fondamentali di decomposizione e risoluzione con </w:t>
      </w:r>
      <w:bookmarkStart w:id="3" w:name="_GoBack"/>
      <w:proofErr w:type="spellStart"/>
      <w:r w:rsidRPr="00732B06">
        <w:rPr>
          <w:rFonts w:asciiTheme="minorHAnsi" w:hAnsiTheme="minorHAnsi"/>
          <w:bCs/>
          <w:i/>
          <w:iCs/>
          <w:sz w:val="28"/>
          <w:szCs w:val="28"/>
        </w:rPr>
        <w:t>sys.time</w:t>
      </w:r>
      <w:bookmarkEnd w:id="3"/>
      <w:proofErr w:type="spellEnd"/>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4F6FC6" w:rsidRDefault="004F6FC6" w:rsidP="009D0583">
      <w:pPr>
        <w:rPr>
          <w:rFonts w:asciiTheme="minorHAnsi" w:hAnsiTheme="minorHAnsi"/>
          <w:bCs/>
          <w:sz w:val="28"/>
          <w:szCs w:val="28"/>
        </w:rPr>
      </w:pPr>
    </w:p>
    <w:p w:rsidR="00A06655" w:rsidRPr="00A06655" w:rsidRDefault="00A06655">
      <w:pPr>
        <w:spacing w:line="240" w:lineRule="auto"/>
        <w:jc w:val="left"/>
        <w:rPr>
          <w:rFonts w:asciiTheme="minorHAnsi" w:hAnsiTheme="minorHAnsi"/>
          <w:bCs/>
          <w:sz w:val="28"/>
          <w:szCs w:val="28"/>
        </w:rPr>
      </w:pPr>
      <w:r>
        <w:rPr>
          <w:rFonts w:asciiTheme="minorHAnsi" w:hAnsiTheme="minorHAnsi"/>
          <w:b/>
          <w:sz w:val="48"/>
          <w:szCs w:val="48"/>
        </w:rPr>
        <w:br w:type="page"/>
      </w: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out of memory</w:t>
      </w:r>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5D6" w:rsidRDefault="002A45D6" w:rsidP="00334968">
      <w:pPr>
        <w:spacing w:line="240" w:lineRule="auto"/>
      </w:pPr>
      <w:r>
        <w:separator/>
      </w:r>
    </w:p>
  </w:endnote>
  <w:endnote w:type="continuationSeparator" w:id="0">
    <w:p w:rsidR="002A45D6" w:rsidRDefault="002A45D6"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t>2</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5D6" w:rsidRDefault="002A45D6" w:rsidP="00334968">
      <w:pPr>
        <w:spacing w:line="240" w:lineRule="auto"/>
      </w:pPr>
      <w:r>
        <w:separator/>
      </w:r>
    </w:p>
  </w:footnote>
  <w:footnote w:type="continuationSeparator" w:id="0">
    <w:p w:rsidR="002A45D6" w:rsidRDefault="002A45D6"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110523"/>
    <w:rsid w:val="00115710"/>
    <w:rsid w:val="00142859"/>
    <w:rsid w:val="001647E5"/>
    <w:rsid w:val="00180E57"/>
    <w:rsid w:val="0018449D"/>
    <w:rsid w:val="00222DAD"/>
    <w:rsid w:val="00247AF8"/>
    <w:rsid w:val="00285477"/>
    <w:rsid w:val="002A45D6"/>
    <w:rsid w:val="002E74C1"/>
    <w:rsid w:val="002F5B48"/>
    <w:rsid w:val="002F73E1"/>
    <w:rsid w:val="00314CD8"/>
    <w:rsid w:val="00334968"/>
    <w:rsid w:val="00352619"/>
    <w:rsid w:val="003F00A5"/>
    <w:rsid w:val="003F4859"/>
    <w:rsid w:val="004219D9"/>
    <w:rsid w:val="00487B69"/>
    <w:rsid w:val="004A238A"/>
    <w:rsid w:val="004B55B1"/>
    <w:rsid w:val="004C685A"/>
    <w:rsid w:val="004E6024"/>
    <w:rsid w:val="004F6FC6"/>
    <w:rsid w:val="00506107"/>
    <w:rsid w:val="0051084A"/>
    <w:rsid w:val="0056283D"/>
    <w:rsid w:val="00591ABD"/>
    <w:rsid w:val="00596034"/>
    <w:rsid w:val="00607C98"/>
    <w:rsid w:val="00622278"/>
    <w:rsid w:val="006352D4"/>
    <w:rsid w:val="0063568B"/>
    <w:rsid w:val="00681607"/>
    <w:rsid w:val="006C0644"/>
    <w:rsid w:val="0070632B"/>
    <w:rsid w:val="00732B06"/>
    <w:rsid w:val="007D0D6E"/>
    <w:rsid w:val="00831DDF"/>
    <w:rsid w:val="00854AEB"/>
    <w:rsid w:val="00874BA8"/>
    <w:rsid w:val="00890897"/>
    <w:rsid w:val="008A6708"/>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C06F3B"/>
    <w:rsid w:val="00C21431"/>
    <w:rsid w:val="00C24072"/>
    <w:rsid w:val="00C343C9"/>
    <w:rsid w:val="00CA16CE"/>
    <w:rsid w:val="00CC6065"/>
    <w:rsid w:val="00CE372F"/>
    <w:rsid w:val="00CE57FF"/>
    <w:rsid w:val="00D5587E"/>
    <w:rsid w:val="00E65A75"/>
    <w:rsid w:val="00E71999"/>
    <w:rsid w:val="00E86C4C"/>
    <w:rsid w:val="00E92131"/>
    <w:rsid w:val="00EE694F"/>
    <w:rsid w:val="00EF0DF6"/>
    <w:rsid w:val="00F01BB7"/>
    <w:rsid w:val="00F25D4B"/>
    <w:rsid w:val="00F36E7F"/>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8015A6F"/>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semiHidden/>
    <w:unhideWhenUsed/>
    <w:rsid w:val="0011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585C4-31F7-48C6-ABC9-FF8B4645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1564</Words>
  <Characters>8915</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10459</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Silvia Traversa</cp:lastModifiedBy>
  <cp:revision>47</cp:revision>
  <cp:lastPrinted>2013-05-31T10:02:00Z</cp:lastPrinted>
  <dcterms:created xsi:type="dcterms:W3CDTF">2020-05-10T09:49:00Z</dcterms:created>
  <dcterms:modified xsi:type="dcterms:W3CDTF">2020-05-15T15:11:00Z</dcterms:modified>
</cp:coreProperties>
</file>