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BB8EE" w14:textId="77777777" w:rsidR="00114F3C" w:rsidRDefault="00000000">
      <w:pPr>
        <w:spacing w:after="40"/>
        <w:jc w:val="center"/>
      </w:pPr>
      <w:r>
        <w:rPr>
          <w:b/>
          <w:bCs/>
          <w:color w:val="1F3A5F"/>
          <w:sz w:val="30"/>
          <w:szCs w:val="30"/>
        </w:rPr>
        <w:t>Supporting Information</w:t>
      </w:r>
    </w:p>
    <w:p w14:paraId="08627D32" w14:textId="77777777" w:rsidR="00114F3C" w:rsidRDefault="00000000">
      <w:pPr>
        <w:spacing w:after="40"/>
        <w:jc w:val="center"/>
      </w:pPr>
      <w:r>
        <w:rPr>
          <w:i/>
          <w:iCs/>
          <w:sz w:val="22"/>
          <w:szCs w:val="22"/>
        </w:rPr>
        <w:t>A stochastic model of dengue establishment following importation into Türkiye under CMIP6 climate scenarios</w:t>
      </w:r>
    </w:p>
    <w:p w14:paraId="4569AEDF" w14:textId="77777777" w:rsidR="00114F3C" w:rsidRDefault="00000000">
      <w:pPr>
        <w:spacing w:after="160"/>
        <w:jc w:val="center"/>
      </w:pPr>
      <w:r>
        <w:rPr>
          <w:color w:val="666666"/>
          <w:sz w:val="19"/>
          <w:szCs w:val="19"/>
        </w:rPr>
        <w:t>Derin O, et al.</w:t>
      </w:r>
    </w:p>
    <w:p w14:paraId="02667456" w14:textId="77777777" w:rsidR="00114F3C" w:rsidRDefault="00000000">
      <w:pPr>
        <w:spacing w:after="120" w:line="276" w:lineRule="auto"/>
        <w:jc w:val="both"/>
      </w:pPr>
      <w:r>
        <w:rPr>
          <w:i/>
          <w:iCs/>
          <w:color w:val="666666"/>
          <w:sz w:val="20"/>
          <w:szCs w:val="20"/>
        </w:rPr>
        <w:t>This document collects all Supporting Information items referenced in the main text. For submission, each item (S1 Text, S2 Text, S1–S6 Table, S1–S8 Fig, S1 Data) may be exported as a separate file. Notation matches the main text; equations are given in inline form.</w:t>
      </w:r>
    </w:p>
    <w:p w14:paraId="2F89BA1F" w14:textId="179AB122" w:rsidR="00114F3C" w:rsidRDefault="00000000">
      <w:pPr>
        <w:pStyle w:val="Balk1"/>
        <w:spacing w:before="260" w:after="120"/>
      </w:pPr>
      <w:r>
        <w:rPr>
          <w:b/>
          <w:bCs/>
          <w:color w:val="1F3A5F"/>
          <w:sz w:val="27"/>
          <w:szCs w:val="27"/>
        </w:rPr>
        <w:t>S1 . Mathematical framework</w:t>
      </w:r>
    </w:p>
    <w:p w14:paraId="51B5F78D" w14:textId="77777777" w:rsidR="00114F3C" w:rsidRDefault="00000000">
      <w:pPr>
        <w:pStyle w:val="Balk2"/>
        <w:spacing w:before="180" w:after="80"/>
      </w:pPr>
      <w:r>
        <w:rPr>
          <w:b/>
          <w:bCs/>
          <w:color w:val="2E7D82"/>
          <w:sz w:val="23"/>
          <w:szCs w:val="23"/>
        </w:rPr>
        <w:t>1. State space and the spark-phase birth–death process</w:t>
      </w:r>
    </w:p>
    <w:p w14:paraId="4CE6C738" w14:textId="77777777" w:rsidR="00114F3C" w:rsidRDefault="00000000">
      <w:pPr>
        <w:spacing w:after="120" w:line="276" w:lineRule="auto"/>
        <w:jc w:val="both"/>
      </w:pPr>
      <w:r>
        <w:t xml:space="preserve">Following the introduction of one or more viremic humans into a district, early transmission is modeled as a continuous-time Markov chain (CTMC) birth–death process on the number of currently infectious humans, </w:t>
      </w:r>
      <w:r>
        <w:rPr>
          <w:i/>
          <w:iCs/>
        </w:rPr>
        <w:t>I(t) ∈ {0, 1, 2, …}</w:t>
      </w:r>
      <w:r>
        <w:t xml:space="preserve">. Each infectious human recovers at per-capita rate </w:t>
      </w:r>
      <w:r>
        <w:rPr>
          <w:i/>
          <w:iCs/>
        </w:rPr>
        <w:t>γ</w:t>
      </w:r>
      <w:r>
        <w:t xml:space="preserve"> (transitions </w:t>
      </w:r>
      <w:r>
        <w:rPr>
          <w:i/>
          <w:iCs/>
        </w:rPr>
        <w:t>I → I − 1</w:t>
      </w:r>
      <w:r>
        <w:t xml:space="preserve">) and generates secondary infectious humans at per-capita rate </w:t>
      </w:r>
      <w:r>
        <w:rPr>
          <w:i/>
          <w:iCs/>
        </w:rPr>
        <w:t>γR₀</w:t>
      </w:r>
      <w:r>
        <w:t xml:space="preserve"> (transitions </w:t>
      </w:r>
      <w:r>
        <w:rPr>
          <w:i/>
          <w:iCs/>
        </w:rPr>
        <w:t>I → I + 1</w:t>
      </w:r>
      <w:r>
        <w:t xml:space="preserve">), where </w:t>
      </w:r>
      <w:r>
        <w:rPr>
          <w:i/>
          <w:iCs/>
        </w:rPr>
        <w:t>R₀</w:t>
      </w:r>
      <w:r>
        <w:t xml:space="preserve"> is the basic reproduction number under the prevailing monthly climate. This “spark-phase” approximation treats the vector compartment as fast relative to the human infectious period and collapses it into the effective human-to-human reproduction number (Section 3).</w:t>
      </w:r>
    </w:p>
    <w:p w14:paraId="4C7597DE" w14:textId="77777777" w:rsidR="00114F3C" w:rsidRDefault="00000000">
      <w:pPr>
        <w:spacing w:after="120" w:line="276" w:lineRule="auto"/>
        <w:jc w:val="both"/>
      </w:pPr>
      <w:r>
        <w:t xml:space="preserve">Absorption at </w:t>
      </w:r>
      <w:r>
        <w:rPr>
          <w:i/>
          <w:iCs/>
        </w:rPr>
        <w:t>I = 0</w:t>
      </w:r>
      <w:r>
        <w:t xml:space="preserve"> corresponds to stochastic fade-out (extinction). Establishment of an autochthonous outbreak is defined operationally as the chain reaching a threshold of </w:t>
      </w:r>
      <w:r>
        <w:rPr>
          <w:i/>
          <w:iCs/>
        </w:rPr>
        <w:t>τ = 30</w:t>
      </w:r>
      <w:r>
        <w:t xml:space="preserve"> concurrent infectious humans before extinction, a gambler’s-ruin formulation that avoids the biological implausibility of the infinite-threshold limit for short spark phases.</w:t>
      </w:r>
    </w:p>
    <w:p w14:paraId="56500866" w14:textId="77777777" w:rsidR="00114F3C" w:rsidRDefault="00000000">
      <w:pPr>
        <w:pStyle w:val="Balk2"/>
        <w:spacing w:before="180" w:after="80"/>
      </w:pPr>
      <w:r>
        <w:rPr>
          <w:b/>
          <w:bCs/>
          <w:color w:val="2E7D82"/>
          <w:sz w:val="23"/>
          <w:szCs w:val="23"/>
        </w:rPr>
        <w:t>2. Single-introduction establishment probability (finite-threshold gambler’s ruin)</w:t>
      </w:r>
    </w:p>
    <w:p w14:paraId="575F0858" w14:textId="77777777" w:rsidR="00114F3C" w:rsidRDefault="00000000">
      <w:pPr>
        <w:spacing w:after="120" w:line="276" w:lineRule="auto"/>
        <w:jc w:val="both"/>
      </w:pPr>
      <w:r>
        <w:t xml:space="preserve">For a linear birth–death process with ratio </w:t>
      </w:r>
      <w:r>
        <w:rPr>
          <w:i/>
          <w:iCs/>
        </w:rPr>
        <w:t>ρ = 1/R₀</w:t>
      </w:r>
      <w:r>
        <w:t xml:space="preserve">, the probability that the chain started from a single infectious individual reaches </w:t>
      </w:r>
      <w:r>
        <w:rPr>
          <w:i/>
          <w:iCs/>
        </w:rPr>
        <w:t>τ</w:t>
      </w:r>
      <w:r>
        <w:t xml:space="preserve"> before hitting 0 is the classical gambler’s-ruin solution:</w:t>
      </w:r>
    </w:p>
    <w:p w14:paraId="73D00942" w14:textId="77777777" w:rsidR="00114F3C" w:rsidRDefault="00000000">
      <w:pPr>
        <w:spacing w:before="60" w:after="120"/>
        <w:jc w:val="center"/>
      </w:pPr>
      <w:r>
        <w:rPr>
          <w:i/>
          <w:iCs/>
        </w:rPr>
        <w:t>P_est(R₀, τ) = (1 − ρ) / (1 − ρ^τ),   ρ = 1/R₀.</w:t>
      </w:r>
    </w:p>
    <w:p w14:paraId="0F001B65" w14:textId="77777777" w:rsidR="00114F3C" w:rsidRDefault="00000000">
      <w:pPr>
        <w:spacing w:after="120" w:line="276" w:lineRule="auto"/>
        <w:jc w:val="both"/>
      </w:pPr>
      <w:r>
        <w:t xml:space="preserve">Two limiting cases are used for verification (S2 Table). As </w:t>
      </w:r>
      <w:r>
        <w:rPr>
          <w:i/>
          <w:iCs/>
        </w:rPr>
        <w:t>R₀ → 1</w:t>
      </w:r>
      <w:r>
        <w:t xml:space="preserve"> (ρ → 1), l’Hôpital’s rule gives </w:t>
      </w:r>
      <w:r>
        <w:rPr>
          <w:i/>
          <w:iCs/>
        </w:rPr>
        <w:t>P_est → 1/τ</w:t>
      </w:r>
      <w:r>
        <w:t xml:space="preserve">. As </w:t>
      </w:r>
      <w:r>
        <w:rPr>
          <w:i/>
          <w:iCs/>
        </w:rPr>
        <w:t>τ → ∞</w:t>
      </w:r>
      <w:r>
        <w:t xml:space="preserve"> with </w:t>
      </w:r>
      <w:r>
        <w:rPr>
          <w:i/>
          <w:iCs/>
        </w:rPr>
        <w:t>R₀ &gt; 1</w:t>
      </w:r>
      <w:r>
        <w:t xml:space="preserve">, </w:t>
      </w:r>
      <w:r>
        <w:rPr>
          <w:i/>
          <w:iCs/>
        </w:rPr>
        <w:t>P_est → 1 − 1/R₀</w:t>
      </w:r>
      <w:r>
        <w:t xml:space="preserve"> (the standard branching-process survival probability); for </w:t>
      </w:r>
      <w:r>
        <w:rPr>
          <w:i/>
          <w:iCs/>
        </w:rPr>
        <w:t>R₀ ≤ 1</w:t>
      </w:r>
      <w:r>
        <w:t xml:space="preserve">, </w:t>
      </w:r>
      <w:r>
        <w:rPr>
          <w:i/>
          <w:iCs/>
        </w:rPr>
        <w:t>P_est = 0</w:t>
      </w:r>
      <w:r>
        <w:t xml:space="preserve">. The finite value </w:t>
      </w:r>
      <w:r>
        <w:rPr>
          <w:i/>
          <w:iCs/>
        </w:rPr>
        <w:t>τ = 30</w:t>
      </w:r>
      <w:r>
        <w:t xml:space="preserve"> yields conservative establishment probabilities intermediate between these bounds.</w:t>
      </w:r>
    </w:p>
    <w:p w14:paraId="1227B342" w14:textId="77777777" w:rsidR="00114F3C" w:rsidRDefault="00000000">
      <w:pPr>
        <w:pStyle w:val="Balk2"/>
        <w:spacing w:before="180" w:after="80"/>
      </w:pPr>
      <w:r>
        <w:rPr>
          <w:b/>
          <w:bCs/>
          <w:color w:val="2E7D82"/>
          <w:sz w:val="23"/>
          <w:szCs w:val="23"/>
        </w:rPr>
        <w:t>3. Basic reproduction number</w:t>
      </w:r>
    </w:p>
    <w:p w14:paraId="18149BFC" w14:textId="77777777" w:rsidR="00114F3C" w:rsidRDefault="00000000">
      <w:pPr>
        <w:spacing w:after="120" w:line="276" w:lineRule="auto"/>
        <w:jc w:val="both"/>
      </w:pPr>
      <w:r>
        <w:t>The monthly, climate-dependent reproduction number follows a Ross–Macdonald construction reduced to human-to-human form:</w:t>
      </w:r>
    </w:p>
    <w:p w14:paraId="69B0BE14" w14:textId="77777777" w:rsidR="00114F3C" w:rsidRPr="00500B36" w:rsidRDefault="00000000">
      <w:pPr>
        <w:spacing w:before="60" w:after="120"/>
        <w:jc w:val="center"/>
        <w:rPr>
          <w:lang w:val="fr-FR"/>
        </w:rPr>
      </w:pPr>
      <w:r w:rsidRPr="00500B36">
        <w:rPr>
          <w:i/>
          <w:iCs/>
          <w:lang w:val="fr-FR"/>
        </w:rPr>
        <w:t xml:space="preserve">R₀(T, RH) = [ m · a(T)² · </w:t>
      </w:r>
      <w:r>
        <w:rPr>
          <w:i/>
          <w:iCs/>
        </w:rPr>
        <w:t>β</w:t>
      </w:r>
      <w:r w:rsidRPr="00500B36">
        <w:rPr>
          <w:i/>
          <w:iCs/>
          <w:lang w:val="fr-FR"/>
        </w:rPr>
        <w:t xml:space="preserve">_vh · </w:t>
      </w:r>
      <w:r>
        <w:rPr>
          <w:i/>
          <w:iCs/>
        </w:rPr>
        <w:t>β</w:t>
      </w:r>
      <w:r w:rsidRPr="00500B36">
        <w:rPr>
          <w:i/>
          <w:iCs/>
          <w:lang w:val="fr-FR"/>
        </w:rPr>
        <w:t>_hv · e^(−</w:t>
      </w:r>
      <w:r>
        <w:rPr>
          <w:i/>
          <w:iCs/>
        </w:rPr>
        <w:t>μ</w:t>
      </w:r>
      <w:r w:rsidRPr="00500B36">
        <w:rPr>
          <w:i/>
          <w:iCs/>
          <w:lang w:val="fr-FR"/>
        </w:rPr>
        <w:t xml:space="preserve">_v(T,RH)·EIP(T)) ] / [ </w:t>
      </w:r>
      <w:r>
        <w:rPr>
          <w:i/>
          <w:iCs/>
        </w:rPr>
        <w:t>μ</w:t>
      </w:r>
      <w:r w:rsidRPr="00500B36">
        <w:rPr>
          <w:i/>
          <w:iCs/>
          <w:lang w:val="fr-FR"/>
        </w:rPr>
        <w:t xml:space="preserve">_v(T,RH) · </w:t>
      </w:r>
      <w:r>
        <w:rPr>
          <w:i/>
          <w:iCs/>
        </w:rPr>
        <w:t>γ</w:t>
      </w:r>
      <w:r w:rsidRPr="00500B36">
        <w:rPr>
          <w:i/>
          <w:iCs/>
          <w:lang w:val="fr-FR"/>
        </w:rPr>
        <w:t xml:space="preserve"> ].</w:t>
      </w:r>
    </w:p>
    <w:p w14:paraId="3C78F390" w14:textId="77777777" w:rsidR="00114F3C" w:rsidRDefault="00000000">
      <w:pPr>
        <w:spacing w:after="120" w:line="276" w:lineRule="auto"/>
        <w:jc w:val="both"/>
      </w:pPr>
      <w:r>
        <w:t xml:space="preserve">Here </w:t>
      </w:r>
      <w:r>
        <w:rPr>
          <w:i/>
          <w:iCs/>
        </w:rPr>
        <w:t>m</w:t>
      </w:r>
      <w:r>
        <w:t xml:space="preserve"> is the mosquito-to-human ratio, </w:t>
      </w:r>
      <w:r>
        <w:rPr>
          <w:i/>
          <w:iCs/>
        </w:rPr>
        <w:t>a(T)</w:t>
      </w:r>
      <w:r>
        <w:t xml:space="preserve"> the temperature-dependent biting rate, </w:t>
      </w:r>
      <w:r>
        <w:rPr>
          <w:i/>
          <w:iCs/>
        </w:rPr>
        <w:t>β_vh</w:t>
      </w:r>
      <w:r>
        <w:t xml:space="preserve"> and </w:t>
      </w:r>
      <w:r>
        <w:rPr>
          <w:i/>
          <w:iCs/>
        </w:rPr>
        <w:t>β_hv</w:t>
      </w:r>
      <w:r>
        <w:t xml:space="preserve"> the vector-to-human and human-to-vector transmission probabilities, </w:t>
      </w:r>
      <w:r>
        <w:rPr>
          <w:i/>
          <w:iCs/>
        </w:rPr>
        <w:t>μ_v</w:t>
      </w:r>
      <w:r>
        <w:t xml:space="preserve"> the vector mortality rate, </w:t>
      </w:r>
      <w:r>
        <w:rPr>
          <w:i/>
          <w:iCs/>
        </w:rPr>
        <w:t>EIP</w:t>
      </w:r>
      <w:r>
        <w:t xml:space="preserve"> the extrinsic incubation period, and </w:t>
      </w:r>
      <w:r>
        <w:rPr>
          <w:i/>
          <w:iCs/>
        </w:rPr>
        <w:t>γ</w:t>
      </w:r>
      <w:r>
        <w:t xml:space="preserve"> the human recovery rate. The factor </w:t>
      </w:r>
      <w:r>
        <w:rPr>
          <w:i/>
          <w:iCs/>
        </w:rPr>
        <w:t>e^(−μ_v·EIP)</w:t>
      </w:r>
      <w:r>
        <w:t xml:space="preserve"> is the probability a vector survives the incubation period. All temperature- and humidity-dependent traits are parameterized in Section S2 Text and S1 Table.</w:t>
      </w:r>
    </w:p>
    <w:p w14:paraId="07249D2E" w14:textId="77777777" w:rsidR="00114F3C" w:rsidRDefault="00000000">
      <w:pPr>
        <w:pStyle w:val="Balk2"/>
        <w:spacing w:before="180" w:after="80"/>
      </w:pPr>
      <w:r>
        <w:rPr>
          <w:b/>
          <w:bCs/>
          <w:color w:val="2E7D82"/>
          <w:sz w:val="23"/>
          <w:szCs w:val="23"/>
        </w:rPr>
        <w:t>4. Importation and monthly establishment risk</w:t>
      </w:r>
    </w:p>
    <w:p w14:paraId="22AE943A" w14:textId="77777777" w:rsidR="00114F3C" w:rsidRDefault="00000000">
      <w:pPr>
        <w:spacing w:after="120" w:line="276" w:lineRule="auto"/>
        <w:jc w:val="both"/>
      </w:pPr>
      <w:r>
        <w:t xml:space="preserve">Viremic importation into district </w:t>
      </w:r>
      <w:r>
        <w:rPr>
          <w:i/>
          <w:iCs/>
        </w:rPr>
        <w:t>d</w:t>
      </w:r>
      <w:r>
        <w:t xml:space="preserve"> during month </w:t>
      </w:r>
      <w:r>
        <w:rPr>
          <w:i/>
          <w:iCs/>
        </w:rPr>
        <w:t>t</w:t>
      </w:r>
      <w:r>
        <w:t xml:space="preserve"> is modeled as a Poisson process with expected count </w:t>
      </w:r>
      <w:r>
        <w:rPr>
          <w:i/>
          <w:iCs/>
        </w:rPr>
        <w:t>λ_{d,t}</w:t>
      </w:r>
      <w:r>
        <w:t xml:space="preserve"> (Section S2 Text). The probability of at least one viremic import that month is </w:t>
      </w:r>
      <w:r>
        <w:rPr>
          <w:i/>
          <w:iCs/>
        </w:rPr>
        <w:t>q_{d,t} = 1 − e^(−λ_{d,t})</w:t>
      </w:r>
      <w:r>
        <w:t>, and the monthly probability that importation is followed by establishment is</w:t>
      </w:r>
    </w:p>
    <w:p w14:paraId="1E79367C" w14:textId="77777777" w:rsidR="00114F3C" w:rsidRDefault="00000000">
      <w:pPr>
        <w:spacing w:before="60" w:after="120"/>
        <w:jc w:val="center"/>
      </w:pPr>
      <w:r>
        <w:rPr>
          <w:i/>
          <w:iCs/>
        </w:rPr>
        <w:t>p_{d,t} = (1 − e^(−λ_{d,t})) · P_est(R₀_{d,t}, τ).</w:t>
      </w:r>
    </w:p>
    <w:p w14:paraId="2B2BFC7A" w14:textId="77777777" w:rsidR="00114F3C" w:rsidRDefault="00000000">
      <w:pPr>
        <w:spacing w:after="120" w:line="276" w:lineRule="auto"/>
        <w:jc w:val="both"/>
      </w:pPr>
      <w:r>
        <w:t>This is the quantity reported by the What-If and custom-location calculators of the companion Shiny application.</w:t>
      </w:r>
    </w:p>
    <w:p w14:paraId="5181AE75" w14:textId="77777777" w:rsidR="00114F3C" w:rsidRDefault="00000000">
      <w:pPr>
        <w:pStyle w:val="Balk2"/>
        <w:spacing w:before="180" w:after="80"/>
      </w:pPr>
      <w:r>
        <w:rPr>
          <w:b/>
          <w:bCs/>
          <w:color w:val="2E7D82"/>
          <w:sz w:val="23"/>
          <w:szCs w:val="23"/>
        </w:rPr>
        <w:t>5. Cumulative (horizon) establishment risk</w:t>
      </w:r>
    </w:p>
    <w:p w14:paraId="770EAC0C" w14:textId="77777777" w:rsidR="00114F3C" w:rsidRDefault="00000000">
      <w:pPr>
        <w:spacing w:after="120" w:line="276" w:lineRule="auto"/>
        <w:jc w:val="both"/>
      </w:pPr>
      <w:r>
        <w:t xml:space="preserve">Assuming independence of monthly establishment events, the cumulative probability of at least one autochthonous outbreak over a set of months </w:t>
      </w:r>
      <w:r>
        <w:rPr>
          <w:i/>
          <w:iCs/>
        </w:rPr>
        <w:t>M</w:t>
      </w:r>
      <w:r>
        <w:t xml:space="preserve"> (e.g., all district-months in 2025–2075) is the Poisson-binomial complement:</w:t>
      </w:r>
    </w:p>
    <w:p w14:paraId="08EB37A2" w14:textId="77777777" w:rsidR="00114F3C" w:rsidRDefault="00000000">
      <w:pPr>
        <w:spacing w:before="60" w:after="120"/>
        <w:jc w:val="center"/>
      </w:pPr>
      <w:r>
        <w:rPr>
          <w:i/>
          <w:iCs/>
        </w:rPr>
        <w:t>P_horizon = 1 − ∏_{(d,t) ∈ M} (1 − p_{d,t}).</w:t>
      </w:r>
    </w:p>
    <w:p w14:paraId="42C1EB49" w14:textId="77777777" w:rsidR="00114F3C" w:rsidRDefault="00000000">
      <w:pPr>
        <w:spacing w:after="120" w:line="276" w:lineRule="auto"/>
        <w:jc w:val="both"/>
      </w:pPr>
      <w:r>
        <w:t xml:space="preserve">Equivalently, aggregating first to annual risk </w:t>
      </w:r>
      <w:r>
        <w:rPr>
          <w:i/>
          <w:iCs/>
        </w:rPr>
        <w:t>p_year</w:t>
      </w:r>
      <w:r>
        <w:t xml:space="preserve"> = 1 − ∏_{months}(1 − p_{d,t}) and then across years gives </w:t>
      </w:r>
      <w:r>
        <w:rPr>
          <w:i/>
          <w:iCs/>
        </w:rPr>
        <w:t>P_horizon = 1 − ∏_{years}(1 − p_year)</w:t>
      </w:r>
      <w:r>
        <w:t>, the form used in the Projection Browser to report cumulative risk over a user-selected period.</w:t>
      </w:r>
    </w:p>
    <w:p w14:paraId="246C3A85" w14:textId="77777777" w:rsidR="00114F3C" w:rsidRDefault="00000000">
      <w:pPr>
        <w:pStyle w:val="Balk2"/>
        <w:spacing w:before="180" w:after="80"/>
      </w:pPr>
      <w:r>
        <w:rPr>
          <w:b/>
          <w:bCs/>
          <w:color w:val="2E7D82"/>
          <w:sz w:val="23"/>
          <w:szCs w:val="23"/>
        </w:rPr>
        <w:t>6. Extrinsic-incubation-period heterogeneity and the Jensen correction</w:t>
      </w:r>
    </w:p>
    <w:p w14:paraId="670DC27A" w14:textId="77777777" w:rsidR="00114F3C" w:rsidRDefault="00000000">
      <w:pPr>
        <w:spacing w:after="120" w:line="276" w:lineRule="auto"/>
        <w:jc w:val="both"/>
      </w:pPr>
      <w:r>
        <w:t xml:space="preserve">Because </w:t>
      </w:r>
      <w:r>
        <w:rPr>
          <w:i/>
          <w:iCs/>
        </w:rPr>
        <w:t>P_est</w:t>
      </w:r>
      <w:r>
        <w:t xml:space="preserve"> is a nonlinear function of </w:t>
      </w:r>
      <w:r>
        <w:rPr>
          <w:i/>
          <w:iCs/>
        </w:rPr>
        <w:t>EIP</w:t>
      </w:r>
      <w:r>
        <w:t xml:space="preserve">, the establishment probability under a distribution of incubation periods is not equal to the establishment probability evaluated at the mean EIP; by Jensen’s inequality </w:t>
      </w:r>
      <w:r>
        <w:rPr>
          <w:i/>
          <w:iCs/>
        </w:rPr>
        <w:t>E[P_est(EIP)] ≠ P_est(E[EIP])</w:t>
      </w:r>
      <w:r>
        <w:t xml:space="preserve">. We therefore treat </w:t>
      </w:r>
      <w:r>
        <w:rPr>
          <w:i/>
          <w:iCs/>
        </w:rPr>
        <w:t>EIP</w:t>
      </w:r>
      <w:r>
        <w:t xml:space="preserve"> as log-normally distributed and estimate </w:t>
      </w:r>
      <w:r>
        <w:rPr>
          <w:i/>
          <w:iCs/>
        </w:rPr>
        <w:t>E[P_est]</w:t>
      </w:r>
      <w:r>
        <w:t xml:space="preserve"> by inner Monte Carlo sampling (n_mc = 2,000), rather than substituting the mean. The sign and magnitude of the resulting Jensen bias are quantified per district and scenario in S2 Table.</w:t>
      </w:r>
    </w:p>
    <w:p w14:paraId="15EAAB13" w14:textId="77777777" w:rsidR="00114F3C" w:rsidRDefault="00000000">
      <w:r>
        <w:br w:type="page"/>
      </w:r>
    </w:p>
    <w:p w14:paraId="66B1A8D4" w14:textId="77777777" w:rsidR="00114F3C" w:rsidRDefault="00000000">
      <w:pPr>
        <w:pStyle w:val="Balk1"/>
        <w:spacing w:before="260" w:after="120"/>
      </w:pPr>
      <w:r>
        <w:rPr>
          <w:b/>
          <w:bCs/>
          <w:color w:val="1F3A5F"/>
          <w:sz w:val="27"/>
          <w:szCs w:val="27"/>
        </w:rPr>
        <w:t>S2 Text. Parameterization and computational workflow</w:t>
      </w:r>
    </w:p>
    <w:p w14:paraId="48A6BE4F" w14:textId="77777777" w:rsidR="00114F3C" w:rsidRDefault="00000000">
      <w:pPr>
        <w:pStyle w:val="Balk2"/>
        <w:spacing w:before="180" w:after="80"/>
      </w:pPr>
      <w:r>
        <w:rPr>
          <w:b/>
          <w:bCs/>
          <w:color w:val="2E7D82"/>
          <w:sz w:val="23"/>
          <w:szCs w:val="23"/>
        </w:rPr>
        <w:t>1. Climate data and bias correction</w:t>
      </w:r>
    </w:p>
    <w:p w14:paraId="3FDFA8C0" w14:textId="77777777" w:rsidR="00114F3C" w:rsidRDefault="00000000">
      <w:pPr>
        <w:spacing w:after="120" w:line="276" w:lineRule="auto"/>
        <w:jc w:val="both"/>
      </w:pPr>
      <w:r>
        <w:t>Monthly near-surface air temperature and relative humidity for each sentinel district were extracted from CMIP6 projections under three Shared Socioeconomic Pathways (SSP1-2.6, SSP2-4.5, SSP5-8.5) for 2015–2100. Projections were delta bias-corrected against the observational baseline before being used to drive the thermal-performance functions. Analyses in the main text use the 2025–2075 horizon (51 annual cycles).</w:t>
      </w:r>
    </w:p>
    <w:p w14:paraId="0259B59B" w14:textId="77777777" w:rsidR="00114F3C" w:rsidRDefault="00000000">
      <w:pPr>
        <w:pStyle w:val="Balk2"/>
        <w:spacing w:before="180" w:after="80"/>
      </w:pPr>
      <w:r>
        <w:rPr>
          <w:b/>
          <w:bCs/>
          <w:color w:val="2E7D82"/>
          <w:sz w:val="23"/>
          <w:szCs w:val="23"/>
        </w:rPr>
        <w:t>2. Thermal performance functions</w:t>
      </w:r>
    </w:p>
    <w:p w14:paraId="4698A558" w14:textId="77777777" w:rsidR="00114F3C" w:rsidRDefault="00000000">
      <w:pPr>
        <w:spacing w:after="120" w:line="276" w:lineRule="auto"/>
        <w:jc w:val="both"/>
      </w:pPr>
      <w:r>
        <w:t xml:space="preserve">Biting rate </w:t>
      </w:r>
      <w:r>
        <w:rPr>
          <w:i/>
          <w:iCs/>
        </w:rPr>
        <w:t>a(T)</w:t>
      </w:r>
      <w:r>
        <w:t xml:space="preserve"> and the EIP development rate were represented by Brière functions, and vector lifespan by a unimodal quadratic:</w:t>
      </w:r>
    </w:p>
    <w:p w14:paraId="690BF6FD" w14:textId="77777777" w:rsidR="00114F3C" w:rsidRPr="00500B36" w:rsidRDefault="00000000">
      <w:pPr>
        <w:spacing w:before="60" w:after="120"/>
        <w:jc w:val="center"/>
        <w:rPr>
          <w:lang w:val="fr-FR"/>
        </w:rPr>
      </w:pPr>
      <w:r w:rsidRPr="00500B36">
        <w:rPr>
          <w:i/>
          <w:iCs/>
          <w:lang w:val="fr-FR"/>
        </w:rPr>
        <w:t>Brière:  b(T) = c · T · (T − T₀) · √(Tₘ − T)   for T₀ &lt; T &lt; Tₘ, else 0.</w:t>
      </w:r>
    </w:p>
    <w:p w14:paraId="0B0F2679" w14:textId="77777777" w:rsidR="00114F3C" w:rsidRDefault="00000000">
      <w:pPr>
        <w:spacing w:before="60" w:after="120"/>
        <w:jc w:val="center"/>
      </w:pPr>
      <w:r>
        <w:rPr>
          <w:i/>
          <w:iCs/>
        </w:rPr>
        <w:t>Quadratic (lifespan):  L(T) = −c · (T − T₀) · (T − Tₘ),  floored at L_floor = 0.25 days.</w:t>
      </w:r>
    </w:p>
    <w:p w14:paraId="5F43AC46" w14:textId="77777777" w:rsidR="00114F3C" w:rsidRDefault="00000000">
      <w:pPr>
        <w:spacing w:after="120" w:line="276" w:lineRule="auto"/>
        <w:jc w:val="both"/>
      </w:pPr>
      <w:r>
        <w:t xml:space="preserve">The mean EIP is the reciprocal of the development rate, </w:t>
      </w:r>
      <w:r>
        <w:rPr>
          <w:i/>
          <w:iCs/>
        </w:rPr>
        <w:t>EIP(T) = 1 / rate(T)</w:t>
      </w:r>
      <w:r>
        <w:t>. Species-specific coefficients are listed in S1 Table.</w:t>
      </w:r>
    </w:p>
    <w:p w14:paraId="4234DBBC" w14:textId="77777777" w:rsidR="00114F3C" w:rsidRDefault="00000000">
      <w:pPr>
        <w:pStyle w:val="Balk2"/>
        <w:spacing w:before="180" w:after="80"/>
      </w:pPr>
      <w:r>
        <w:rPr>
          <w:b/>
          <w:bCs/>
          <w:color w:val="2E7D82"/>
          <w:sz w:val="23"/>
          <w:szCs w:val="23"/>
        </w:rPr>
        <w:t>3. Humidity-dependent vector mortality</w:t>
      </w:r>
    </w:p>
    <w:p w14:paraId="00DEA121" w14:textId="77777777" w:rsidR="00114F3C" w:rsidRDefault="00000000">
      <w:pPr>
        <w:spacing w:after="120" w:line="276" w:lineRule="auto"/>
        <w:jc w:val="both"/>
      </w:pPr>
      <w:r>
        <w:t xml:space="preserve">Baseline temperature-dependent mortality </w:t>
      </w:r>
      <w:r>
        <w:rPr>
          <w:i/>
          <w:iCs/>
        </w:rPr>
        <w:t>μ_T = 1/L(T)</w:t>
      </w:r>
      <w:r>
        <w:t xml:space="preserve"> is modified by vapor-pressure deficit (VPD):</w:t>
      </w:r>
    </w:p>
    <w:p w14:paraId="77D81CB1" w14:textId="77777777" w:rsidR="00114F3C" w:rsidRDefault="00000000">
      <w:pPr>
        <w:spacing w:before="60" w:after="120"/>
        <w:jc w:val="center"/>
      </w:pPr>
      <w:r>
        <w:rPr>
          <w:i/>
          <w:iCs/>
        </w:rPr>
        <w:t>VPD(T, RH) = 0.6108 · e^(17.27·T/(T+237.3)) · (1 − RH/100)  [kPa],</w:t>
      </w:r>
    </w:p>
    <w:p w14:paraId="38D1AADD" w14:textId="77777777" w:rsidR="00114F3C" w:rsidRDefault="00000000">
      <w:pPr>
        <w:spacing w:before="60" w:after="120"/>
        <w:jc w:val="center"/>
      </w:pPr>
      <w:r>
        <w:rPr>
          <w:i/>
          <w:iCs/>
        </w:rPr>
        <w:t>μ_v(T, RH) = μ_T · e^(k_vpd · (VPD − VPD_ref)),  floored at 1×10⁻⁶ day⁻¹,</w:t>
      </w:r>
    </w:p>
    <w:p w14:paraId="5E94A957" w14:textId="77777777" w:rsidR="00114F3C" w:rsidRDefault="00000000">
      <w:pPr>
        <w:spacing w:after="120" w:line="276" w:lineRule="auto"/>
        <w:jc w:val="both"/>
      </w:pPr>
      <w:r>
        <w:t xml:space="preserve">with </w:t>
      </w:r>
      <w:r>
        <w:rPr>
          <w:i/>
          <w:iCs/>
        </w:rPr>
        <w:t>k_vpd = 0.5 kPa⁻¹</w:t>
      </w:r>
      <w:r>
        <w:t xml:space="preserve"> and </w:t>
      </w:r>
      <w:r>
        <w:rPr>
          <w:i/>
          <w:iCs/>
        </w:rPr>
        <w:t>VPD_ref = 1.0 kPa</w:t>
      </w:r>
      <w:r>
        <w:t>. Drier conditions (higher VPD) raise mortality.</w:t>
      </w:r>
    </w:p>
    <w:p w14:paraId="08314C45" w14:textId="77777777" w:rsidR="00114F3C" w:rsidRDefault="00000000">
      <w:pPr>
        <w:pStyle w:val="Balk2"/>
        <w:spacing w:before="180" w:after="80"/>
      </w:pPr>
      <w:r>
        <w:rPr>
          <w:b/>
          <w:bCs/>
          <w:color w:val="2E7D82"/>
          <w:sz w:val="23"/>
          <w:szCs w:val="23"/>
        </w:rPr>
        <w:t>4. Importation pressure</w:t>
      </w:r>
    </w:p>
    <w:p w14:paraId="6647A87D" w14:textId="77777777" w:rsidR="00114F3C" w:rsidRDefault="00000000">
      <w:pPr>
        <w:spacing w:after="120" w:line="276" w:lineRule="auto"/>
        <w:jc w:val="both"/>
      </w:pPr>
      <w:r>
        <w:t xml:space="preserve">Monthly expected viremic importation </w:t>
      </w:r>
      <w:r>
        <w:rPr>
          <w:i/>
          <w:iCs/>
        </w:rPr>
        <w:t>λ_{d,t}</w:t>
      </w:r>
      <w:r>
        <w:t xml:space="preserve"> was constructed from </w:t>
      </w:r>
      <w:r>
        <w:rPr>
          <w:b/>
          <w:bCs/>
        </w:rPr>
        <w:t>province-level</w:t>
      </w:r>
      <w:r>
        <w:t xml:space="preserve"> international-arrival statistics (rather than a national total distributed across the sentinel set), the dengue-endemic composition of source regions, an assumed viremic fraction among arrivals, and a seasonal arrival profile. This province-level normalization is the corrected importation scaling used in the final analysis; it determines the absolute magnitude of establishment risk while leaving the between-district ranking and threshold-crossing timing largely unchanged.</w:t>
      </w:r>
    </w:p>
    <w:p w14:paraId="6617B0CE" w14:textId="77777777" w:rsidR="00114F3C" w:rsidRDefault="00000000">
      <w:pPr>
        <w:pStyle w:val="Balk2"/>
        <w:spacing w:before="180" w:after="80"/>
      </w:pPr>
      <w:r>
        <w:rPr>
          <w:b/>
          <w:bCs/>
          <w:color w:val="2E7D82"/>
          <w:sz w:val="23"/>
          <w:szCs w:val="23"/>
        </w:rPr>
        <w:t>5. Simulation, verification, and reproducibility</w:t>
      </w:r>
    </w:p>
    <w:p w14:paraId="35E6B02B" w14:textId="77777777" w:rsidR="00114F3C" w:rsidRDefault="00000000">
      <w:pPr>
        <w:pStyle w:val="ListeParagraf"/>
        <w:numPr>
          <w:ilvl w:val="0"/>
          <w:numId w:val="2"/>
        </w:numPr>
        <w:spacing w:after="70" w:line="268" w:lineRule="auto"/>
        <w:jc w:val="both"/>
      </w:pPr>
      <w:r>
        <w:t xml:space="preserve">Inner Monte Carlo over the log-normal EIP used </w:t>
      </w:r>
      <w:r>
        <w:rPr>
          <w:b/>
          <w:bCs/>
        </w:rPr>
        <w:t>n_mc = 2,000</w:t>
      </w:r>
      <w:r>
        <w:t xml:space="preserve"> draws, reducing the Monte Carlo standard error of </w:t>
      </w:r>
      <w:r>
        <w:rPr>
          <w:i/>
          <w:iCs/>
        </w:rPr>
        <w:t>E[P_est]</w:t>
      </w:r>
      <w:r>
        <w:t xml:space="preserve"> to below ~1% on the P_est scale.</w:t>
      </w:r>
    </w:p>
    <w:p w14:paraId="6E013996" w14:textId="77777777" w:rsidR="00114F3C" w:rsidRDefault="00000000">
      <w:pPr>
        <w:pStyle w:val="ListeParagraf"/>
        <w:numPr>
          <w:ilvl w:val="0"/>
          <w:numId w:val="2"/>
        </w:numPr>
        <w:spacing w:after="70" w:line="268" w:lineRule="auto"/>
        <w:jc w:val="both"/>
      </w:pPr>
      <w:r>
        <w:t xml:space="preserve">Outer replication used </w:t>
      </w:r>
      <w:r>
        <w:rPr>
          <w:b/>
          <w:bCs/>
        </w:rPr>
        <w:t>n_rep = 1,000</w:t>
      </w:r>
      <w:r>
        <w:t xml:space="preserve"> seed-controlled replicates, yielding reproducible, seed-independent reported values (≈√1000 ≈ 32-fold noise reduction).</w:t>
      </w:r>
    </w:p>
    <w:p w14:paraId="400B12C6" w14:textId="77777777" w:rsidR="00114F3C" w:rsidRDefault="00000000">
      <w:pPr>
        <w:pStyle w:val="ListeParagraf"/>
        <w:numPr>
          <w:ilvl w:val="0"/>
          <w:numId w:val="2"/>
        </w:numPr>
        <w:spacing w:after="70" w:line="268" w:lineRule="auto"/>
        <w:jc w:val="both"/>
      </w:pPr>
      <w:r>
        <w:t>Stage 1 (software verification): with EIP heterogeneity disabled (</w:t>
      </w:r>
      <w:r>
        <w:rPr>
          <w:i/>
          <w:iCs/>
        </w:rPr>
        <w:t>σ_EIP = 0</w:t>
      </w:r>
      <w:r>
        <w:t>), the stochastic implementation reproduced the finite-threshold analytical solution to machine precision (mean absolute difference ~10⁻¹⁷; maximum ~10⁻¹⁶).</w:t>
      </w:r>
    </w:p>
    <w:p w14:paraId="03DC0356" w14:textId="77777777" w:rsidR="00114F3C" w:rsidRDefault="00000000">
      <w:pPr>
        <w:pStyle w:val="ListeParagraf"/>
        <w:numPr>
          <w:ilvl w:val="0"/>
          <w:numId w:val="2"/>
        </w:numPr>
        <w:spacing w:after="70" w:line="268" w:lineRule="auto"/>
        <w:jc w:val="both"/>
      </w:pPr>
      <w:r>
        <w:t xml:space="preserve">Stage 2 (Jensen-bias assessment): with EIP heterogeneity enabled, the difference between </w:t>
      </w:r>
      <w:r>
        <w:rPr>
          <w:i/>
          <w:iCs/>
        </w:rPr>
        <w:t>E[P_est]</w:t>
      </w:r>
      <w:r>
        <w:t xml:space="preserve"> and </w:t>
      </w:r>
      <w:r>
        <w:rPr>
          <w:i/>
          <w:iCs/>
        </w:rPr>
        <w:t>P_est(E[EIP])</w:t>
      </w:r>
      <w:r>
        <w:t xml:space="preserve"> was quantified per district and scenario (S2 Table).</w:t>
      </w:r>
    </w:p>
    <w:p w14:paraId="2A789FB5" w14:textId="77777777" w:rsidR="00114F3C" w:rsidRDefault="00000000">
      <w:pPr>
        <w:pStyle w:val="ListeParagraf"/>
        <w:numPr>
          <w:ilvl w:val="0"/>
          <w:numId w:val="2"/>
        </w:numPr>
        <w:spacing w:after="70" w:line="268" w:lineRule="auto"/>
        <w:jc w:val="both"/>
      </w:pPr>
      <w:r>
        <w:t>The full pipeline, locked package environment, parameter files, and output tables are provided in the reproducibility package (S1 Data).</w:t>
      </w:r>
    </w:p>
    <w:p w14:paraId="7093B5B2" w14:textId="77777777" w:rsidR="00114F3C" w:rsidRDefault="00000000">
      <w:r>
        <w:br w:type="page"/>
      </w:r>
    </w:p>
    <w:p w14:paraId="6DAE70C9" w14:textId="77777777" w:rsidR="00114F3C" w:rsidRDefault="00000000">
      <w:pPr>
        <w:pStyle w:val="Balk1"/>
        <w:spacing w:before="260" w:after="120"/>
      </w:pPr>
      <w:r>
        <w:rPr>
          <w:b/>
          <w:bCs/>
          <w:color w:val="1F3A5F"/>
          <w:sz w:val="27"/>
          <w:szCs w:val="27"/>
        </w:rPr>
        <w:t>S1 Table. Model parameters and sources</w:t>
      </w:r>
    </w:p>
    <w:p w14:paraId="5829CA6D" w14:textId="77777777" w:rsidR="00114F3C" w:rsidRDefault="00000000">
      <w:pPr>
        <w:spacing w:after="120" w:line="276" w:lineRule="auto"/>
        <w:jc w:val="both"/>
      </w:pPr>
      <w:r>
        <w:rPr>
          <w:color w:val="666666"/>
          <w:sz w:val="20"/>
          <w:szCs w:val="20"/>
        </w:rPr>
        <w:t>Species-specific thermal-trait coefficients and epidemiological parameters. Brière form b(T)=c·T·(T−T₀)·√(Tₘ−T); quadratic lifespan L(T)=−c·(T−T₀)·(T−Tₘ). Values as implemented in the model code.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650"/>
        <w:gridCol w:w="1550"/>
        <w:gridCol w:w="1550"/>
        <w:gridCol w:w="1250"/>
        <w:gridCol w:w="900"/>
      </w:tblGrid>
      <w:tr w:rsidR="00114F3C" w14:paraId="70FA494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AAB4BD"/>
              <w:left w:val="single" w:sz="4" w:space="0" w:color="AAB4BD"/>
              <w:bottom w:val="single" w:sz="4" w:space="0" w:color="AAB4BD"/>
              <w:right w:val="single" w:sz="4" w:space="0" w:color="AAB4BD"/>
            </w:tcBorders>
            <w:shd w:val="clear" w:color="auto" w:fill="1F3A5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64797BB" w14:textId="77777777" w:rsidR="00114F3C" w:rsidRDefault="00000000">
            <w:r>
              <w:rPr>
                <w:b/>
                <w:bCs/>
                <w:color w:val="FFFFFF"/>
                <w:sz w:val="17"/>
                <w:szCs w:val="17"/>
              </w:rPr>
              <w:t>Parameter</w:t>
            </w:r>
          </w:p>
        </w:tc>
        <w:tc>
          <w:tcPr>
            <w:tcW w:w="2650" w:type="dxa"/>
            <w:tcBorders>
              <w:top w:val="single" w:sz="4" w:space="0" w:color="AAB4BD"/>
              <w:left w:val="single" w:sz="4" w:space="0" w:color="AAB4BD"/>
              <w:bottom w:val="single" w:sz="4" w:space="0" w:color="AAB4BD"/>
              <w:right w:val="single" w:sz="4" w:space="0" w:color="AAB4BD"/>
            </w:tcBorders>
            <w:shd w:val="clear" w:color="auto" w:fill="1F3A5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394BC80" w14:textId="77777777" w:rsidR="00114F3C" w:rsidRDefault="00000000">
            <w:r>
              <w:rPr>
                <w:b/>
                <w:bCs/>
                <w:color w:val="FFFFFF"/>
                <w:sz w:val="17"/>
                <w:szCs w:val="17"/>
              </w:rPr>
              <w:t>Description</w:t>
            </w:r>
          </w:p>
        </w:tc>
        <w:tc>
          <w:tcPr>
            <w:tcW w:w="1550" w:type="dxa"/>
            <w:tcBorders>
              <w:top w:val="single" w:sz="4" w:space="0" w:color="AAB4BD"/>
              <w:left w:val="single" w:sz="4" w:space="0" w:color="AAB4BD"/>
              <w:bottom w:val="single" w:sz="4" w:space="0" w:color="AAB4BD"/>
              <w:right w:val="single" w:sz="4" w:space="0" w:color="AAB4BD"/>
            </w:tcBorders>
            <w:shd w:val="clear" w:color="auto" w:fill="1F3A5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C102CA0" w14:textId="77777777" w:rsidR="00114F3C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Ae. albopictus</w:t>
            </w:r>
          </w:p>
        </w:tc>
        <w:tc>
          <w:tcPr>
            <w:tcW w:w="1550" w:type="dxa"/>
            <w:tcBorders>
              <w:top w:val="single" w:sz="4" w:space="0" w:color="AAB4BD"/>
              <w:left w:val="single" w:sz="4" w:space="0" w:color="AAB4BD"/>
              <w:bottom w:val="single" w:sz="4" w:space="0" w:color="AAB4BD"/>
              <w:right w:val="single" w:sz="4" w:space="0" w:color="AAB4BD"/>
            </w:tcBorders>
            <w:shd w:val="clear" w:color="auto" w:fill="1F3A5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38CE3D2" w14:textId="77777777" w:rsidR="00114F3C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Ae. aegypti</w:t>
            </w:r>
          </w:p>
        </w:tc>
        <w:tc>
          <w:tcPr>
            <w:tcW w:w="1250" w:type="dxa"/>
            <w:tcBorders>
              <w:top w:val="single" w:sz="4" w:space="0" w:color="AAB4BD"/>
              <w:left w:val="single" w:sz="4" w:space="0" w:color="AAB4BD"/>
              <w:bottom w:val="single" w:sz="4" w:space="0" w:color="AAB4BD"/>
              <w:right w:val="single" w:sz="4" w:space="0" w:color="AAB4BD"/>
            </w:tcBorders>
            <w:shd w:val="clear" w:color="auto" w:fill="1F3A5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F0CC621" w14:textId="77777777" w:rsidR="00114F3C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Units</w:t>
            </w:r>
          </w:p>
        </w:tc>
        <w:tc>
          <w:tcPr>
            <w:tcW w:w="900" w:type="dxa"/>
            <w:tcBorders>
              <w:top w:val="single" w:sz="4" w:space="0" w:color="AAB4BD"/>
              <w:left w:val="single" w:sz="4" w:space="0" w:color="AAB4BD"/>
              <w:bottom w:val="single" w:sz="4" w:space="0" w:color="AAB4BD"/>
              <w:right w:val="single" w:sz="4" w:space="0" w:color="AAB4BD"/>
            </w:tcBorders>
            <w:shd w:val="clear" w:color="auto" w:fill="1F3A5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819CDD5" w14:textId="77777777" w:rsidR="00114F3C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Form</w:t>
            </w:r>
          </w:p>
        </w:tc>
      </w:tr>
      <w:tr w:rsidR="00114F3C" w14:paraId="61870E6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AAB4BD"/>
              <w:left w:val="single" w:sz="4" w:space="0" w:color="AAB4BD"/>
              <w:bottom w:val="single" w:sz="4" w:space="0" w:color="AAB4BD"/>
              <w:right w:val="single" w:sz="4" w:space="0" w:color="AAB4BD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CDB28E0" w14:textId="77777777" w:rsidR="00114F3C" w:rsidRDefault="00000000">
            <w:r>
              <w:rPr>
                <w:color w:val="000000"/>
                <w:sz w:val="17"/>
                <w:szCs w:val="17"/>
              </w:rPr>
              <w:t>a(T): c</w:t>
            </w:r>
          </w:p>
        </w:tc>
        <w:tc>
          <w:tcPr>
            <w:tcW w:w="2650" w:type="dxa"/>
            <w:tcBorders>
              <w:top w:val="single" w:sz="4" w:space="0" w:color="AAB4BD"/>
              <w:left w:val="single" w:sz="4" w:space="0" w:color="AAB4BD"/>
              <w:bottom w:val="single" w:sz="4" w:space="0" w:color="AAB4BD"/>
              <w:right w:val="single" w:sz="4" w:space="0" w:color="AAB4BD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EBBF6D0" w14:textId="77777777" w:rsidR="00114F3C" w:rsidRDefault="00000000">
            <w:r>
              <w:rPr>
                <w:color w:val="000000"/>
                <w:sz w:val="17"/>
                <w:szCs w:val="17"/>
              </w:rPr>
              <w:t>Biting-rate coefficient</w:t>
            </w:r>
          </w:p>
        </w:tc>
        <w:tc>
          <w:tcPr>
            <w:tcW w:w="1550" w:type="dxa"/>
            <w:tcBorders>
              <w:top w:val="single" w:sz="4" w:space="0" w:color="AAB4BD"/>
              <w:left w:val="single" w:sz="4" w:space="0" w:color="AAB4BD"/>
              <w:bottom w:val="single" w:sz="4" w:space="0" w:color="AAB4BD"/>
              <w:right w:val="single" w:sz="4" w:space="0" w:color="AAB4BD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BF85071" w14:textId="77777777" w:rsidR="00114F3C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1.93×10⁻⁴</w:t>
            </w:r>
          </w:p>
        </w:tc>
        <w:tc>
          <w:tcPr>
            <w:tcW w:w="1550" w:type="dxa"/>
            <w:tcBorders>
              <w:top w:val="single" w:sz="4" w:space="0" w:color="AAB4BD"/>
              <w:left w:val="single" w:sz="4" w:space="0" w:color="AAB4BD"/>
              <w:bottom w:val="single" w:sz="4" w:space="0" w:color="AAB4BD"/>
              <w:right w:val="single" w:sz="4" w:space="0" w:color="AAB4BD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032F8CF" w14:textId="77777777" w:rsidR="00114F3C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2.71×10⁻⁴</w:t>
            </w:r>
          </w:p>
        </w:tc>
        <w:tc>
          <w:tcPr>
            <w:tcW w:w="1250" w:type="dxa"/>
            <w:tcBorders>
              <w:top w:val="single" w:sz="4" w:space="0" w:color="AAB4BD"/>
              <w:left w:val="single" w:sz="4" w:space="0" w:color="AAB4BD"/>
              <w:bottom w:val="single" w:sz="4" w:space="0" w:color="AAB4BD"/>
              <w:right w:val="single" w:sz="4" w:space="0" w:color="AAB4BD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E7FFD69" w14:textId="77777777" w:rsidR="00114F3C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day⁻¹·°C⁻²·°C^-½</w:t>
            </w:r>
          </w:p>
        </w:tc>
        <w:tc>
          <w:tcPr>
            <w:tcW w:w="900" w:type="dxa"/>
            <w:tcBorders>
              <w:top w:val="single" w:sz="4" w:space="0" w:color="AAB4BD"/>
              <w:left w:val="single" w:sz="4" w:space="0" w:color="AAB4BD"/>
              <w:bottom w:val="single" w:sz="4" w:space="0" w:color="AAB4BD"/>
              <w:right w:val="single" w:sz="4" w:space="0" w:color="AAB4BD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F296150" w14:textId="77777777" w:rsidR="00114F3C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Brière</w:t>
            </w:r>
          </w:p>
        </w:tc>
      </w:tr>
      <w:tr w:rsidR="00114F3C" w14:paraId="1430C8F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AAB4BD"/>
              <w:left w:val="single" w:sz="4" w:space="0" w:color="AAB4BD"/>
              <w:bottom w:val="single" w:sz="4" w:space="0" w:color="AAB4BD"/>
              <w:right w:val="single" w:sz="4" w:space="0" w:color="AAB4BD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5418009" w14:textId="77777777" w:rsidR="00114F3C" w:rsidRDefault="00000000">
            <w:r>
              <w:rPr>
                <w:color w:val="000000"/>
                <w:sz w:val="17"/>
                <w:szCs w:val="17"/>
              </w:rPr>
              <w:t>a(T): T₀, Tₘ</w:t>
            </w:r>
          </w:p>
        </w:tc>
        <w:tc>
          <w:tcPr>
            <w:tcW w:w="2650" w:type="dxa"/>
            <w:tcBorders>
              <w:top w:val="single" w:sz="4" w:space="0" w:color="AAB4BD"/>
              <w:left w:val="single" w:sz="4" w:space="0" w:color="AAB4BD"/>
              <w:bottom w:val="single" w:sz="4" w:space="0" w:color="AAB4BD"/>
              <w:right w:val="single" w:sz="4" w:space="0" w:color="AAB4BD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CD9863B" w14:textId="77777777" w:rsidR="00114F3C" w:rsidRDefault="00000000">
            <w:r>
              <w:rPr>
                <w:color w:val="000000"/>
                <w:sz w:val="17"/>
                <w:szCs w:val="17"/>
              </w:rPr>
              <w:t>Biting thermal limits</w:t>
            </w:r>
          </w:p>
        </w:tc>
        <w:tc>
          <w:tcPr>
            <w:tcW w:w="1550" w:type="dxa"/>
            <w:tcBorders>
              <w:top w:val="single" w:sz="4" w:space="0" w:color="AAB4BD"/>
              <w:left w:val="single" w:sz="4" w:space="0" w:color="AAB4BD"/>
              <w:bottom w:val="single" w:sz="4" w:space="0" w:color="AAB4BD"/>
              <w:right w:val="single" w:sz="4" w:space="0" w:color="AAB4BD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FFF3850" w14:textId="77777777" w:rsidR="00114F3C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10.25, 38.32</w:t>
            </w:r>
          </w:p>
        </w:tc>
        <w:tc>
          <w:tcPr>
            <w:tcW w:w="1550" w:type="dxa"/>
            <w:tcBorders>
              <w:top w:val="single" w:sz="4" w:space="0" w:color="AAB4BD"/>
              <w:left w:val="single" w:sz="4" w:space="0" w:color="AAB4BD"/>
              <w:bottom w:val="single" w:sz="4" w:space="0" w:color="AAB4BD"/>
              <w:right w:val="single" w:sz="4" w:space="0" w:color="AAB4BD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D20155A" w14:textId="77777777" w:rsidR="00114F3C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14.67, 41.00</w:t>
            </w:r>
          </w:p>
        </w:tc>
        <w:tc>
          <w:tcPr>
            <w:tcW w:w="1250" w:type="dxa"/>
            <w:tcBorders>
              <w:top w:val="single" w:sz="4" w:space="0" w:color="AAB4BD"/>
              <w:left w:val="single" w:sz="4" w:space="0" w:color="AAB4BD"/>
              <w:bottom w:val="single" w:sz="4" w:space="0" w:color="AAB4BD"/>
              <w:right w:val="single" w:sz="4" w:space="0" w:color="AAB4BD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2DFF1B0" w14:textId="77777777" w:rsidR="00114F3C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°C</w:t>
            </w:r>
          </w:p>
        </w:tc>
        <w:tc>
          <w:tcPr>
            <w:tcW w:w="900" w:type="dxa"/>
            <w:tcBorders>
              <w:top w:val="single" w:sz="4" w:space="0" w:color="AAB4BD"/>
              <w:left w:val="single" w:sz="4" w:space="0" w:color="AAB4BD"/>
              <w:bottom w:val="single" w:sz="4" w:space="0" w:color="AAB4BD"/>
              <w:right w:val="single" w:sz="4" w:space="0" w:color="AAB4BD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447DE87" w14:textId="77777777" w:rsidR="00114F3C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Brière</w:t>
            </w:r>
          </w:p>
        </w:tc>
      </w:tr>
      <w:tr w:rsidR="00114F3C" w14:paraId="4E1E3D7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AAB4BD"/>
              <w:left w:val="single" w:sz="4" w:space="0" w:color="AAB4BD"/>
              <w:bottom w:val="single" w:sz="4" w:space="0" w:color="AAB4BD"/>
              <w:right w:val="single" w:sz="4" w:space="0" w:color="AAB4BD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E9AA976" w14:textId="77777777" w:rsidR="00114F3C" w:rsidRDefault="00000000">
            <w:r>
              <w:rPr>
                <w:color w:val="000000"/>
                <w:sz w:val="17"/>
                <w:szCs w:val="17"/>
              </w:rPr>
              <w:t>EIP rate: c</w:t>
            </w:r>
          </w:p>
        </w:tc>
        <w:tc>
          <w:tcPr>
            <w:tcW w:w="2650" w:type="dxa"/>
            <w:tcBorders>
              <w:top w:val="single" w:sz="4" w:space="0" w:color="AAB4BD"/>
              <w:left w:val="single" w:sz="4" w:space="0" w:color="AAB4BD"/>
              <w:bottom w:val="single" w:sz="4" w:space="0" w:color="AAB4BD"/>
              <w:right w:val="single" w:sz="4" w:space="0" w:color="AAB4BD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E63E5C3" w14:textId="77777777" w:rsidR="00114F3C" w:rsidRDefault="00000000">
            <w:r>
              <w:rPr>
                <w:color w:val="000000"/>
                <w:sz w:val="17"/>
                <w:szCs w:val="17"/>
              </w:rPr>
              <w:t>EIP development-rate coeff.</w:t>
            </w:r>
          </w:p>
        </w:tc>
        <w:tc>
          <w:tcPr>
            <w:tcW w:w="1550" w:type="dxa"/>
            <w:tcBorders>
              <w:top w:val="single" w:sz="4" w:space="0" w:color="AAB4BD"/>
              <w:left w:val="single" w:sz="4" w:space="0" w:color="AAB4BD"/>
              <w:bottom w:val="single" w:sz="4" w:space="0" w:color="AAB4BD"/>
              <w:right w:val="single" w:sz="4" w:space="0" w:color="AAB4BD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9725822" w14:textId="77777777" w:rsidR="00114F3C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1.09×10⁻⁴</w:t>
            </w:r>
          </w:p>
        </w:tc>
        <w:tc>
          <w:tcPr>
            <w:tcW w:w="1550" w:type="dxa"/>
            <w:tcBorders>
              <w:top w:val="single" w:sz="4" w:space="0" w:color="AAB4BD"/>
              <w:left w:val="single" w:sz="4" w:space="0" w:color="AAB4BD"/>
              <w:bottom w:val="single" w:sz="4" w:space="0" w:color="AAB4BD"/>
              <w:right w:val="single" w:sz="4" w:space="0" w:color="AAB4BD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2ABF894" w14:textId="77777777" w:rsidR="00114F3C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1.04×10⁻⁴</w:t>
            </w:r>
          </w:p>
        </w:tc>
        <w:tc>
          <w:tcPr>
            <w:tcW w:w="1250" w:type="dxa"/>
            <w:tcBorders>
              <w:top w:val="single" w:sz="4" w:space="0" w:color="AAB4BD"/>
              <w:left w:val="single" w:sz="4" w:space="0" w:color="AAB4BD"/>
              <w:bottom w:val="single" w:sz="4" w:space="0" w:color="AAB4BD"/>
              <w:right w:val="single" w:sz="4" w:space="0" w:color="AAB4BD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A6C12A4" w14:textId="77777777" w:rsidR="00114F3C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day⁻¹</w:t>
            </w:r>
          </w:p>
        </w:tc>
        <w:tc>
          <w:tcPr>
            <w:tcW w:w="900" w:type="dxa"/>
            <w:tcBorders>
              <w:top w:val="single" w:sz="4" w:space="0" w:color="AAB4BD"/>
              <w:left w:val="single" w:sz="4" w:space="0" w:color="AAB4BD"/>
              <w:bottom w:val="single" w:sz="4" w:space="0" w:color="AAB4BD"/>
              <w:right w:val="single" w:sz="4" w:space="0" w:color="AAB4BD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F14055A" w14:textId="77777777" w:rsidR="00114F3C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Brière</w:t>
            </w:r>
          </w:p>
        </w:tc>
      </w:tr>
      <w:tr w:rsidR="00114F3C" w14:paraId="3C4F4BD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AAB4BD"/>
              <w:left w:val="single" w:sz="4" w:space="0" w:color="AAB4BD"/>
              <w:bottom w:val="single" w:sz="4" w:space="0" w:color="AAB4BD"/>
              <w:right w:val="single" w:sz="4" w:space="0" w:color="AAB4BD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929BE8C" w14:textId="77777777" w:rsidR="00114F3C" w:rsidRDefault="00000000">
            <w:r>
              <w:rPr>
                <w:color w:val="000000"/>
                <w:sz w:val="17"/>
                <w:szCs w:val="17"/>
              </w:rPr>
              <w:t>EIP rate: T₀, Tₘ</w:t>
            </w:r>
          </w:p>
        </w:tc>
        <w:tc>
          <w:tcPr>
            <w:tcW w:w="2650" w:type="dxa"/>
            <w:tcBorders>
              <w:top w:val="single" w:sz="4" w:space="0" w:color="AAB4BD"/>
              <w:left w:val="single" w:sz="4" w:space="0" w:color="AAB4BD"/>
              <w:bottom w:val="single" w:sz="4" w:space="0" w:color="AAB4BD"/>
              <w:right w:val="single" w:sz="4" w:space="0" w:color="AAB4BD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17FEE67" w14:textId="77777777" w:rsidR="00114F3C" w:rsidRDefault="00000000">
            <w:r>
              <w:rPr>
                <w:color w:val="000000"/>
                <w:sz w:val="17"/>
                <w:szCs w:val="17"/>
              </w:rPr>
              <w:t>EIP thermal limits</w:t>
            </w:r>
          </w:p>
        </w:tc>
        <w:tc>
          <w:tcPr>
            <w:tcW w:w="1550" w:type="dxa"/>
            <w:tcBorders>
              <w:top w:val="single" w:sz="4" w:space="0" w:color="AAB4BD"/>
              <w:left w:val="single" w:sz="4" w:space="0" w:color="AAB4BD"/>
              <w:bottom w:val="single" w:sz="4" w:space="0" w:color="AAB4BD"/>
              <w:right w:val="single" w:sz="4" w:space="0" w:color="AAB4BD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3E9D4D6" w14:textId="77777777" w:rsidR="00114F3C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10.39, 43.05</w:t>
            </w:r>
          </w:p>
        </w:tc>
        <w:tc>
          <w:tcPr>
            <w:tcW w:w="1550" w:type="dxa"/>
            <w:tcBorders>
              <w:top w:val="single" w:sz="4" w:space="0" w:color="AAB4BD"/>
              <w:left w:val="single" w:sz="4" w:space="0" w:color="AAB4BD"/>
              <w:bottom w:val="single" w:sz="4" w:space="0" w:color="AAB4BD"/>
              <w:right w:val="single" w:sz="4" w:space="0" w:color="AAB4BD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C96F367" w14:textId="77777777" w:rsidR="00114F3C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11.50, 38.97</w:t>
            </w:r>
          </w:p>
        </w:tc>
        <w:tc>
          <w:tcPr>
            <w:tcW w:w="1250" w:type="dxa"/>
            <w:tcBorders>
              <w:top w:val="single" w:sz="4" w:space="0" w:color="AAB4BD"/>
              <w:left w:val="single" w:sz="4" w:space="0" w:color="AAB4BD"/>
              <w:bottom w:val="single" w:sz="4" w:space="0" w:color="AAB4BD"/>
              <w:right w:val="single" w:sz="4" w:space="0" w:color="AAB4BD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6049235" w14:textId="77777777" w:rsidR="00114F3C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°C</w:t>
            </w:r>
          </w:p>
        </w:tc>
        <w:tc>
          <w:tcPr>
            <w:tcW w:w="900" w:type="dxa"/>
            <w:tcBorders>
              <w:top w:val="single" w:sz="4" w:space="0" w:color="AAB4BD"/>
              <w:left w:val="single" w:sz="4" w:space="0" w:color="AAB4BD"/>
              <w:bottom w:val="single" w:sz="4" w:space="0" w:color="AAB4BD"/>
              <w:right w:val="single" w:sz="4" w:space="0" w:color="AAB4BD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869C249" w14:textId="77777777" w:rsidR="00114F3C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Brière</w:t>
            </w:r>
          </w:p>
        </w:tc>
      </w:tr>
      <w:tr w:rsidR="00114F3C" w14:paraId="7EA8B94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AAB4BD"/>
              <w:left w:val="single" w:sz="4" w:space="0" w:color="AAB4BD"/>
              <w:bottom w:val="single" w:sz="4" w:space="0" w:color="AAB4BD"/>
              <w:right w:val="single" w:sz="4" w:space="0" w:color="AAB4BD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91DC229" w14:textId="77777777" w:rsidR="00114F3C" w:rsidRDefault="00000000">
            <w:r>
              <w:rPr>
                <w:color w:val="000000"/>
                <w:sz w:val="17"/>
                <w:szCs w:val="17"/>
              </w:rPr>
              <w:t>L(T): c</w:t>
            </w:r>
          </w:p>
        </w:tc>
        <w:tc>
          <w:tcPr>
            <w:tcW w:w="2650" w:type="dxa"/>
            <w:tcBorders>
              <w:top w:val="single" w:sz="4" w:space="0" w:color="AAB4BD"/>
              <w:left w:val="single" w:sz="4" w:space="0" w:color="AAB4BD"/>
              <w:bottom w:val="single" w:sz="4" w:space="0" w:color="AAB4BD"/>
              <w:right w:val="single" w:sz="4" w:space="0" w:color="AAB4BD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5AE822D" w14:textId="77777777" w:rsidR="00114F3C" w:rsidRDefault="00000000">
            <w:r>
              <w:rPr>
                <w:color w:val="000000"/>
                <w:sz w:val="17"/>
                <w:szCs w:val="17"/>
              </w:rPr>
              <w:t>Lifespan coefficient</w:t>
            </w:r>
          </w:p>
        </w:tc>
        <w:tc>
          <w:tcPr>
            <w:tcW w:w="1550" w:type="dxa"/>
            <w:tcBorders>
              <w:top w:val="single" w:sz="4" w:space="0" w:color="AAB4BD"/>
              <w:left w:val="single" w:sz="4" w:space="0" w:color="AAB4BD"/>
              <w:bottom w:val="single" w:sz="4" w:space="0" w:color="AAB4BD"/>
              <w:right w:val="single" w:sz="4" w:space="0" w:color="AAB4BD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2C4C5AC" w14:textId="77777777" w:rsidR="00114F3C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0.143</w:t>
            </w:r>
          </w:p>
        </w:tc>
        <w:tc>
          <w:tcPr>
            <w:tcW w:w="1550" w:type="dxa"/>
            <w:tcBorders>
              <w:top w:val="single" w:sz="4" w:space="0" w:color="AAB4BD"/>
              <w:left w:val="single" w:sz="4" w:space="0" w:color="AAB4BD"/>
              <w:bottom w:val="single" w:sz="4" w:space="0" w:color="AAB4BD"/>
              <w:right w:val="single" w:sz="4" w:space="0" w:color="AAB4BD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1E042B5" w14:textId="77777777" w:rsidR="00114F3C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0.148</w:t>
            </w:r>
          </w:p>
        </w:tc>
        <w:tc>
          <w:tcPr>
            <w:tcW w:w="1250" w:type="dxa"/>
            <w:tcBorders>
              <w:top w:val="single" w:sz="4" w:space="0" w:color="AAB4BD"/>
              <w:left w:val="single" w:sz="4" w:space="0" w:color="AAB4BD"/>
              <w:bottom w:val="single" w:sz="4" w:space="0" w:color="AAB4BD"/>
              <w:right w:val="single" w:sz="4" w:space="0" w:color="AAB4BD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36BF0D3" w14:textId="77777777" w:rsidR="00114F3C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day·°C⁻²</w:t>
            </w:r>
          </w:p>
        </w:tc>
        <w:tc>
          <w:tcPr>
            <w:tcW w:w="900" w:type="dxa"/>
            <w:tcBorders>
              <w:top w:val="single" w:sz="4" w:space="0" w:color="AAB4BD"/>
              <w:left w:val="single" w:sz="4" w:space="0" w:color="AAB4BD"/>
              <w:bottom w:val="single" w:sz="4" w:space="0" w:color="AAB4BD"/>
              <w:right w:val="single" w:sz="4" w:space="0" w:color="AAB4BD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F0284AD" w14:textId="77777777" w:rsidR="00114F3C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Quadratic</w:t>
            </w:r>
          </w:p>
        </w:tc>
      </w:tr>
      <w:tr w:rsidR="00114F3C" w14:paraId="1112578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AAB4BD"/>
              <w:left w:val="single" w:sz="4" w:space="0" w:color="AAB4BD"/>
              <w:bottom w:val="single" w:sz="4" w:space="0" w:color="AAB4BD"/>
              <w:right w:val="single" w:sz="4" w:space="0" w:color="AAB4BD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9D82611" w14:textId="77777777" w:rsidR="00114F3C" w:rsidRDefault="00000000">
            <w:r>
              <w:rPr>
                <w:color w:val="000000"/>
                <w:sz w:val="17"/>
                <w:szCs w:val="17"/>
              </w:rPr>
              <w:t>L(T): T₀, Tₘ</w:t>
            </w:r>
          </w:p>
        </w:tc>
        <w:tc>
          <w:tcPr>
            <w:tcW w:w="2650" w:type="dxa"/>
            <w:tcBorders>
              <w:top w:val="single" w:sz="4" w:space="0" w:color="AAB4BD"/>
              <w:left w:val="single" w:sz="4" w:space="0" w:color="AAB4BD"/>
              <w:bottom w:val="single" w:sz="4" w:space="0" w:color="AAB4BD"/>
              <w:right w:val="single" w:sz="4" w:space="0" w:color="AAB4BD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4393536" w14:textId="77777777" w:rsidR="00114F3C" w:rsidRDefault="00000000">
            <w:r>
              <w:rPr>
                <w:color w:val="000000"/>
                <w:sz w:val="17"/>
                <w:szCs w:val="17"/>
              </w:rPr>
              <w:t>Lifespan thermal limits</w:t>
            </w:r>
          </w:p>
        </w:tc>
        <w:tc>
          <w:tcPr>
            <w:tcW w:w="1550" w:type="dxa"/>
            <w:tcBorders>
              <w:top w:val="single" w:sz="4" w:space="0" w:color="AAB4BD"/>
              <w:left w:val="single" w:sz="4" w:space="0" w:color="AAB4BD"/>
              <w:bottom w:val="single" w:sz="4" w:space="0" w:color="AAB4BD"/>
              <w:right w:val="single" w:sz="4" w:space="0" w:color="AAB4BD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1BB4D0F" w14:textId="77777777" w:rsidR="00114F3C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6.24, 38.25</w:t>
            </w:r>
          </w:p>
        </w:tc>
        <w:tc>
          <w:tcPr>
            <w:tcW w:w="1550" w:type="dxa"/>
            <w:tcBorders>
              <w:top w:val="single" w:sz="4" w:space="0" w:color="AAB4BD"/>
              <w:left w:val="single" w:sz="4" w:space="0" w:color="AAB4BD"/>
              <w:bottom w:val="single" w:sz="4" w:space="0" w:color="AAB4BD"/>
              <w:right w:val="single" w:sz="4" w:space="0" w:color="AAB4BD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987F645" w14:textId="77777777" w:rsidR="00114F3C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9.16, 37.73</w:t>
            </w:r>
          </w:p>
        </w:tc>
        <w:tc>
          <w:tcPr>
            <w:tcW w:w="1250" w:type="dxa"/>
            <w:tcBorders>
              <w:top w:val="single" w:sz="4" w:space="0" w:color="AAB4BD"/>
              <w:left w:val="single" w:sz="4" w:space="0" w:color="AAB4BD"/>
              <w:bottom w:val="single" w:sz="4" w:space="0" w:color="AAB4BD"/>
              <w:right w:val="single" w:sz="4" w:space="0" w:color="AAB4BD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FFF62ED" w14:textId="77777777" w:rsidR="00114F3C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°C</w:t>
            </w:r>
          </w:p>
        </w:tc>
        <w:tc>
          <w:tcPr>
            <w:tcW w:w="900" w:type="dxa"/>
            <w:tcBorders>
              <w:top w:val="single" w:sz="4" w:space="0" w:color="AAB4BD"/>
              <w:left w:val="single" w:sz="4" w:space="0" w:color="AAB4BD"/>
              <w:bottom w:val="single" w:sz="4" w:space="0" w:color="AAB4BD"/>
              <w:right w:val="single" w:sz="4" w:space="0" w:color="AAB4BD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82EEDC" w14:textId="77777777" w:rsidR="00114F3C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Quadratic</w:t>
            </w:r>
          </w:p>
        </w:tc>
      </w:tr>
      <w:tr w:rsidR="00114F3C" w14:paraId="023A610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AAB4BD"/>
              <w:left w:val="single" w:sz="4" w:space="0" w:color="AAB4BD"/>
              <w:bottom w:val="single" w:sz="4" w:space="0" w:color="AAB4BD"/>
              <w:right w:val="single" w:sz="4" w:space="0" w:color="AAB4BD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7B37A5B" w14:textId="77777777" w:rsidR="00114F3C" w:rsidRDefault="00000000">
            <w:r>
              <w:rPr>
                <w:color w:val="000000"/>
                <w:sz w:val="17"/>
                <w:szCs w:val="17"/>
              </w:rPr>
              <w:t>L_floor</w:t>
            </w:r>
          </w:p>
        </w:tc>
        <w:tc>
          <w:tcPr>
            <w:tcW w:w="2650" w:type="dxa"/>
            <w:tcBorders>
              <w:top w:val="single" w:sz="4" w:space="0" w:color="AAB4BD"/>
              <w:left w:val="single" w:sz="4" w:space="0" w:color="AAB4BD"/>
              <w:bottom w:val="single" w:sz="4" w:space="0" w:color="AAB4BD"/>
              <w:right w:val="single" w:sz="4" w:space="0" w:color="AAB4BD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B69B906" w14:textId="77777777" w:rsidR="00114F3C" w:rsidRDefault="00000000">
            <w:r>
              <w:rPr>
                <w:color w:val="000000"/>
                <w:sz w:val="17"/>
                <w:szCs w:val="17"/>
              </w:rPr>
              <w:t>Minimum lifespan</w:t>
            </w:r>
          </w:p>
        </w:tc>
        <w:tc>
          <w:tcPr>
            <w:tcW w:w="1550" w:type="dxa"/>
            <w:tcBorders>
              <w:top w:val="single" w:sz="4" w:space="0" w:color="AAB4BD"/>
              <w:left w:val="single" w:sz="4" w:space="0" w:color="AAB4BD"/>
              <w:bottom w:val="single" w:sz="4" w:space="0" w:color="AAB4BD"/>
              <w:right w:val="single" w:sz="4" w:space="0" w:color="AAB4BD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1EBC4FD" w14:textId="77777777" w:rsidR="00114F3C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0.25</w:t>
            </w:r>
          </w:p>
        </w:tc>
        <w:tc>
          <w:tcPr>
            <w:tcW w:w="1550" w:type="dxa"/>
            <w:tcBorders>
              <w:top w:val="single" w:sz="4" w:space="0" w:color="AAB4BD"/>
              <w:left w:val="single" w:sz="4" w:space="0" w:color="AAB4BD"/>
              <w:bottom w:val="single" w:sz="4" w:space="0" w:color="AAB4BD"/>
              <w:right w:val="single" w:sz="4" w:space="0" w:color="AAB4BD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CF10562" w14:textId="77777777" w:rsidR="00114F3C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0.25</w:t>
            </w:r>
          </w:p>
        </w:tc>
        <w:tc>
          <w:tcPr>
            <w:tcW w:w="1250" w:type="dxa"/>
            <w:tcBorders>
              <w:top w:val="single" w:sz="4" w:space="0" w:color="AAB4BD"/>
              <w:left w:val="single" w:sz="4" w:space="0" w:color="AAB4BD"/>
              <w:bottom w:val="single" w:sz="4" w:space="0" w:color="AAB4BD"/>
              <w:right w:val="single" w:sz="4" w:space="0" w:color="AAB4BD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5687AF6" w14:textId="77777777" w:rsidR="00114F3C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days</w:t>
            </w:r>
          </w:p>
        </w:tc>
        <w:tc>
          <w:tcPr>
            <w:tcW w:w="900" w:type="dxa"/>
            <w:tcBorders>
              <w:top w:val="single" w:sz="4" w:space="0" w:color="AAB4BD"/>
              <w:left w:val="single" w:sz="4" w:space="0" w:color="AAB4BD"/>
              <w:bottom w:val="single" w:sz="4" w:space="0" w:color="AAB4BD"/>
              <w:right w:val="single" w:sz="4" w:space="0" w:color="AAB4BD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441FAAB" w14:textId="77777777" w:rsidR="00114F3C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scalar</w:t>
            </w:r>
          </w:p>
        </w:tc>
      </w:tr>
      <w:tr w:rsidR="00114F3C" w14:paraId="3E40684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AAB4BD"/>
              <w:left w:val="single" w:sz="4" w:space="0" w:color="AAB4BD"/>
              <w:bottom w:val="single" w:sz="4" w:space="0" w:color="AAB4BD"/>
              <w:right w:val="single" w:sz="4" w:space="0" w:color="AAB4BD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4A8A9B4" w14:textId="77777777" w:rsidR="00114F3C" w:rsidRDefault="00000000">
            <w:r>
              <w:rPr>
                <w:color w:val="000000"/>
                <w:sz w:val="17"/>
                <w:szCs w:val="17"/>
              </w:rPr>
              <w:t>k_vpd</w:t>
            </w:r>
          </w:p>
        </w:tc>
        <w:tc>
          <w:tcPr>
            <w:tcW w:w="2650" w:type="dxa"/>
            <w:tcBorders>
              <w:top w:val="single" w:sz="4" w:space="0" w:color="AAB4BD"/>
              <w:left w:val="single" w:sz="4" w:space="0" w:color="AAB4BD"/>
              <w:bottom w:val="single" w:sz="4" w:space="0" w:color="AAB4BD"/>
              <w:right w:val="single" w:sz="4" w:space="0" w:color="AAB4BD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5830A4E" w14:textId="77777777" w:rsidR="00114F3C" w:rsidRDefault="00000000">
            <w:r>
              <w:rPr>
                <w:color w:val="000000"/>
                <w:sz w:val="17"/>
                <w:szCs w:val="17"/>
              </w:rPr>
              <w:t>VPD mortality coefficient</w:t>
            </w:r>
          </w:p>
        </w:tc>
        <w:tc>
          <w:tcPr>
            <w:tcW w:w="1550" w:type="dxa"/>
            <w:tcBorders>
              <w:top w:val="single" w:sz="4" w:space="0" w:color="AAB4BD"/>
              <w:left w:val="single" w:sz="4" w:space="0" w:color="AAB4BD"/>
              <w:bottom w:val="single" w:sz="4" w:space="0" w:color="AAB4BD"/>
              <w:right w:val="single" w:sz="4" w:space="0" w:color="AAB4BD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F2F0763" w14:textId="77777777" w:rsidR="00114F3C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0.5</w:t>
            </w:r>
          </w:p>
        </w:tc>
        <w:tc>
          <w:tcPr>
            <w:tcW w:w="1550" w:type="dxa"/>
            <w:tcBorders>
              <w:top w:val="single" w:sz="4" w:space="0" w:color="AAB4BD"/>
              <w:left w:val="single" w:sz="4" w:space="0" w:color="AAB4BD"/>
              <w:bottom w:val="single" w:sz="4" w:space="0" w:color="AAB4BD"/>
              <w:right w:val="single" w:sz="4" w:space="0" w:color="AAB4BD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A3B2B85" w14:textId="77777777" w:rsidR="00114F3C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0.5</w:t>
            </w:r>
          </w:p>
        </w:tc>
        <w:tc>
          <w:tcPr>
            <w:tcW w:w="1250" w:type="dxa"/>
            <w:tcBorders>
              <w:top w:val="single" w:sz="4" w:space="0" w:color="AAB4BD"/>
              <w:left w:val="single" w:sz="4" w:space="0" w:color="AAB4BD"/>
              <w:bottom w:val="single" w:sz="4" w:space="0" w:color="AAB4BD"/>
              <w:right w:val="single" w:sz="4" w:space="0" w:color="AAB4BD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B015CE5" w14:textId="77777777" w:rsidR="00114F3C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kPa⁻¹</w:t>
            </w:r>
          </w:p>
        </w:tc>
        <w:tc>
          <w:tcPr>
            <w:tcW w:w="900" w:type="dxa"/>
            <w:tcBorders>
              <w:top w:val="single" w:sz="4" w:space="0" w:color="AAB4BD"/>
              <w:left w:val="single" w:sz="4" w:space="0" w:color="AAB4BD"/>
              <w:bottom w:val="single" w:sz="4" w:space="0" w:color="AAB4BD"/>
              <w:right w:val="single" w:sz="4" w:space="0" w:color="AAB4BD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E556CEC" w14:textId="77777777" w:rsidR="00114F3C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scalar</w:t>
            </w:r>
          </w:p>
        </w:tc>
      </w:tr>
      <w:tr w:rsidR="00114F3C" w14:paraId="6727E5F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AAB4BD"/>
              <w:left w:val="single" w:sz="4" w:space="0" w:color="AAB4BD"/>
              <w:bottom w:val="single" w:sz="4" w:space="0" w:color="AAB4BD"/>
              <w:right w:val="single" w:sz="4" w:space="0" w:color="AAB4BD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7EC939A" w14:textId="77777777" w:rsidR="00114F3C" w:rsidRDefault="00000000">
            <w:r>
              <w:rPr>
                <w:color w:val="000000"/>
                <w:sz w:val="17"/>
                <w:szCs w:val="17"/>
              </w:rPr>
              <w:t>VPD_ref</w:t>
            </w:r>
          </w:p>
        </w:tc>
        <w:tc>
          <w:tcPr>
            <w:tcW w:w="2650" w:type="dxa"/>
            <w:tcBorders>
              <w:top w:val="single" w:sz="4" w:space="0" w:color="AAB4BD"/>
              <w:left w:val="single" w:sz="4" w:space="0" w:color="AAB4BD"/>
              <w:bottom w:val="single" w:sz="4" w:space="0" w:color="AAB4BD"/>
              <w:right w:val="single" w:sz="4" w:space="0" w:color="AAB4BD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9E75CCD" w14:textId="77777777" w:rsidR="00114F3C" w:rsidRDefault="00000000">
            <w:r>
              <w:rPr>
                <w:color w:val="000000"/>
                <w:sz w:val="17"/>
                <w:szCs w:val="17"/>
              </w:rPr>
              <w:t>Reference VPD</w:t>
            </w:r>
          </w:p>
        </w:tc>
        <w:tc>
          <w:tcPr>
            <w:tcW w:w="1550" w:type="dxa"/>
            <w:tcBorders>
              <w:top w:val="single" w:sz="4" w:space="0" w:color="AAB4BD"/>
              <w:left w:val="single" w:sz="4" w:space="0" w:color="AAB4BD"/>
              <w:bottom w:val="single" w:sz="4" w:space="0" w:color="AAB4BD"/>
              <w:right w:val="single" w:sz="4" w:space="0" w:color="AAB4BD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BE006DB" w14:textId="77777777" w:rsidR="00114F3C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1.0</w:t>
            </w:r>
          </w:p>
        </w:tc>
        <w:tc>
          <w:tcPr>
            <w:tcW w:w="1550" w:type="dxa"/>
            <w:tcBorders>
              <w:top w:val="single" w:sz="4" w:space="0" w:color="AAB4BD"/>
              <w:left w:val="single" w:sz="4" w:space="0" w:color="AAB4BD"/>
              <w:bottom w:val="single" w:sz="4" w:space="0" w:color="AAB4BD"/>
              <w:right w:val="single" w:sz="4" w:space="0" w:color="AAB4BD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C73C5FD" w14:textId="77777777" w:rsidR="00114F3C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1.0</w:t>
            </w:r>
          </w:p>
        </w:tc>
        <w:tc>
          <w:tcPr>
            <w:tcW w:w="1250" w:type="dxa"/>
            <w:tcBorders>
              <w:top w:val="single" w:sz="4" w:space="0" w:color="AAB4BD"/>
              <w:left w:val="single" w:sz="4" w:space="0" w:color="AAB4BD"/>
              <w:bottom w:val="single" w:sz="4" w:space="0" w:color="AAB4BD"/>
              <w:right w:val="single" w:sz="4" w:space="0" w:color="AAB4BD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7F713A" w14:textId="77777777" w:rsidR="00114F3C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kPa</w:t>
            </w:r>
          </w:p>
        </w:tc>
        <w:tc>
          <w:tcPr>
            <w:tcW w:w="900" w:type="dxa"/>
            <w:tcBorders>
              <w:top w:val="single" w:sz="4" w:space="0" w:color="AAB4BD"/>
              <w:left w:val="single" w:sz="4" w:space="0" w:color="AAB4BD"/>
              <w:bottom w:val="single" w:sz="4" w:space="0" w:color="AAB4BD"/>
              <w:right w:val="single" w:sz="4" w:space="0" w:color="AAB4BD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4276A5B" w14:textId="77777777" w:rsidR="00114F3C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scalar</w:t>
            </w:r>
          </w:p>
        </w:tc>
      </w:tr>
      <w:tr w:rsidR="00114F3C" w14:paraId="41C05C4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AAB4BD"/>
              <w:left w:val="single" w:sz="4" w:space="0" w:color="AAB4BD"/>
              <w:bottom w:val="single" w:sz="4" w:space="0" w:color="AAB4BD"/>
              <w:right w:val="single" w:sz="4" w:space="0" w:color="AAB4BD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AD65CC" w14:textId="77777777" w:rsidR="00114F3C" w:rsidRDefault="00000000">
            <w:r>
              <w:rPr>
                <w:color w:val="000000"/>
                <w:sz w:val="17"/>
                <w:szCs w:val="17"/>
              </w:rPr>
              <w:t>m</w:t>
            </w:r>
          </w:p>
        </w:tc>
        <w:tc>
          <w:tcPr>
            <w:tcW w:w="2650" w:type="dxa"/>
            <w:tcBorders>
              <w:top w:val="single" w:sz="4" w:space="0" w:color="AAB4BD"/>
              <w:left w:val="single" w:sz="4" w:space="0" w:color="AAB4BD"/>
              <w:bottom w:val="single" w:sz="4" w:space="0" w:color="AAB4BD"/>
              <w:right w:val="single" w:sz="4" w:space="0" w:color="AAB4BD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726FC0F" w14:textId="77777777" w:rsidR="00114F3C" w:rsidRDefault="00000000">
            <w:r>
              <w:rPr>
                <w:color w:val="000000"/>
                <w:sz w:val="17"/>
                <w:szCs w:val="17"/>
              </w:rPr>
              <w:t>Mosquito-to-human ratio</w:t>
            </w:r>
          </w:p>
        </w:tc>
        <w:tc>
          <w:tcPr>
            <w:tcW w:w="1550" w:type="dxa"/>
            <w:tcBorders>
              <w:top w:val="single" w:sz="4" w:space="0" w:color="AAB4BD"/>
              <w:left w:val="single" w:sz="4" w:space="0" w:color="AAB4BD"/>
              <w:bottom w:val="single" w:sz="4" w:space="0" w:color="AAB4BD"/>
              <w:right w:val="single" w:sz="4" w:space="0" w:color="AAB4BD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DA080B9" w14:textId="77777777" w:rsidR="00114F3C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1.0 (0.5–2.0)</w:t>
            </w:r>
          </w:p>
        </w:tc>
        <w:tc>
          <w:tcPr>
            <w:tcW w:w="1550" w:type="dxa"/>
            <w:tcBorders>
              <w:top w:val="single" w:sz="4" w:space="0" w:color="AAB4BD"/>
              <w:left w:val="single" w:sz="4" w:space="0" w:color="AAB4BD"/>
              <w:bottom w:val="single" w:sz="4" w:space="0" w:color="AAB4BD"/>
              <w:right w:val="single" w:sz="4" w:space="0" w:color="AAB4BD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177242B" w14:textId="77777777" w:rsidR="00114F3C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1.0 (0.5–2.0)</w:t>
            </w:r>
          </w:p>
        </w:tc>
        <w:tc>
          <w:tcPr>
            <w:tcW w:w="1250" w:type="dxa"/>
            <w:tcBorders>
              <w:top w:val="single" w:sz="4" w:space="0" w:color="AAB4BD"/>
              <w:left w:val="single" w:sz="4" w:space="0" w:color="AAB4BD"/>
              <w:bottom w:val="single" w:sz="4" w:space="0" w:color="AAB4BD"/>
              <w:right w:val="single" w:sz="4" w:space="0" w:color="AAB4BD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2B35771" w14:textId="77777777" w:rsidR="00114F3C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—</w:t>
            </w:r>
          </w:p>
        </w:tc>
        <w:tc>
          <w:tcPr>
            <w:tcW w:w="900" w:type="dxa"/>
            <w:tcBorders>
              <w:top w:val="single" w:sz="4" w:space="0" w:color="AAB4BD"/>
              <w:left w:val="single" w:sz="4" w:space="0" w:color="AAB4BD"/>
              <w:bottom w:val="single" w:sz="4" w:space="0" w:color="AAB4BD"/>
              <w:right w:val="single" w:sz="4" w:space="0" w:color="AAB4BD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52E7160" w14:textId="77777777" w:rsidR="00114F3C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baseline (range)</w:t>
            </w:r>
          </w:p>
        </w:tc>
      </w:tr>
      <w:tr w:rsidR="00114F3C" w14:paraId="7725375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AAB4BD"/>
              <w:left w:val="single" w:sz="4" w:space="0" w:color="AAB4BD"/>
              <w:bottom w:val="single" w:sz="4" w:space="0" w:color="AAB4BD"/>
              <w:right w:val="single" w:sz="4" w:space="0" w:color="AAB4BD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BA1A315" w14:textId="77777777" w:rsidR="00114F3C" w:rsidRDefault="00000000">
            <w:r>
              <w:rPr>
                <w:color w:val="000000"/>
                <w:sz w:val="17"/>
                <w:szCs w:val="17"/>
              </w:rPr>
              <w:t>β_vh</w:t>
            </w:r>
          </w:p>
        </w:tc>
        <w:tc>
          <w:tcPr>
            <w:tcW w:w="2650" w:type="dxa"/>
            <w:tcBorders>
              <w:top w:val="single" w:sz="4" w:space="0" w:color="AAB4BD"/>
              <w:left w:val="single" w:sz="4" w:space="0" w:color="AAB4BD"/>
              <w:bottom w:val="single" w:sz="4" w:space="0" w:color="AAB4BD"/>
              <w:right w:val="single" w:sz="4" w:space="0" w:color="AAB4BD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2FA1D71" w14:textId="77777777" w:rsidR="00114F3C" w:rsidRDefault="00000000">
            <w:r>
              <w:rPr>
                <w:color w:val="000000"/>
                <w:sz w:val="17"/>
                <w:szCs w:val="17"/>
              </w:rPr>
              <w:t>Vector→human prob.</w:t>
            </w:r>
          </w:p>
        </w:tc>
        <w:tc>
          <w:tcPr>
            <w:tcW w:w="1550" w:type="dxa"/>
            <w:tcBorders>
              <w:top w:val="single" w:sz="4" w:space="0" w:color="AAB4BD"/>
              <w:left w:val="single" w:sz="4" w:space="0" w:color="AAB4BD"/>
              <w:bottom w:val="single" w:sz="4" w:space="0" w:color="AAB4BD"/>
              <w:right w:val="single" w:sz="4" w:space="0" w:color="AAB4BD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0485675" w14:textId="77777777" w:rsidR="00114F3C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0.30 (0.05–0.80)</w:t>
            </w:r>
          </w:p>
        </w:tc>
        <w:tc>
          <w:tcPr>
            <w:tcW w:w="1550" w:type="dxa"/>
            <w:tcBorders>
              <w:top w:val="single" w:sz="4" w:space="0" w:color="AAB4BD"/>
              <w:left w:val="single" w:sz="4" w:space="0" w:color="AAB4BD"/>
              <w:bottom w:val="single" w:sz="4" w:space="0" w:color="AAB4BD"/>
              <w:right w:val="single" w:sz="4" w:space="0" w:color="AAB4BD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229C19C" w14:textId="77777777" w:rsidR="00114F3C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0.30 (0.05–0.80)</w:t>
            </w:r>
          </w:p>
        </w:tc>
        <w:tc>
          <w:tcPr>
            <w:tcW w:w="1250" w:type="dxa"/>
            <w:tcBorders>
              <w:top w:val="single" w:sz="4" w:space="0" w:color="AAB4BD"/>
              <w:left w:val="single" w:sz="4" w:space="0" w:color="AAB4BD"/>
              <w:bottom w:val="single" w:sz="4" w:space="0" w:color="AAB4BD"/>
              <w:right w:val="single" w:sz="4" w:space="0" w:color="AAB4BD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6F56839" w14:textId="77777777" w:rsidR="00114F3C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—</w:t>
            </w:r>
          </w:p>
        </w:tc>
        <w:tc>
          <w:tcPr>
            <w:tcW w:w="900" w:type="dxa"/>
            <w:tcBorders>
              <w:top w:val="single" w:sz="4" w:space="0" w:color="AAB4BD"/>
              <w:left w:val="single" w:sz="4" w:space="0" w:color="AAB4BD"/>
              <w:bottom w:val="single" w:sz="4" w:space="0" w:color="AAB4BD"/>
              <w:right w:val="single" w:sz="4" w:space="0" w:color="AAB4BD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FAC116C" w14:textId="77777777" w:rsidR="00114F3C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baseline (range)</w:t>
            </w:r>
          </w:p>
        </w:tc>
      </w:tr>
      <w:tr w:rsidR="00114F3C" w14:paraId="749E389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AAB4BD"/>
              <w:left w:val="single" w:sz="4" w:space="0" w:color="AAB4BD"/>
              <w:bottom w:val="single" w:sz="4" w:space="0" w:color="AAB4BD"/>
              <w:right w:val="single" w:sz="4" w:space="0" w:color="AAB4BD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9C92660" w14:textId="77777777" w:rsidR="00114F3C" w:rsidRDefault="00000000">
            <w:r>
              <w:rPr>
                <w:color w:val="000000"/>
                <w:sz w:val="17"/>
                <w:szCs w:val="17"/>
              </w:rPr>
              <w:t>β_hv</w:t>
            </w:r>
          </w:p>
        </w:tc>
        <w:tc>
          <w:tcPr>
            <w:tcW w:w="2650" w:type="dxa"/>
            <w:tcBorders>
              <w:top w:val="single" w:sz="4" w:space="0" w:color="AAB4BD"/>
              <w:left w:val="single" w:sz="4" w:space="0" w:color="AAB4BD"/>
              <w:bottom w:val="single" w:sz="4" w:space="0" w:color="AAB4BD"/>
              <w:right w:val="single" w:sz="4" w:space="0" w:color="AAB4BD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4D21102" w14:textId="77777777" w:rsidR="00114F3C" w:rsidRDefault="00000000">
            <w:r>
              <w:rPr>
                <w:color w:val="000000"/>
                <w:sz w:val="17"/>
                <w:szCs w:val="17"/>
              </w:rPr>
              <w:t>Human→vector prob.</w:t>
            </w:r>
          </w:p>
        </w:tc>
        <w:tc>
          <w:tcPr>
            <w:tcW w:w="1550" w:type="dxa"/>
            <w:tcBorders>
              <w:top w:val="single" w:sz="4" w:space="0" w:color="AAB4BD"/>
              <w:left w:val="single" w:sz="4" w:space="0" w:color="AAB4BD"/>
              <w:bottom w:val="single" w:sz="4" w:space="0" w:color="AAB4BD"/>
              <w:right w:val="single" w:sz="4" w:space="0" w:color="AAB4BD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9E35549" w14:textId="77777777" w:rsidR="00114F3C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0.33 (0.05–0.80)</w:t>
            </w:r>
          </w:p>
        </w:tc>
        <w:tc>
          <w:tcPr>
            <w:tcW w:w="1550" w:type="dxa"/>
            <w:tcBorders>
              <w:top w:val="single" w:sz="4" w:space="0" w:color="AAB4BD"/>
              <w:left w:val="single" w:sz="4" w:space="0" w:color="AAB4BD"/>
              <w:bottom w:val="single" w:sz="4" w:space="0" w:color="AAB4BD"/>
              <w:right w:val="single" w:sz="4" w:space="0" w:color="AAB4BD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14BD05F" w14:textId="77777777" w:rsidR="00114F3C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0.33 (0.05–0.80)</w:t>
            </w:r>
          </w:p>
        </w:tc>
        <w:tc>
          <w:tcPr>
            <w:tcW w:w="1250" w:type="dxa"/>
            <w:tcBorders>
              <w:top w:val="single" w:sz="4" w:space="0" w:color="AAB4BD"/>
              <w:left w:val="single" w:sz="4" w:space="0" w:color="AAB4BD"/>
              <w:bottom w:val="single" w:sz="4" w:space="0" w:color="AAB4BD"/>
              <w:right w:val="single" w:sz="4" w:space="0" w:color="AAB4BD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485BA34" w14:textId="77777777" w:rsidR="00114F3C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—</w:t>
            </w:r>
          </w:p>
        </w:tc>
        <w:tc>
          <w:tcPr>
            <w:tcW w:w="900" w:type="dxa"/>
            <w:tcBorders>
              <w:top w:val="single" w:sz="4" w:space="0" w:color="AAB4BD"/>
              <w:left w:val="single" w:sz="4" w:space="0" w:color="AAB4BD"/>
              <w:bottom w:val="single" w:sz="4" w:space="0" w:color="AAB4BD"/>
              <w:right w:val="single" w:sz="4" w:space="0" w:color="AAB4BD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9455A18" w14:textId="77777777" w:rsidR="00114F3C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baseline (range)</w:t>
            </w:r>
          </w:p>
        </w:tc>
      </w:tr>
      <w:tr w:rsidR="00114F3C" w14:paraId="753B433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AAB4BD"/>
              <w:left w:val="single" w:sz="4" w:space="0" w:color="AAB4BD"/>
              <w:bottom w:val="single" w:sz="4" w:space="0" w:color="AAB4BD"/>
              <w:right w:val="single" w:sz="4" w:space="0" w:color="AAB4BD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4ECD13D" w14:textId="77777777" w:rsidR="00114F3C" w:rsidRDefault="00000000">
            <w:r>
              <w:rPr>
                <w:color w:val="000000"/>
                <w:sz w:val="17"/>
                <w:szCs w:val="17"/>
              </w:rPr>
              <w:t>γ</w:t>
            </w:r>
          </w:p>
        </w:tc>
        <w:tc>
          <w:tcPr>
            <w:tcW w:w="2650" w:type="dxa"/>
            <w:tcBorders>
              <w:top w:val="single" w:sz="4" w:space="0" w:color="AAB4BD"/>
              <w:left w:val="single" w:sz="4" w:space="0" w:color="AAB4BD"/>
              <w:bottom w:val="single" w:sz="4" w:space="0" w:color="AAB4BD"/>
              <w:right w:val="single" w:sz="4" w:space="0" w:color="AAB4BD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C2404C6" w14:textId="77777777" w:rsidR="00114F3C" w:rsidRDefault="00000000">
            <w:r>
              <w:rPr>
                <w:color w:val="000000"/>
                <w:sz w:val="17"/>
                <w:szCs w:val="17"/>
              </w:rPr>
              <w:t>Human recovery rate</w:t>
            </w:r>
          </w:p>
        </w:tc>
        <w:tc>
          <w:tcPr>
            <w:tcW w:w="1550" w:type="dxa"/>
            <w:tcBorders>
              <w:top w:val="single" w:sz="4" w:space="0" w:color="AAB4BD"/>
              <w:left w:val="single" w:sz="4" w:space="0" w:color="AAB4BD"/>
              <w:bottom w:val="single" w:sz="4" w:space="0" w:color="AAB4BD"/>
              <w:right w:val="single" w:sz="4" w:space="0" w:color="AAB4BD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CD80442" w14:textId="77777777" w:rsidR="00114F3C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0.20 (IP = 5 d)</w:t>
            </w:r>
          </w:p>
        </w:tc>
        <w:tc>
          <w:tcPr>
            <w:tcW w:w="1550" w:type="dxa"/>
            <w:tcBorders>
              <w:top w:val="single" w:sz="4" w:space="0" w:color="AAB4BD"/>
              <w:left w:val="single" w:sz="4" w:space="0" w:color="AAB4BD"/>
              <w:bottom w:val="single" w:sz="4" w:space="0" w:color="AAB4BD"/>
              <w:right w:val="single" w:sz="4" w:space="0" w:color="AAB4BD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6283A23" w14:textId="77777777" w:rsidR="00114F3C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0.20 (IP = 5 d)</w:t>
            </w:r>
          </w:p>
        </w:tc>
        <w:tc>
          <w:tcPr>
            <w:tcW w:w="1250" w:type="dxa"/>
            <w:tcBorders>
              <w:top w:val="single" w:sz="4" w:space="0" w:color="AAB4BD"/>
              <w:left w:val="single" w:sz="4" w:space="0" w:color="AAB4BD"/>
              <w:bottom w:val="single" w:sz="4" w:space="0" w:color="AAB4BD"/>
              <w:right w:val="single" w:sz="4" w:space="0" w:color="AAB4BD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04B023F" w14:textId="77777777" w:rsidR="00114F3C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day⁻¹</w:t>
            </w:r>
          </w:p>
        </w:tc>
        <w:tc>
          <w:tcPr>
            <w:tcW w:w="900" w:type="dxa"/>
            <w:tcBorders>
              <w:top w:val="single" w:sz="4" w:space="0" w:color="AAB4BD"/>
              <w:left w:val="single" w:sz="4" w:space="0" w:color="AAB4BD"/>
              <w:bottom w:val="single" w:sz="4" w:space="0" w:color="AAB4BD"/>
              <w:right w:val="single" w:sz="4" w:space="0" w:color="AAB4BD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8A1E0D5" w14:textId="77777777" w:rsidR="00114F3C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baseline</w:t>
            </w:r>
          </w:p>
        </w:tc>
      </w:tr>
      <w:tr w:rsidR="00114F3C" w14:paraId="5EE36E9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AAB4BD"/>
              <w:left w:val="single" w:sz="4" w:space="0" w:color="AAB4BD"/>
              <w:bottom w:val="single" w:sz="4" w:space="0" w:color="AAB4BD"/>
              <w:right w:val="single" w:sz="4" w:space="0" w:color="AAB4BD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D8D735B" w14:textId="77777777" w:rsidR="00114F3C" w:rsidRDefault="00000000">
            <w:r>
              <w:rPr>
                <w:color w:val="000000"/>
                <w:sz w:val="17"/>
                <w:szCs w:val="17"/>
              </w:rPr>
              <w:t>τ</w:t>
            </w:r>
          </w:p>
        </w:tc>
        <w:tc>
          <w:tcPr>
            <w:tcW w:w="2650" w:type="dxa"/>
            <w:tcBorders>
              <w:top w:val="single" w:sz="4" w:space="0" w:color="AAB4BD"/>
              <w:left w:val="single" w:sz="4" w:space="0" w:color="AAB4BD"/>
              <w:bottom w:val="single" w:sz="4" w:space="0" w:color="AAB4BD"/>
              <w:right w:val="single" w:sz="4" w:space="0" w:color="AAB4BD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68F720E" w14:textId="77777777" w:rsidR="00114F3C" w:rsidRDefault="00000000">
            <w:r>
              <w:rPr>
                <w:color w:val="000000"/>
                <w:sz w:val="17"/>
                <w:szCs w:val="17"/>
              </w:rPr>
              <w:t>Establishment threshold</w:t>
            </w:r>
          </w:p>
        </w:tc>
        <w:tc>
          <w:tcPr>
            <w:tcW w:w="1550" w:type="dxa"/>
            <w:tcBorders>
              <w:top w:val="single" w:sz="4" w:space="0" w:color="AAB4BD"/>
              <w:left w:val="single" w:sz="4" w:space="0" w:color="AAB4BD"/>
              <w:bottom w:val="single" w:sz="4" w:space="0" w:color="AAB4BD"/>
              <w:right w:val="single" w:sz="4" w:space="0" w:color="AAB4BD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81750A3" w14:textId="77777777" w:rsidR="00114F3C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30</w:t>
            </w:r>
          </w:p>
        </w:tc>
        <w:tc>
          <w:tcPr>
            <w:tcW w:w="1550" w:type="dxa"/>
            <w:tcBorders>
              <w:top w:val="single" w:sz="4" w:space="0" w:color="AAB4BD"/>
              <w:left w:val="single" w:sz="4" w:space="0" w:color="AAB4BD"/>
              <w:bottom w:val="single" w:sz="4" w:space="0" w:color="AAB4BD"/>
              <w:right w:val="single" w:sz="4" w:space="0" w:color="AAB4BD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17D56FA" w14:textId="77777777" w:rsidR="00114F3C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30</w:t>
            </w:r>
          </w:p>
        </w:tc>
        <w:tc>
          <w:tcPr>
            <w:tcW w:w="1250" w:type="dxa"/>
            <w:tcBorders>
              <w:top w:val="single" w:sz="4" w:space="0" w:color="AAB4BD"/>
              <w:left w:val="single" w:sz="4" w:space="0" w:color="AAB4BD"/>
              <w:bottom w:val="single" w:sz="4" w:space="0" w:color="AAB4BD"/>
              <w:right w:val="single" w:sz="4" w:space="0" w:color="AAB4BD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07EA5E2" w14:textId="77777777" w:rsidR="00114F3C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individuals</w:t>
            </w:r>
          </w:p>
        </w:tc>
        <w:tc>
          <w:tcPr>
            <w:tcW w:w="900" w:type="dxa"/>
            <w:tcBorders>
              <w:top w:val="single" w:sz="4" w:space="0" w:color="AAB4BD"/>
              <w:left w:val="single" w:sz="4" w:space="0" w:color="AAB4BD"/>
              <w:bottom w:val="single" w:sz="4" w:space="0" w:color="AAB4BD"/>
              <w:right w:val="single" w:sz="4" w:space="0" w:color="AAB4BD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5AED30D" w14:textId="77777777" w:rsidR="00114F3C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fixed</w:t>
            </w:r>
          </w:p>
        </w:tc>
      </w:tr>
      <w:tr w:rsidR="00114F3C" w14:paraId="5137834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AAB4BD"/>
              <w:left w:val="single" w:sz="4" w:space="0" w:color="AAB4BD"/>
              <w:bottom w:val="single" w:sz="4" w:space="0" w:color="AAB4BD"/>
              <w:right w:val="single" w:sz="4" w:space="0" w:color="AAB4BD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6177585" w14:textId="77777777" w:rsidR="00114F3C" w:rsidRDefault="00000000">
            <w:r>
              <w:rPr>
                <w:color w:val="000000"/>
                <w:sz w:val="17"/>
                <w:szCs w:val="17"/>
              </w:rPr>
              <w:t>n_mc, n_rep</w:t>
            </w:r>
          </w:p>
        </w:tc>
        <w:tc>
          <w:tcPr>
            <w:tcW w:w="2650" w:type="dxa"/>
            <w:tcBorders>
              <w:top w:val="single" w:sz="4" w:space="0" w:color="AAB4BD"/>
              <w:left w:val="single" w:sz="4" w:space="0" w:color="AAB4BD"/>
              <w:bottom w:val="single" w:sz="4" w:space="0" w:color="AAB4BD"/>
              <w:right w:val="single" w:sz="4" w:space="0" w:color="AAB4BD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D044C27" w14:textId="77777777" w:rsidR="00114F3C" w:rsidRDefault="00000000">
            <w:r>
              <w:rPr>
                <w:color w:val="000000"/>
                <w:sz w:val="17"/>
                <w:szCs w:val="17"/>
              </w:rPr>
              <w:t>Inner/outer MC size</w:t>
            </w:r>
          </w:p>
        </w:tc>
        <w:tc>
          <w:tcPr>
            <w:tcW w:w="1550" w:type="dxa"/>
            <w:tcBorders>
              <w:top w:val="single" w:sz="4" w:space="0" w:color="AAB4BD"/>
              <w:left w:val="single" w:sz="4" w:space="0" w:color="AAB4BD"/>
              <w:bottom w:val="single" w:sz="4" w:space="0" w:color="AAB4BD"/>
              <w:right w:val="single" w:sz="4" w:space="0" w:color="AAB4BD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8EA5009" w14:textId="77777777" w:rsidR="00114F3C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2,000 / 1,000</w:t>
            </w:r>
          </w:p>
        </w:tc>
        <w:tc>
          <w:tcPr>
            <w:tcW w:w="1550" w:type="dxa"/>
            <w:tcBorders>
              <w:top w:val="single" w:sz="4" w:space="0" w:color="AAB4BD"/>
              <w:left w:val="single" w:sz="4" w:space="0" w:color="AAB4BD"/>
              <w:bottom w:val="single" w:sz="4" w:space="0" w:color="AAB4BD"/>
              <w:right w:val="single" w:sz="4" w:space="0" w:color="AAB4BD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00D10E9" w14:textId="77777777" w:rsidR="00114F3C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2,000 / 1,000</w:t>
            </w:r>
          </w:p>
        </w:tc>
        <w:tc>
          <w:tcPr>
            <w:tcW w:w="1250" w:type="dxa"/>
            <w:tcBorders>
              <w:top w:val="single" w:sz="4" w:space="0" w:color="AAB4BD"/>
              <w:left w:val="single" w:sz="4" w:space="0" w:color="AAB4BD"/>
              <w:bottom w:val="single" w:sz="4" w:space="0" w:color="AAB4BD"/>
              <w:right w:val="single" w:sz="4" w:space="0" w:color="AAB4BD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4E717E" w14:textId="77777777" w:rsidR="00114F3C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—</w:t>
            </w:r>
          </w:p>
        </w:tc>
        <w:tc>
          <w:tcPr>
            <w:tcW w:w="900" w:type="dxa"/>
            <w:tcBorders>
              <w:top w:val="single" w:sz="4" w:space="0" w:color="AAB4BD"/>
              <w:left w:val="single" w:sz="4" w:space="0" w:color="AAB4BD"/>
              <w:bottom w:val="single" w:sz="4" w:space="0" w:color="AAB4BD"/>
              <w:right w:val="single" w:sz="4" w:space="0" w:color="AAB4BD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C64C71D" w14:textId="77777777" w:rsidR="00114F3C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fixed</w:t>
            </w:r>
          </w:p>
        </w:tc>
      </w:tr>
    </w:tbl>
    <w:p w14:paraId="59B4B354" w14:textId="77777777" w:rsidR="00114F3C" w:rsidRDefault="00000000">
      <w:pPr>
        <w:spacing w:after="120" w:line="276" w:lineRule="auto"/>
        <w:jc w:val="both"/>
      </w:pPr>
      <w:r>
        <w:rPr>
          <w:color w:val="666666"/>
          <w:sz w:val="19"/>
          <w:szCs w:val="19"/>
        </w:rPr>
        <w:t>Note. m = 1.0 is a conservative upper bound relative to the reported field range (0.1–0.7); reported absolute probabilities are conditional on this baseline. Thermal-trait forms follow the mechanistic trait-based framework of Mordecai et al. (2017) and references therein; transmission probabilities and the recovery rate follow standard Ross–Macdonald parameterizations.</w:t>
      </w:r>
    </w:p>
    <w:p w14:paraId="04508A9D" w14:textId="77777777" w:rsidR="00114F3C" w:rsidRDefault="00000000">
      <w:pPr>
        <w:pStyle w:val="Balk1"/>
        <w:spacing w:before="260" w:after="120"/>
      </w:pPr>
      <w:r>
        <w:rPr>
          <w:b/>
          <w:bCs/>
          <w:color w:val="1F3A5F"/>
          <w:sz w:val="27"/>
          <w:szCs w:val="27"/>
        </w:rPr>
        <w:t>S2 Table. Verification and Jensen-bias diagnostics</w:t>
      </w:r>
    </w:p>
    <w:p w14:paraId="20E26E7F" w14:textId="77777777" w:rsidR="00114F3C" w:rsidRDefault="00000000">
      <w:pPr>
        <w:spacing w:after="120" w:line="276" w:lineRule="auto"/>
        <w:jc w:val="both"/>
      </w:pPr>
      <w:r>
        <w:rPr>
          <w:color w:val="666666"/>
          <w:sz w:val="20"/>
          <w:szCs w:val="20"/>
        </w:rPr>
        <w:t>Two-stage verification for each SSP scenario. Stage 1 compares the stochastic implementation with the analytical gambler’s-ruin solution under σ_EIP = 0; Stage 2 quantifies the Jensen bias under log-normal EIP. Full per-district values are provided in the reproducibility package (S1 Data).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000"/>
        <w:gridCol w:w="2600"/>
        <w:gridCol w:w="2600"/>
      </w:tblGrid>
      <w:tr w:rsidR="00114F3C" w14:paraId="0EC487D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AAB4BD"/>
              <w:left w:val="single" w:sz="4" w:space="0" w:color="AAB4BD"/>
              <w:bottom w:val="single" w:sz="4" w:space="0" w:color="AAB4BD"/>
              <w:right w:val="single" w:sz="4" w:space="0" w:color="AAB4BD"/>
            </w:tcBorders>
            <w:shd w:val="clear" w:color="auto" w:fill="1F3A5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9B5C03A" w14:textId="77777777" w:rsidR="00114F3C" w:rsidRDefault="00000000">
            <w:r>
              <w:rPr>
                <w:b/>
                <w:bCs/>
                <w:color w:val="FFFFFF"/>
                <w:sz w:val="17"/>
                <w:szCs w:val="17"/>
              </w:rPr>
              <w:t>Diagnostic</w:t>
            </w:r>
          </w:p>
        </w:tc>
        <w:tc>
          <w:tcPr>
            <w:tcW w:w="2000" w:type="dxa"/>
            <w:tcBorders>
              <w:top w:val="single" w:sz="4" w:space="0" w:color="AAB4BD"/>
              <w:left w:val="single" w:sz="4" w:space="0" w:color="AAB4BD"/>
              <w:bottom w:val="single" w:sz="4" w:space="0" w:color="AAB4BD"/>
              <w:right w:val="single" w:sz="4" w:space="0" w:color="AAB4BD"/>
            </w:tcBorders>
            <w:shd w:val="clear" w:color="auto" w:fill="1F3A5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C9C2C7D" w14:textId="77777777" w:rsidR="00114F3C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Condition</w:t>
            </w:r>
          </w:p>
        </w:tc>
        <w:tc>
          <w:tcPr>
            <w:tcW w:w="2600" w:type="dxa"/>
            <w:tcBorders>
              <w:top w:val="single" w:sz="4" w:space="0" w:color="AAB4BD"/>
              <w:left w:val="single" w:sz="4" w:space="0" w:color="AAB4BD"/>
              <w:bottom w:val="single" w:sz="4" w:space="0" w:color="AAB4BD"/>
              <w:right w:val="single" w:sz="4" w:space="0" w:color="AAB4BD"/>
            </w:tcBorders>
            <w:shd w:val="clear" w:color="auto" w:fill="1F3A5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E6392D2" w14:textId="77777777" w:rsidR="00114F3C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Result</w:t>
            </w:r>
          </w:p>
        </w:tc>
        <w:tc>
          <w:tcPr>
            <w:tcW w:w="2600" w:type="dxa"/>
            <w:tcBorders>
              <w:top w:val="single" w:sz="4" w:space="0" w:color="AAB4BD"/>
              <w:left w:val="single" w:sz="4" w:space="0" w:color="AAB4BD"/>
              <w:bottom w:val="single" w:sz="4" w:space="0" w:color="AAB4BD"/>
              <w:right w:val="single" w:sz="4" w:space="0" w:color="AAB4BD"/>
            </w:tcBorders>
            <w:shd w:val="clear" w:color="auto" w:fill="1F3A5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D047334" w14:textId="77777777" w:rsidR="00114F3C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Interpretation</w:t>
            </w:r>
          </w:p>
        </w:tc>
      </w:tr>
      <w:tr w:rsidR="00114F3C" w14:paraId="0A371E1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B4BD"/>
              <w:left w:val="single" w:sz="4" w:space="0" w:color="AAB4BD"/>
              <w:bottom w:val="single" w:sz="4" w:space="0" w:color="AAB4BD"/>
              <w:right w:val="single" w:sz="4" w:space="0" w:color="AAB4BD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49BA61C" w14:textId="77777777" w:rsidR="00114F3C" w:rsidRDefault="00000000">
            <w:r>
              <w:rPr>
                <w:color w:val="000000"/>
                <w:sz w:val="17"/>
                <w:szCs w:val="17"/>
              </w:rPr>
              <w:t>Analytic vs stochastic (mean |Δ|)</w:t>
            </w:r>
          </w:p>
        </w:tc>
        <w:tc>
          <w:tcPr>
            <w:tcW w:w="2000" w:type="dxa"/>
            <w:tcBorders>
              <w:top w:val="single" w:sz="4" w:space="0" w:color="AAB4BD"/>
              <w:left w:val="single" w:sz="4" w:space="0" w:color="AAB4BD"/>
              <w:bottom w:val="single" w:sz="4" w:space="0" w:color="AAB4BD"/>
              <w:right w:val="single" w:sz="4" w:space="0" w:color="AAB4BD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2404EB3" w14:textId="77777777" w:rsidR="00114F3C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σ_EIP = 0</w:t>
            </w:r>
          </w:p>
        </w:tc>
        <w:tc>
          <w:tcPr>
            <w:tcW w:w="2600" w:type="dxa"/>
            <w:tcBorders>
              <w:top w:val="single" w:sz="4" w:space="0" w:color="AAB4BD"/>
              <w:left w:val="single" w:sz="4" w:space="0" w:color="AAB4BD"/>
              <w:bottom w:val="single" w:sz="4" w:space="0" w:color="AAB4BD"/>
              <w:right w:val="single" w:sz="4" w:space="0" w:color="AAB4BD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817EA49" w14:textId="77777777" w:rsidR="00114F3C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~1×10⁻¹⁷</w:t>
            </w:r>
          </w:p>
        </w:tc>
        <w:tc>
          <w:tcPr>
            <w:tcW w:w="2600" w:type="dxa"/>
            <w:tcBorders>
              <w:top w:val="single" w:sz="4" w:space="0" w:color="AAB4BD"/>
              <w:left w:val="single" w:sz="4" w:space="0" w:color="AAB4BD"/>
              <w:bottom w:val="single" w:sz="4" w:space="0" w:color="AAB4BD"/>
              <w:right w:val="single" w:sz="4" w:space="0" w:color="AAB4BD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883FABE" w14:textId="77777777" w:rsidR="00114F3C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Machine-precision agreement</w:t>
            </w:r>
          </w:p>
        </w:tc>
      </w:tr>
      <w:tr w:rsidR="00114F3C" w14:paraId="770445E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B4BD"/>
              <w:left w:val="single" w:sz="4" w:space="0" w:color="AAB4BD"/>
              <w:bottom w:val="single" w:sz="4" w:space="0" w:color="AAB4BD"/>
              <w:right w:val="single" w:sz="4" w:space="0" w:color="AAB4BD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F8B4F98" w14:textId="77777777" w:rsidR="00114F3C" w:rsidRDefault="00000000">
            <w:r>
              <w:rPr>
                <w:color w:val="000000"/>
                <w:sz w:val="17"/>
                <w:szCs w:val="17"/>
              </w:rPr>
              <w:t>Analytic vs stochastic (max |Δ|)</w:t>
            </w:r>
          </w:p>
        </w:tc>
        <w:tc>
          <w:tcPr>
            <w:tcW w:w="2000" w:type="dxa"/>
            <w:tcBorders>
              <w:top w:val="single" w:sz="4" w:space="0" w:color="AAB4BD"/>
              <w:left w:val="single" w:sz="4" w:space="0" w:color="AAB4BD"/>
              <w:bottom w:val="single" w:sz="4" w:space="0" w:color="AAB4BD"/>
              <w:right w:val="single" w:sz="4" w:space="0" w:color="AAB4BD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E796D3C" w14:textId="77777777" w:rsidR="00114F3C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σ_EIP = 0</w:t>
            </w:r>
          </w:p>
        </w:tc>
        <w:tc>
          <w:tcPr>
            <w:tcW w:w="2600" w:type="dxa"/>
            <w:tcBorders>
              <w:top w:val="single" w:sz="4" w:space="0" w:color="AAB4BD"/>
              <w:left w:val="single" w:sz="4" w:space="0" w:color="AAB4BD"/>
              <w:bottom w:val="single" w:sz="4" w:space="0" w:color="AAB4BD"/>
              <w:right w:val="single" w:sz="4" w:space="0" w:color="AAB4BD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36069BE" w14:textId="77777777" w:rsidR="00114F3C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~1×10⁻¹⁶</w:t>
            </w:r>
          </w:p>
        </w:tc>
        <w:tc>
          <w:tcPr>
            <w:tcW w:w="2600" w:type="dxa"/>
            <w:tcBorders>
              <w:top w:val="single" w:sz="4" w:space="0" w:color="AAB4BD"/>
              <w:left w:val="single" w:sz="4" w:space="0" w:color="AAB4BD"/>
              <w:bottom w:val="single" w:sz="4" w:space="0" w:color="AAB4BD"/>
              <w:right w:val="single" w:sz="4" w:space="0" w:color="AAB4BD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4C57ACA" w14:textId="77777777" w:rsidR="00114F3C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Bounds numerical error</w:t>
            </w:r>
          </w:p>
        </w:tc>
      </w:tr>
      <w:tr w:rsidR="00114F3C" w14:paraId="34BFFCB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B4BD"/>
              <w:left w:val="single" w:sz="4" w:space="0" w:color="AAB4BD"/>
              <w:bottom w:val="single" w:sz="4" w:space="0" w:color="AAB4BD"/>
              <w:right w:val="single" w:sz="4" w:space="0" w:color="AAB4BD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9FAF420" w14:textId="77777777" w:rsidR="00114F3C" w:rsidRPr="00500B36" w:rsidRDefault="00000000">
            <w:pPr>
              <w:rPr>
                <w:lang w:val="fr-FR"/>
              </w:rPr>
            </w:pPr>
            <w:r w:rsidRPr="00500B36">
              <w:rPr>
                <w:color w:val="000000"/>
                <w:sz w:val="17"/>
                <w:szCs w:val="17"/>
                <w:lang w:val="fr-FR"/>
              </w:rPr>
              <w:t>Jensen bias E[P_est] − P_est(E[EIP])</w:t>
            </w:r>
          </w:p>
        </w:tc>
        <w:tc>
          <w:tcPr>
            <w:tcW w:w="2000" w:type="dxa"/>
            <w:tcBorders>
              <w:top w:val="single" w:sz="4" w:space="0" w:color="AAB4BD"/>
              <w:left w:val="single" w:sz="4" w:space="0" w:color="AAB4BD"/>
              <w:bottom w:val="single" w:sz="4" w:space="0" w:color="AAB4BD"/>
              <w:right w:val="single" w:sz="4" w:space="0" w:color="AAB4BD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B7472D3" w14:textId="77777777" w:rsidR="00114F3C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σ_EIP &gt; 0</w:t>
            </w:r>
          </w:p>
        </w:tc>
        <w:tc>
          <w:tcPr>
            <w:tcW w:w="2600" w:type="dxa"/>
            <w:tcBorders>
              <w:top w:val="single" w:sz="4" w:space="0" w:color="AAB4BD"/>
              <w:left w:val="single" w:sz="4" w:space="0" w:color="AAB4BD"/>
              <w:bottom w:val="single" w:sz="4" w:space="0" w:color="AAB4BD"/>
              <w:right w:val="single" w:sz="4" w:space="0" w:color="AAB4BD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D65E497" w14:textId="77777777" w:rsidR="00114F3C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per district/scenario</w:t>
            </w:r>
          </w:p>
        </w:tc>
        <w:tc>
          <w:tcPr>
            <w:tcW w:w="2600" w:type="dxa"/>
            <w:tcBorders>
              <w:top w:val="single" w:sz="4" w:space="0" w:color="AAB4BD"/>
              <w:left w:val="single" w:sz="4" w:space="0" w:color="AAB4BD"/>
              <w:bottom w:val="single" w:sz="4" w:space="0" w:color="AAB4BD"/>
              <w:right w:val="single" w:sz="4" w:space="0" w:color="AAB4BD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8FF49D3" w14:textId="77777777" w:rsidR="00114F3C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Sign and magnitude of EIP heterogeneity effect</w:t>
            </w:r>
          </w:p>
        </w:tc>
      </w:tr>
      <w:tr w:rsidR="00114F3C" w14:paraId="26E78D9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B4BD"/>
              <w:left w:val="single" w:sz="4" w:space="0" w:color="AAB4BD"/>
              <w:bottom w:val="single" w:sz="4" w:space="0" w:color="AAB4BD"/>
              <w:right w:val="single" w:sz="4" w:space="0" w:color="AAB4BD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44FDDBD" w14:textId="77777777" w:rsidR="00114F3C" w:rsidRDefault="00000000">
            <w:r>
              <w:rPr>
                <w:color w:val="000000"/>
                <w:sz w:val="17"/>
                <w:szCs w:val="17"/>
              </w:rPr>
              <w:t>Active combinations reported (N)</w:t>
            </w:r>
          </w:p>
        </w:tc>
        <w:tc>
          <w:tcPr>
            <w:tcW w:w="2000" w:type="dxa"/>
            <w:tcBorders>
              <w:top w:val="single" w:sz="4" w:space="0" w:color="AAB4BD"/>
              <w:left w:val="single" w:sz="4" w:space="0" w:color="AAB4BD"/>
              <w:bottom w:val="single" w:sz="4" w:space="0" w:color="AAB4BD"/>
              <w:right w:val="single" w:sz="4" w:space="0" w:color="AAB4BD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6FA77E6" w14:textId="77777777" w:rsidR="00114F3C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λ_local &gt; 0 / P_est &gt; 0</w:t>
            </w:r>
          </w:p>
        </w:tc>
        <w:tc>
          <w:tcPr>
            <w:tcW w:w="2600" w:type="dxa"/>
            <w:tcBorders>
              <w:top w:val="single" w:sz="4" w:space="0" w:color="AAB4BD"/>
              <w:left w:val="single" w:sz="4" w:space="0" w:color="AAB4BD"/>
              <w:bottom w:val="single" w:sz="4" w:space="0" w:color="AAB4BD"/>
              <w:right w:val="single" w:sz="4" w:space="0" w:color="AAB4BD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1D67D09" w14:textId="77777777" w:rsidR="00114F3C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scenario-dependent</w:t>
            </w:r>
          </w:p>
        </w:tc>
        <w:tc>
          <w:tcPr>
            <w:tcW w:w="2600" w:type="dxa"/>
            <w:tcBorders>
              <w:top w:val="single" w:sz="4" w:space="0" w:color="AAB4BD"/>
              <w:left w:val="single" w:sz="4" w:space="0" w:color="AAB4BD"/>
              <w:bottom w:val="single" w:sz="4" w:space="0" w:color="AAB4BD"/>
              <w:right w:val="single" w:sz="4" w:space="0" w:color="AAB4BD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C878ADF" w14:textId="77777777" w:rsidR="00114F3C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Only comparison-meaningful cells reported</w:t>
            </w:r>
          </w:p>
        </w:tc>
      </w:tr>
    </w:tbl>
    <w:p w14:paraId="1C2FA802" w14:textId="77777777" w:rsidR="00114F3C" w:rsidRDefault="00000000">
      <w:pPr>
        <w:pStyle w:val="Balk1"/>
        <w:spacing w:before="260" w:after="120"/>
      </w:pPr>
      <w:r>
        <w:rPr>
          <w:b/>
          <w:bCs/>
          <w:color w:val="1F3A5F"/>
          <w:sz w:val="27"/>
          <w:szCs w:val="27"/>
        </w:rPr>
        <w:t>S3 Table. Transmission-season length</w:t>
      </w:r>
    </w:p>
    <w:p w14:paraId="6B4D1982" w14:textId="77777777" w:rsidR="00114F3C" w:rsidRDefault="00000000">
      <w:pPr>
        <w:spacing w:after="120" w:line="276" w:lineRule="auto"/>
        <w:jc w:val="both"/>
      </w:pPr>
      <w:r>
        <w:rPr>
          <w:color w:val="666666"/>
          <w:sz w:val="20"/>
          <w:szCs w:val="20"/>
        </w:rPr>
        <w:t>Number of active months (λ_local &gt; 0) per district, early (2025–2035) versus late (2065–2075) period, and the projected expansion. Representative values; full table in S1 Data.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000"/>
        <w:gridCol w:w="2000"/>
        <w:gridCol w:w="3000"/>
      </w:tblGrid>
      <w:tr w:rsidR="00114F3C" w14:paraId="649D6CB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AAB4BD"/>
              <w:left w:val="single" w:sz="4" w:space="0" w:color="AAB4BD"/>
              <w:bottom w:val="single" w:sz="4" w:space="0" w:color="AAB4BD"/>
              <w:right w:val="single" w:sz="4" w:space="0" w:color="AAB4BD"/>
            </w:tcBorders>
            <w:shd w:val="clear" w:color="auto" w:fill="1F3A5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7D886B1" w14:textId="77777777" w:rsidR="00114F3C" w:rsidRDefault="00000000">
            <w:r>
              <w:rPr>
                <w:b/>
                <w:bCs/>
                <w:color w:val="FFFFFF"/>
                <w:sz w:val="17"/>
                <w:szCs w:val="17"/>
              </w:rPr>
              <w:t>District</w:t>
            </w:r>
          </w:p>
        </w:tc>
        <w:tc>
          <w:tcPr>
            <w:tcW w:w="2000" w:type="dxa"/>
            <w:tcBorders>
              <w:top w:val="single" w:sz="4" w:space="0" w:color="AAB4BD"/>
              <w:left w:val="single" w:sz="4" w:space="0" w:color="AAB4BD"/>
              <w:bottom w:val="single" w:sz="4" w:space="0" w:color="AAB4BD"/>
              <w:right w:val="single" w:sz="4" w:space="0" w:color="AAB4BD"/>
            </w:tcBorders>
            <w:shd w:val="clear" w:color="auto" w:fill="1F3A5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8B3EE86" w14:textId="77777777" w:rsidR="00114F3C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Early (2025–2035)</w:t>
            </w:r>
          </w:p>
        </w:tc>
        <w:tc>
          <w:tcPr>
            <w:tcW w:w="2000" w:type="dxa"/>
            <w:tcBorders>
              <w:top w:val="single" w:sz="4" w:space="0" w:color="AAB4BD"/>
              <w:left w:val="single" w:sz="4" w:space="0" w:color="AAB4BD"/>
              <w:bottom w:val="single" w:sz="4" w:space="0" w:color="AAB4BD"/>
              <w:right w:val="single" w:sz="4" w:space="0" w:color="AAB4BD"/>
            </w:tcBorders>
            <w:shd w:val="clear" w:color="auto" w:fill="1F3A5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9D24353" w14:textId="77777777" w:rsidR="00114F3C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Late (2065–2075)</w:t>
            </w:r>
          </w:p>
        </w:tc>
        <w:tc>
          <w:tcPr>
            <w:tcW w:w="3000" w:type="dxa"/>
            <w:tcBorders>
              <w:top w:val="single" w:sz="4" w:space="0" w:color="AAB4BD"/>
              <w:left w:val="single" w:sz="4" w:space="0" w:color="AAB4BD"/>
              <w:bottom w:val="single" w:sz="4" w:space="0" w:color="AAB4BD"/>
              <w:right w:val="single" w:sz="4" w:space="0" w:color="AAB4BD"/>
            </w:tcBorders>
            <w:shd w:val="clear" w:color="auto" w:fill="1F3A5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26DAD48" w14:textId="77777777" w:rsidR="00114F3C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Season expansion (months)</w:t>
            </w:r>
          </w:p>
        </w:tc>
      </w:tr>
      <w:tr w:rsidR="00114F3C" w14:paraId="00973A6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4BD"/>
              <w:left w:val="single" w:sz="4" w:space="0" w:color="AAB4BD"/>
              <w:bottom w:val="single" w:sz="4" w:space="0" w:color="AAB4BD"/>
              <w:right w:val="single" w:sz="4" w:space="0" w:color="AAB4BD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6615060" w14:textId="77777777" w:rsidR="00114F3C" w:rsidRDefault="00000000">
            <w:r>
              <w:rPr>
                <w:color w:val="000000"/>
                <w:sz w:val="17"/>
                <w:szCs w:val="17"/>
              </w:rPr>
              <w:t>Fethiye (Muğla)</w:t>
            </w:r>
          </w:p>
        </w:tc>
        <w:tc>
          <w:tcPr>
            <w:tcW w:w="2000" w:type="dxa"/>
            <w:tcBorders>
              <w:top w:val="single" w:sz="4" w:space="0" w:color="AAB4BD"/>
              <w:left w:val="single" w:sz="4" w:space="0" w:color="AAB4BD"/>
              <w:bottom w:val="single" w:sz="4" w:space="0" w:color="AAB4BD"/>
              <w:right w:val="single" w:sz="4" w:space="0" w:color="AAB4BD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E5531D0" w14:textId="77777777" w:rsidR="00114F3C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—</w:t>
            </w:r>
          </w:p>
        </w:tc>
        <w:tc>
          <w:tcPr>
            <w:tcW w:w="2000" w:type="dxa"/>
            <w:tcBorders>
              <w:top w:val="single" w:sz="4" w:space="0" w:color="AAB4BD"/>
              <w:left w:val="single" w:sz="4" w:space="0" w:color="AAB4BD"/>
              <w:bottom w:val="single" w:sz="4" w:space="0" w:color="AAB4BD"/>
              <w:right w:val="single" w:sz="4" w:space="0" w:color="AAB4BD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564E896" w14:textId="77777777" w:rsidR="00114F3C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—</w:t>
            </w:r>
          </w:p>
        </w:tc>
        <w:tc>
          <w:tcPr>
            <w:tcW w:w="3000" w:type="dxa"/>
            <w:tcBorders>
              <w:top w:val="single" w:sz="4" w:space="0" w:color="AAB4BD"/>
              <w:left w:val="single" w:sz="4" w:space="0" w:color="AAB4BD"/>
              <w:bottom w:val="single" w:sz="4" w:space="0" w:color="AAB4BD"/>
              <w:right w:val="single" w:sz="4" w:space="0" w:color="AAB4BD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B3B64D0" w14:textId="77777777" w:rsidR="00114F3C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≈ +1.6</w:t>
            </w:r>
          </w:p>
        </w:tc>
      </w:tr>
      <w:tr w:rsidR="00114F3C" w14:paraId="4CD8735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4BD"/>
              <w:left w:val="single" w:sz="4" w:space="0" w:color="AAB4BD"/>
              <w:bottom w:val="single" w:sz="4" w:space="0" w:color="AAB4BD"/>
              <w:right w:val="single" w:sz="4" w:space="0" w:color="AAB4BD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4A78BA1" w14:textId="77777777" w:rsidR="00114F3C" w:rsidRDefault="00000000">
            <w:r>
              <w:rPr>
                <w:color w:val="000000"/>
                <w:sz w:val="17"/>
                <w:szCs w:val="17"/>
              </w:rPr>
              <w:t>Kartal (İstanbul)</w:t>
            </w:r>
          </w:p>
        </w:tc>
        <w:tc>
          <w:tcPr>
            <w:tcW w:w="2000" w:type="dxa"/>
            <w:tcBorders>
              <w:top w:val="single" w:sz="4" w:space="0" w:color="AAB4BD"/>
              <w:left w:val="single" w:sz="4" w:space="0" w:color="AAB4BD"/>
              <w:bottom w:val="single" w:sz="4" w:space="0" w:color="AAB4BD"/>
              <w:right w:val="single" w:sz="4" w:space="0" w:color="AAB4BD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AA48B02" w14:textId="77777777" w:rsidR="00114F3C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—</w:t>
            </w:r>
          </w:p>
        </w:tc>
        <w:tc>
          <w:tcPr>
            <w:tcW w:w="2000" w:type="dxa"/>
            <w:tcBorders>
              <w:top w:val="single" w:sz="4" w:space="0" w:color="AAB4BD"/>
              <w:left w:val="single" w:sz="4" w:space="0" w:color="AAB4BD"/>
              <w:bottom w:val="single" w:sz="4" w:space="0" w:color="AAB4BD"/>
              <w:right w:val="single" w:sz="4" w:space="0" w:color="AAB4BD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575CA21" w14:textId="77777777" w:rsidR="00114F3C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—</w:t>
            </w:r>
          </w:p>
        </w:tc>
        <w:tc>
          <w:tcPr>
            <w:tcW w:w="3000" w:type="dxa"/>
            <w:tcBorders>
              <w:top w:val="single" w:sz="4" w:space="0" w:color="AAB4BD"/>
              <w:left w:val="single" w:sz="4" w:space="0" w:color="AAB4BD"/>
              <w:bottom w:val="single" w:sz="4" w:space="0" w:color="AAB4BD"/>
              <w:right w:val="single" w:sz="4" w:space="0" w:color="AAB4BD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2D83E3C" w14:textId="77777777" w:rsidR="00114F3C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≈ +1.2</w:t>
            </w:r>
          </w:p>
        </w:tc>
      </w:tr>
      <w:tr w:rsidR="00114F3C" w14:paraId="721023D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4BD"/>
              <w:left w:val="single" w:sz="4" w:space="0" w:color="AAB4BD"/>
              <w:bottom w:val="single" w:sz="4" w:space="0" w:color="AAB4BD"/>
              <w:right w:val="single" w:sz="4" w:space="0" w:color="AAB4BD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6CEA262" w14:textId="77777777" w:rsidR="00114F3C" w:rsidRDefault="00000000">
            <w:r>
              <w:rPr>
                <w:color w:val="000000"/>
                <w:sz w:val="17"/>
                <w:szCs w:val="17"/>
              </w:rPr>
              <w:t>Zonguldak</w:t>
            </w:r>
          </w:p>
        </w:tc>
        <w:tc>
          <w:tcPr>
            <w:tcW w:w="2000" w:type="dxa"/>
            <w:tcBorders>
              <w:top w:val="single" w:sz="4" w:space="0" w:color="AAB4BD"/>
              <w:left w:val="single" w:sz="4" w:space="0" w:color="AAB4BD"/>
              <w:bottom w:val="single" w:sz="4" w:space="0" w:color="AAB4BD"/>
              <w:right w:val="single" w:sz="4" w:space="0" w:color="AAB4BD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0385D25" w14:textId="77777777" w:rsidR="00114F3C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—</w:t>
            </w:r>
          </w:p>
        </w:tc>
        <w:tc>
          <w:tcPr>
            <w:tcW w:w="2000" w:type="dxa"/>
            <w:tcBorders>
              <w:top w:val="single" w:sz="4" w:space="0" w:color="AAB4BD"/>
              <w:left w:val="single" w:sz="4" w:space="0" w:color="AAB4BD"/>
              <w:bottom w:val="single" w:sz="4" w:space="0" w:color="AAB4BD"/>
              <w:right w:val="single" w:sz="4" w:space="0" w:color="AAB4BD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D5A4295" w14:textId="77777777" w:rsidR="00114F3C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—</w:t>
            </w:r>
          </w:p>
        </w:tc>
        <w:tc>
          <w:tcPr>
            <w:tcW w:w="3000" w:type="dxa"/>
            <w:tcBorders>
              <w:top w:val="single" w:sz="4" w:space="0" w:color="AAB4BD"/>
              <w:left w:val="single" w:sz="4" w:space="0" w:color="AAB4BD"/>
              <w:bottom w:val="single" w:sz="4" w:space="0" w:color="AAB4BD"/>
              <w:right w:val="single" w:sz="4" w:space="0" w:color="AAB4BD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AB94EC8" w14:textId="77777777" w:rsidR="00114F3C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expansion</w:t>
            </w:r>
          </w:p>
        </w:tc>
      </w:tr>
      <w:tr w:rsidR="00114F3C" w14:paraId="7EE2EC4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4BD"/>
              <w:left w:val="single" w:sz="4" w:space="0" w:color="AAB4BD"/>
              <w:bottom w:val="single" w:sz="4" w:space="0" w:color="AAB4BD"/>
              <w:right w:val="single" w:sz="4" w:space="0" w:color="AAB4BD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03C29D3" w14:textId="77777777" w:rsidR="00114F3C" w:rsidRDefault="00000000">
            <w:r>
              <w:rPr>
                <w:color w:val="000000"/>
                <w:sz w:val="17"/>
                <w:szCs w:val="17"/>
              </w:rPr>
              <w:t>Hopa (Artvin)</w:t>
            </w:r>
          </w:p>
        </w:tc>
        <w:tc>
          <w:tcPr>
            <w:tcW w:w="2000" w:type="dxa"/>
            <w:tcBorders>
              <w:top w:val="single" w:sz="4" w:space="0" w:color="AAB4BD"/>
              <w:left w:val="single" w:sz="4" w:space="0" w:color="AAB4BD"/>
              <w:bottom w:val="single" w:sz="4" w:space="0" w:color="AAB4BD"/>
              <w:right w:val="single" w:sz="4" w:space="0" w:color="AAB4BD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F1D765E" w14:textId="77777777" w:rsidR="00114F3C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—</w:t>
            </w:r>
          </w:p>
        </w:tc>
        <w:tc>
          <w:tcPr>
            <w:tcW w:w="2000" w:type="dxa"/>
            <w:tcBorders>
              <w:top w:val="single" w:sz="4" w:space="0" w:color="AAB4BD"/>
              <w:left w:val="single" w:sz="4" w:space="0" w:color="AAB4BD"/>
              <w:bottom w:val="single" w:sz="4" w:space="0" w:color="AAB4BD"/>
              <w:right w:val="single" w:sz="4" w:space="0" w:color="AAB4BD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852D196" w14:textId="77777777" w:rsidR="00114F3C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—</w:t>
            </w:r>
          </w:p>
        </w:tc>
        <w:tc>
          <w:tcPr>
            <w:tcW w:w="3000" w:type="dxa"/>
            <w:tcBorders>
              <w:top w:val="single" w:sz="4" w:space="0" w:color="AAB4BD"/>
              <w:left w:val="single" w:sz="4" w:space="0" w:color="AAB4BD"/>
              <w:bottom w:val="single" w:sz="4" w:space="0" w:color="AAB4BD"/>
              <w:right w:val="single" w:sz="4" w:space="0" w:color="AAB4BD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C3F2E5F" w14:textId="77777777" w:rsidR="00114F3C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expansion</w:t>
            </w:r>
          </w:p>
        </w:tc>
      </w:tr>
      <w:tr w:rsidR="00114F3C" w14:paraId="1CBC927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B4BD"/>
              <w:left w:val="single" w:sz="4" w:space="0" w:color="AAB4BD"/>
              <w:bottom w:val="single" w:sz="4" w:space="0" w:color="AAB4BD"/>
              <w:right w:val="single" w:sz="4" w:space="0" w:color="AAB4BD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28EF346" w14:textId="77777777" w:rsidR="00114F3C" w:rsidRDefault="00000000">
            <w:r>
              <w:rPr>
                <w:color w:val="000000"/>
                <w:sz w:val="17"/>
                <w:szCs w:val="17"/>
              </w:rPr>
              <w:t>Eğirdir (Isparta)</w:t>
            </w:r>
          </w:p>
        </w:tc>
        <w:tc>
          <w:tcPr>
            <w:tcW w:w="2000" w:type="dxa"/>
            <w:tcBorders>
              <w:top w:val="single" w:sz="4" w:space="0" w:color="AAB4BD"/>
              <w:left w:val="single" w:sz="4" w:space="0" w:color="AAB4BD"/>
              <w:bottom w:val="single" w:sz="4" w:space="0" w:color="AAB4BD"/>
              <w:right w:val="single" w:sz="4" w:space="0" w:color="AAB4BD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117A6F6" w14:textId="77777777" w:rsidR="00114F3C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—</w:t>
            </w:r>
          </w:p>
        </w:tc>
        <w:tc>
          <w:tcPr>
            <w:tcW w:w="2000" w:type="dxa"/>
            <w:tcBorders>
              <w:top w:val="single" w:sz="4" w:space="0" w:color="AAB4BD"/>
              <w:left w:val="single" w:sz="4" w:space="0" w:color="AAB4BD"/>
              <w:bottom w:val="single" w:sz="4" w:space="0" w:color="AAB4BD"/>
              <w:right w:val="single" w:sz="4" w:space="0" w:color="AAB4BD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36CFFBD" w14:textId="77777777" w:rsidR="00114F3C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—</w:t>
            </w:r>
          </w:p>
        </w:tc>
        <w:tc>
          <w:tcPr>
            <w:tcW w:w="3000" w:type="dxa"/>
            <w:tcBorders>
              <w:top w:val="single" w:sz="4" w:space="0" w:color="AAB4BD"/>
              <w:left w:val="single" w:sz="4" w:space="0" w:color="AAB4BD"/>
              <w:bottom w:val="single" w:sz="4" w:space="0" w:color="AAB4BD"/>
              <w:right w:val="single" w:sz="4" w:space="0" w:color="AAB4BD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79BBD5E" w14:textId="77777777" w:rsidR="00114F3C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expansion</w:t>
            </w:r>
          </w:p>
        </w:tc>
      </w:tr>
    </w:tbl>
    <w:p w14:paraId="094BDED6" w14:textId="77777777" w:rsidR="00114F3C" w:rsidRDefault="00000000">
      <w:pPr>
        <w:spacing w:after="120" w:line="276" w:lineRule="auto"/>
        <w:jc w:val="both"/>
      </w:pPr>
      <w:r>
        <w:rPr>
          <w:color w:val="666666"/>
          <w:sz w:val="19"/>
          <w:szCs w:val="19"/>
        </w:rPr>
        <w:t>Dashes denote per-period counts to be inserted from the pipeline output; season-expansion magnitudes are those reported in the main text.</w:t>
      </w:r>
    </w:p>
    <w:p w14:paraId="3EB07808" w14:textId="77777777" w:rsidR="00114F3C" w:rsidRDefault="00000000">
      <w:pPr>
        <w:pStyle w:val="Balk1"/>
        <w:spacing w:before="260" w:after="120"/>
      </w:pPr>
      <w:r>
        <w:rPr>
          <w:b/>
          <w:bCs/>
          <w:color w:val="1F3A5F"/>
          <w:sz w:val="27"/>
          <w:szCs w:val="27"/>
        </w:rPr>
        <w:t>S4 Table. One-at-a-time (OAT) sensitivity to the mosquito-to-human ratio</w:t>
      </w:r>
    </w:p>
    <w:p w14:paraId="12F99EE7" w14:textId="77777777" w:rsidR="00114F3C" w:rsidRDefault="00000000">
      <w:pPr>
        <w:spacing w:after="120" w:line="276" w:lineRule="auto"/>
        <w:jc w:val="both"/>
      </w:pPr>
      <w:r>
        <w:rPr>
          <w:color w:val="666666"/>
          <w:sz w:val="20"/>
          <w:szCs w:val="20"/>
        </w:rPr>
        <w:t>Cumulative establishment risk at alternative values of m, illustrating the subcritical-to-supercritical transition (Kartal, SSP2-4.5 reference). Values for the remaining districts and scenarios are in S1 Data.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200"/>
        <w:gridCol w:w="3600"/>
      </w:tblGrid>
      <w:tr w:rsidR="00114F3C" w14:paraId="69CB08D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AAB4BD"/>
              <w:left w:val="single" w:sz="4" w:space="0" w:color="AAB4BD"/>
              <w:bottom w:val="single" w:sz="4" w:space="0" w:color="AAB4BD"/>
              <w:right w:val="single" w:sz="4" w:space="0" w:color="AAB4BD"/>
            </w:tcBorders>
            <w:shd w:val="clear" w:color="auto" w:fill="1F3A5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D51CF26" w14:textId="77777777" w:rsidR="00114F3C" w:rsidRDefault="00000000">
            <w:r>
              <w:rPr>
                <w:b/>
                <w:bCs/>
                <w:color w:val="FFFFFF"/>
                <w:sz w:val="17"/>
                <w:szCs w:val="17"/>
              </w:rPr>
              <w:t>m</w:t>
            </w:r>
          </w:p>
        </w:tc>
        <w:tc>
          <w:tcPr>
            <w:tcW w:w="3200" w:type="dxa"/>
            <w:tcBorders>
              <w:top w:val="single" w:sz="4" w:space="0" w:color="AAB4BD"/>
              <w:left w:val="single" w:sz="4" w:space="0" w:color="AAB4BD"/>
              <w:bottom w:val="single" w:sz="4" w:space="0" w:color="AAB4BD"/>
              <w:right w:val="single" w:sz="4" w:space="0" w:color="AAB4BD"/>
            </w:tcBorders>
            <w:shd w:val="clear" w:color="auto" w:fill="1F3A5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684A65F" w14:textId="77777777" w:rsidR="00114F3C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Regime</w:t>
            </w:r>
          </w:p>
        </w:tc>
        <w:tc>
          <w:tcPr>
            <w:tcW w:w="3600" w:type="dxa"/>
            <w:tcBorders>
              <w:top w:val="single" w:sz="4" w:space="0" w:color="AAB4BD"/>
              <w:left w:val="single" w:sz="4" w:space="0" w:color="AAB4BD"/>
              <w:bottom w:val="single" w:sz="4" w:space="0" w:color="AAB4BD"/>
              <w:right w:val="single" w:sz="4" w:space="0" w:color="AAB4BD"/>
            </w:tcBorders>
            <w:shd w:val="clear" w:color="auto" w:fill="1F3A5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9EF3B83" w14:textId="77777777" w:rsidR="00114F3C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Kartal cumulative risk (SSP2-4.5)</w:t>
            </w:r>
          </w:p>
        </w:tc>
      </w:tr>
      <w:tr w:rsidR="00114F3C" w14:paraId="7E71D48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AB4BD"/>
              <w:left w:val="single" w:sz="4" w:space="0" w:color="AAB4BD"/>
              <w:bottom w:val="single" w:sz="4" w:space="0" w:color="AAB4BD"/>
              <w:right w:val="single" w:sz="4" w:space="0" w:color="AAB4BD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D1F5B34" w14:textId="77777777" w:rsidR="00114F3C" w:rsidRDefault="00000000">
            <w:r>
              <w:rPr>
                <w:color w:val="000000"/>
                <w:sz w:val="17"/>
                <w:szCs w:val="17"/>
              </w:rPr>
              <w:t>0.50</w:t>
            </w:r>
          </w:p>
        </w:tc>
        <w:tc>
          <w:tcPr>
            <w:tcW w:w="3200" w:type="dxa"/>
            <w:tcBorders>
              <w:top w:val="single" w:sz="4" w:space="0" w:color="AAB4BD"/>
              <w:left w:val="single" w:sz="4" w:space="0" w:color="AAB4BD"/>
              <w:bottom w:val="single" w:sz="4" w:space="0" w:color="AAB4BD"/>
              <w:right w:val="single" w:sz="4" w:space="0" w:color="AAB4BD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6FAA2B9" w14:textId="77777777" w:rsidR="00114F3C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Deeply subcritical</w:t>
            </w:r>
          </w:p>
        </w:tc>
        <w:tc>
          <w:tcPr>
            <w:tcW w:w="3600" w:type="dxa"/>
            <w:tcBorders>
              <w:top w:val="single" w:sz="4" w:space="0" w:color="AAB4BD"/>
              <w:left w:val="single" w:sz="4" w:space="0" w:color="AAB4BD"/>
              <w:bottom w:val="single" w:sz="4" w:space="0" w:color="AAB4BD"/>
              <w:right w:val="single" w:sz="4" w:space="0" w:color="AAB4BD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8415BF6" w14:textId="77777777" w:rsidR="00114F3C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≈ 4.43×10⁻⁷</w:t>
            </w:r>
          </w:p>
        </w:tc>
      </w:tr>
      <w:tr w:rsidR="00114F3C" w14:paraId="61F90C9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AB4BD"/>
              <w:left w:val="single" w:sz="4" w:space="0" w:color="AAB4BD"/>
              <w:bottom w:val="single" w:sz="4" w:space="0" w:color="AAB4BD"/>
              <w:right w:val="single" w:sz="4" w:space="0" w:color="AAB4BD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FF2B85F" w14:textId="77777777" w:rsidR="00114F3C" w:rsidRDefault="00000000">
            <w:r>
              <w:rPr>
                <w:color w:val="000000"/>
                <w:sz w:val="17"/>
                <w:szCs w:val="17"/>
              </w:rPr>
              <w:lastRenderedPageBreak/>
              <w:t>0.80</w:t>
            </w:r>
          </w:p>
        </w:tc>
        <w:tc>
          <w:tcPr>
            <w:tcW w:w="3200" w:type="dxa"/>
            <w:tcBorders>
              <w:top w:val="single" w:sz="4" w:space="0" w:color="AAB4BD"/>
              <w:left w:val="single" w:sz="4" w:space="0" w:color="AAB4BD"/>
              <w:bottom w:val="single" w:sz="4" w:space="0" w:color="AAB4BD"/>
              <w:right w:val="single" w:sz="4" w:space="0" w:color="AAB4BD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D980E6B" w14:textId="77777777" w:rsidR="00114F3C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Subcritical</w:t>
            </w:r>
          </w:p>
        </w:tc>
        <w:tc>
          <w:tcPr>
            <w:tcW w:w="3600" w:type="dxa"/>
            <w:tcBorders>
              <w:top w:val="single" w:sz="4" w:space="0" w:color="AAB4BD"/>
              <w:left w:val="single" w:sz="4" w:space="0" w:color="AAB4BD"/>
              <w:bottom w:val="single" w:sz="4" w:space="0" w:color="AAB4BD"/>
              <w:right w:val="single" w:sz="4" w:space="0" w:color="AAB4BD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D6E0D17" w14:textId="77777777" w:rsidR="00114F3C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≈ 3.50%</w:t>
            </w:r>
          </w:p>
        </w:tc>
      </w:tr>
      <w:tr w:rsidR="00114F3C" w14:paraId="4D2BF40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AB4BD"/>
              <w:left w:val="single" w:sz="4" w:space="0" w:color="AAB4BD"/>
              <w:bottom w:val="single" w:sz="4" w:space="0" w:color="AAB4BD"/>
              <w:right w:val="single" w:sz="4" w:space="0" w:color="AAB4BD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A65B409" w14:textId="77777777" w:rsidR="00114F3C" w:rsidRDefault="00000000">
            <w:r>
              <w:rPr>
                <w:color w:val="000000"/>
                <w:sz w:val="17"/>
                <w:szCs w:val="17"/>
              </w:rPr>
              <w:t>1.00</w:t>
            </w:r>
          </w:p>
        </w:tc>
        <w:tc>
          <w:tcPr>
            <w:tcW w:w="3200" w:type="dxa"/>
            <w:tcBorders>
              <w:top w:val="single" w:sz="4" w:space="0" w:color="AAB4BD"/>
              <w:left w:val="single" w:sz="4" w:space="0" w:color="AAB4BD"/>
              <w:bottom w:val="single" w:sz="4" w:space="0" w:color="AAB4BD"/>
              <w:right w:val="single" w:sz="4" w:space="0" w:color="AAB4BD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AB87E4F" w14:textId="77777777" w:rsidR="00114F3C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Baseline (upper bound)</w:t>
            </w:r>
          </w:p>
        </w:tc>
        <w:tc>
          <w:tcPr>
            <w:tcW w:w="3600" w:type="dxa"/>
            <w:tcBorders>
              <w:top w:val="single" w:sz="4" w:space="0" w:color="AAB4BD"/>
              <w:left w:val="single" w:sz="4" w:space="0" w:color="AAB4BD"/>
              <w:bottom w:val="single" w:sz="4" w:space="0" w:color="AAB4BD"/>
              <w:right w:val="single" w:sz="4" w:space="0" w:color="AAB4BD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2D269A7" w14:textId="77777777" w:rsidR="00114F3C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≈ 36.8%</w:t>
            </w:r>
          </w:p>
        </w:tc>
      </w:tr>
      <w:tr w:rsidR="00114F3C" w14:paraId="705816D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AB4BD"/>
              <w:left w:val="single" w:sz="4" w:space="0" w:color="AAB4BD"/>
              <w:bottom w:val="single" w:sz="4" w:space="0" w:color="AAB4BD"/>
              <w:right w:val="single" w:sz="4" w:space="0" w:color="AAB4BD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A3E5C08" w14:textId="77777777" w:rsidR="00114F3C" w:rsidRDefault="00000000">
            <w:r>
              <w:rPr>
                <w:color w:val="000000"/>
                <w:sz w:val="17"/>
                <w:szCs w:val="17"/>
              </w:rPr>
              <w:t>1.20</w:t>
            </w:r>
          </w:p>
        </w:tc>
        <w:tc>
          <w:tcPr>
            <w:tcW w:w="3200" w:type="dxa"/>
            <w:tcBorders>
              <w:top w:val="single" w:sz="4" w:space="0" w:color="AAB4BD"/>
              <w:left w:val="single" w:sz="4" w:space="0" w:color="AAB4BD"/>
              <w:bottom w:val="single" w:sz="4" w:space="0" w:color="AAB4BD"/>
              <w:right w:val="single" w:sz="4" w:space="0" w:color="AAB4BD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55D796C" w14:textId="77777777" w:rsidR="00114F3C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Supercritical</w:t>
            </w:r>
          </w:p>
        </w:tc>
        <w:tc>
          <w:tcPr>
            <w:tcW w:w="3600" w:type="dxa"/>
            <w:tcBorders>
              <w:top w:val="single" w:sz="4" w:space="0" w:color="AAB4BD"/>
              <w:left w:val="single" w:sz="4" w:space="0" w:color="AAB4BD"/>
              <w:bottom w:val="single" w:sz="4" w:space="0" w:color="AAB4BD"/>
              <w:right w:val="single" w:sz="4" w:space="0" w:color="AAB4BD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E07E7E5" w14:textId="77777777" w:rsidR="00114F3C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≈ 73.9%</w:t>
            </w:r>
          </w:p>
        </w:tc>
      </w:tr>
      <w:tr w:rsidR="00114F3C" w14:paraId="054E0E0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AB4BD"/>
              <w:left w:val="single" w:sz="4" w:space="0" w:color="AAB4BD"/>
              <w:bottom w:val="single" w:sz="4" w:space="0" w:color="AAB4BD"/>
              <w:right w:val="single" w:sz="4" w:space="0" w:color="AAB4BD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E71A127" w14:textId="77777777" w:rsidR="00114F3C" w:rsidRDefault="00000000">
            <w:r>
              <w:rPr>
                <w:color w:val="000000"/>
                <w:sz w:val="17"/>
                <w:szCs w:val="17"/>
              </w:rPr>
              <w:t>2.00</w:t>
            </w:r>
          </w:p>
        </w:tc>
        <w:tc>
          <w:tcPr>
            <w:tcW w:w="3200" w:type="dxa"/>
            <w:tcBorders>
              <w:top w:val="single" w:sz="4" w:space="0" w:color="AAB4BD"/>
              <w:left w:val="single" w:sz="4" w:space="0" w:color="AAB4BD"/>
              <w:bottom w:val="single" w:sz="4" w:space="0" w:color="AAB4BD"/>
              <w:right w:val="single" w:sz="4" w:space="0" w:color="AAB4BD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8404E06" w14:textId="77777777" w:rsidR="00114F3C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Strongly supercritical</w:t>
            </w:r>
          </w:p>
        </w:tc>
        <w:tc>
          <w:tcPr>
            <w:tcW w:w="3600" w:type="dxa"/>
            <w:tcBorders>
              <w:top w:val="single" w:sz="4" w:space="0" w:color="AAB4BD"/>
              <w:left w:val="single" w:sz="4" w:space="0" w:color="AAB4BD"/>
              <w:bottom w:val="single" w:sz="4" w:space="0" w:color="AAB4BD"/>
              <w:right w:val="single" w:sz="4" w:space="0" w:color="AAB4BD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5FE3BF0" w14:textId="77777777" w:rsidR="00114F3C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≈ 99.8%</w:t>
            </w:r>
          </w:p>
        </w:tc>
      </w:tr>
    </w:tbl>
    <w:p w14:paraId="1E7DD47A" w14:textId="77777777" w:rsidR="00114F3C" w:rsidRDefault="00000000">
      <w:r>
        <w:br w:type="page"/>
      </w:r>
    </w:p>
    <w:p w14:paraId="5C4D184C" w14:textId="77777777" w:rsidR="00114F3C" w:rsidRDefault="00000000">
      <w:pPr>
        <w:pStyle w:val="Balk1"/>
        <w:spacing w:before="260" w:after="120"/>
      </w:pPr>
      <w:r>
        <w:rPr>
          <w:b/>
          <w:bCs/>
          <w:color w:val="1F3A5F"/>
          <w:sz w:val="27"/>
          <w:szCs w:val="27"/>
        </w:rPr>
        <w:lastRenderedPageBreak/>
        <w:t>S5 Table. Regression models and thermal-optimum comparison</w:t>
      </w:r>
    </w:p>
    <w:p w14:paraId="14A9FC7F" w14:textId="77777777" w:rsidR="00114F3C" w:rsidRDefault="00000000">
      <w:pPr>
        <w:spacing w:after="120" w:line="276" w:lineRule="auto"/>
        <w:jc w:val="both"/>
      </w:pPr>
      <w:r>
        <w:rPr>
          <w:color w:val="666666"/>
          <w:sz w:val="20"/>
          <w:szCs w:val="20"/>
        </w:rPr>
        <w:t>(A) Thermal-optimum estimates by method (SSP2-4.5). The mechanistic estimate is the primary, bias-free value; regression estimates are descriptive. (B) Cross-SSP stability of the population-average optimum (LMM1).</w:t>
      </w:r>
    </w:p>
    <w:p w14:paraId="5848424B" w14:textId="77777777" w:rsidR="00114F3C" w:rsidRDefault="00000000">
      <w:pPr>
        <w:spacing w:before="60" w:after="40"/>
      </w:pPr>
      <w:r>
        <w:rPr>
          <w:b/>
          <w:bCs/>
          <w:sz w:val="20"/>
          <w:szCs w:val="20"/>
        </w:rPr>
        <w:t>(A) Thermal-optimum by method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300"/>
        <w:gridCol w:w="1500"/>
        <w:gridCol w:w="3400"/>
      </w:tblGrid>
      <w:tr w:rsidR="00114F3C" w14:paraId="2239DEF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AAB4BD"/>
              <w:left w:val="single" w:sz="4" w:space="0" w:color="AAB4BD"/>
              <w:bottom w:val="single" w:sz="4" w:space="0" w:color="AAB4BD"/>
              <w:right w:val="single" w:sz="4" w:space="0" w:color="AAB4BD"/>
            </w:tcBorders>
            <w:shd w:val="clear" w:color="auto" w:fill="1F3A5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7240CE3" w14:textId="77777777" w:rsidR="00114F3C" w:rsidRDefault="00000000">
            <w:r>
              <w:rPr>
                <w:b/>
                <w:bCs/>
                <w:color w:val="FFFFFF"/>
                <w:sz w:val="17"/>
                <w:szCs w:val="17"/>
              </w:rPr>
              <w:t>Method</w:t>
            </w:r>
          </w:p>
        </w:tc>
        <w:tc>
          <w:tcPr>
            <w:tcW w:w="1300" w:type="dxa"/>
            <w:tcBorders>
              <w:top w:val="single" w:sz="4" w:space="0" w:color="AAB4BD"/>
              <w:left w:val="single" w:sz="4" w:space="0" w:color="AAB4BD"/>
              <w:bottom w:val="single" w:sz="4" w:space="0" w:color="AAB4BD"/>
              <w:right w:val="single" w:sz="4" w:space="0" w:color="AAB4BD"/>
            </w:tcBorders>
            <w:shd w:val="clear" w:color="auto" w:fill="1F3A5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D0F51E7" w14:textId="77777777" w:rsidR="00114F3C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n</w:t>
            </w:r>
          </w:p>
        </w:tc>
        <w:tc>
          <w:tcPr>
            <w:tcW w:w="1500" w:type="dxa"/>
            <w:tcBorders>
              <w:top w:val="single" w:sz="4" w:space="0" w:color="AAB4BD"/>
              <w:left w:val="single" w:sz="4" w:space="0" w:color="AAB4BD"/>
              <w:bottom w:val="single" w:sz="4" w:space="0" w:color="AAB4BD"/>
              <w:right w:val="single" w:sz="4" w:space="0" w:color="AAB4BD"/>
            </w:tcBorders>
            <w:shd w:val="clear" w:color="auto" w:fill="1F3A5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FC60B44" w14:textId="77777777" w:rsidR="00114F3C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T_opt (°C)</w:t>
            </w:r>
          </w:p>
        </w:tc>
        <w:tc>
          <w:tcPr>
            <w:tcW w:w="3400" w:type="dxa"/>
            <w:tcBorders>
              <w:top w:val="single" w:sz="4" w:space="0" w:color="AAB4BD"/>
              <w:left w:val="single" w:sz="4" w:space="0" w:color="AAB4BD"/>
              <w:bottom w:val="single" w:sz="4" w:space="0" w:color="AAB4BD"/>
              <w:right w:val="single" w:sz="4" w:space="0" w:color="AAB4BD"/>
            </w:tcBorders>
            <w:shd w:val="clear" w:color="auto" w:fill="1F3A5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BAB35BF" w14:textId="77777777" w:rsidR="00114F3C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Nature</w:t>
            </w:r>
          </w:p>
        </w:tc>
      </w:tr>
      <w:tr w:rsidR="00114F3C" w14:paraId="595BBC1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B4BD"/>
              <w:left w:val="single" w:sz="4" w:space="0" w:color="AAB4BD"/>
              <w:bottom w:val="single" w:sz="4" w:space="0" w:color="AAB4BD"/>
              <w:right w:val="single" w:sz="4" w:space="0" w:color="AAB4BD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12A9573" w14:textId="77777777" w:rsidR="00114F3C" w:rsidRDefault="00000000">
            <w:r>
              <w:rPr>
                <w:color w:val="000000"/>
                <w:sz w:val="17"/>
                <w:szCs w:val="17"/>
              </w:rPr>
              <w:t>Mechanistic (∂λ/∂T = 0)</w:t>
            </w:r>
          </w:p>
        </w:tc>
        <w:tc>
          <w:tcPr>
            <w:tcW w:w="1300" w:type="dxa"/>
            <w:tcBorders>
              <w:top w:val="single" w:sz="4" w:space="0" w:color="AAB4BD"/>
              <w:left w:val="single" w:sz="4" w:space="0" w:color="AAB4BD"/>
              <w:bottom w:val="single" w:sz="4" w:space="0" w:color="AAB4BD"/>
              <w:right w:val="single" w:sz="4" w:space="0" w:color="AAB4BD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9B424B5" w14:textId="77777777" w:rsidR="00114F3C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—</w:t>
            </w:r>
          </w:p>
        </w:tc>
        <w:tc>
          <w:tcPr>
            <w:tcW w:w="1500" w:type="dxa"/>
            <w:tcBorders>
              <w:top w:val="single" w:sz="4" w:space="0" w:color="AAB4BD"/>
              <w:left w:val="single" w:sz="4" w:space="0" w:color="AAB4BD"/>
              <w:bottom w:val="single" w:sz="4" w:space="0" w:color="AAB4BD"/>
              <w:right w:val="single" w:sz="4" w:space="0" w:color="AAB4BD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EF11BFC" w14:textId="77777777" w:rsidR="00114F3C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28.18</w:t>
            </w:r>
          </w:p>
        </w:tc>
        <w:tc>
          <w:tcPr>
            <w:tcW w:w="3400" w:type="dxa"/>
            <w:tcBorders>
              <w:top w:val="single" w:sz="4" w:space="0" w:color="AAB4BD"/>
              <w:left w:val="single" w:sz="4" w:space="0" w:color="AAB4BD"/>
              <w:bottom w:val="single" w:sz="4" w:space="0" w:color="AAB4BD"/>
              <w:right w:val="single" w:sz="4" w:space="0" w:color="AAB4BD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2CB3922" w14:textId="77777777" w:rsidR="00114F3C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Primary — free of sampling bias</w:t>
            </w:r>
          </w:p>
        </w:tc>
      </w:tr>
      <w:tr w:rsidR="00114F3C" w14:paraId="61BEA44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B4BD"/>
              <w:left w:val="single" w:sz="4" w:space="0" w:color="AAB4BD"/>
              <w:bottom w:val="single" w:sz="4" w:space="0" w:color="AAB4BD"/>
              <w:right w:val="single" w:sz="4" w:space="0" w:color="AAB4BD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F4BD064" w14:textId="77777777" w:rsidR="00114F3C" w:rsidRDefault="00000000">
            <w:r>
              <w:rPr>
                <w:color w:val="000000"/>
                <w:sz w:val="17"/>
                <w:szCs w:val="17"/>
              </w:rPr>
              <w:t>Tobit fixed-effect (censored)</w:t>
            </w:r>
          </w:p>
        </w:tc>
        <w:tc>
          <w:tcPr>
            <w:tcW w:w="1300" w:type="dxa"/>
            <w:tcBorders>
              <w:top w:val="single" w:sz="4" w:space="0" w:color="AAB4BD"/>
              <w:left w:val="single" w:sz="4" w:space="0" w:color="AAB4BD"/>
              <w:bottom w:val="single" w:sz="4" w:space="0" w:color="AAB4BD"/>
              <w:right w:val="single" w:sz="4" w:space="0" w:color="AAB4BD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A8666D8" w14:textId="77777777" w:rsidR="00114F3C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3,060 (2,194 cens.)</w:t>
            </w:r>
          </w:p>
        </w:tc>
        <w:tc>
          <w:tcPr>
            <w:tcW w:w="1500" w:type="dxa"/>
            <w:tcBorders>
              <w:top w:val="single" w:sz="4" w:space="0" w:color="AAB4BD"/>
              <w:left w:val="single" w:sz="4" w:space="0" w:color="AAB4BD"/>
              <w:bottom w:val="single" w:sz="4" w:space="0" w:color="AAB4BD"/>
              <w:right w:val="single" w:sz="4" w:space="0" w:color="AAB4BD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1243021" w14:textId="77777777" w:rsidR="00114F3C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26.33</w:t>
            </w:r>
          </w:p>
        </w:tc>
        <w:tc>
          <w:tcPr>
            <w:tcW w:w="3400" w:type="dxa"/>
            <w:tcBorders>
              <w:top w:val="single" w:sz="4" w:space="0" w:color="AAB4BD"/>
              <w:left w:val="single" w:sz="4" w:space="0" w:color="AAB4BD"/>
              <w:bottom w:val="single" w:sz="4" w:space="0" w:color="AAB4BD"/>
              <w:right w:val="single" w:sz="4" w:space="0" w:color="AAB4BD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4573CA7" w14:textId="77777777" w:rsidR="00114F3C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Descriptive — truncation-corrected</w:t>
            </w:r>
          </w:p>
        </w:tc>
      </w:tr>
      <w:tr w:rsidR="00114F3C" w14:paraId="07FC61A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B4BD"/>
              <w:left w:val="single" w:sz="4" w:space="0" w:color="AAB4BD"/>
              <w:bottom w:val="single" w:sz="4" w:space="0" w:color="AAB4BD"/>
              <w:right w:val="single" w:sz="4" w:space="0" w:color="AAB4BD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9B0971F" w14:textId="77777777" w:rsidR="00114F3C" w:rsidRDefault="00000000">
            <w:r>
              <w:rPr>
                <w:color w:val="000000"/>
                <w:sz w:val="17"/>
                <w:szCs w:val="17"/>
              </w:rPr>
              <w:t>LMM1 (random intercept)</w:t>
            </w:r>
          </w:p>
        </w:tc>
        <w:tc>
          <w:tcPr>
            <w:tcW w:w="1300" w:type="dxa"/>
            <w:tcBorders>
              <w:top w:val="single" w:sz="4" w:space="0" w:color="AAB4BD"/>
              <w:left w:val="single" w:sz="4" w:space="0" w:color="AAB4BD"/>
              <w:bottom w:val="single" w:sz="4" w:space="0" w:color="AAB4BD"/>
              <w:right w:val="single" w:sz="4" w:space="0" w:color="AAB4BD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6A278F9" w14:textId="77777777" w:rsidR="00114F3C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866</w:t>
            </w:r>
          </w:p>
        </w:tc>
        <w:tc>
          <w:tcPr>
            <w:tcW w:w="1500" w:type="dxa"/>
            <w:tcBorders>
              <w:top w:val="single" w:sz="4" w:space="0" w:color="AAB4BD"/>
              <w:left w:val="single" w:sz="4" w:space="0" w:color="AAB4BD"/>
              <w:bottom w:val="single" w:sz="4" w:space="0" w:color="AAB4BD"/>
              <w:right w:val="single" w:sz="4" w:space="0" w:color="AAB4BD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207B3D7" w14:textId="77777777" w:rsidR="00114F3C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26.41</w:t>
            </w:r>
          </w:p>
        </w:tc>
        <w:tc>
          <w:tcPr>
            <w:tcW w:w="3400" w:type="dxa"/>
            <w:tcBorders>
              <w:top w:val="single" w:sz="4" w:space="0" w:color="AAB4BD"/>
              <w:left w:val="single" w:sz="4" w:space="0" w:color="AAB4BD"/>
              <w:bottom w:val="single" w:sz="4" w:space="0" w:color="AAB4BD"/>
              <w:right w:val="single" w:sz="4" w:space="0" w:color="AAB4BD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C8AE83E" w14:textId="77777777" w:rsidR="00114F3C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Descriptive — active months</w:t>
            </w:r>
          </w:p>
        </w:tc>
      </w:tr>
      <w:tr w:rsidR="00114F3C" w14:paraId="5144074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B4BD"/>
              <w:left w:val="single" w:sz="4" w:space="0" w:color="AAB4BD"/>
              <w:bottom w:val="single" w:sz="4" w:space="0" w:color="AAB4BD"/>
              <w:right w:val="single" w:sz="4" w:space="0" w:color="AAB4BD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83AEFF3" w14:textId="77777777" w:rsidR="00114F3C" w:rsidRDefault="00000000">
            <w:r>
              <w:rPr>
                <w:color w:val="000000"/>
                <w:sz w:val="17"/>
                <w:szCs w:val="17"/>
              </w:rPr>
              <w:t>OLS (annual district-year means)</w:t>
            </w:r>
          </w:p>
        </w:tc>
        <w:tc>
          <w:tcPr>
            <w:tcW w:w="1300" w:type="dxa"/>
            <w:tcBorders>
              <w:top w:val="single" w:sz="4" w:space="0" w:color="AAB4BD"/>
              <w:left w:val="single" w:sz="4" w:space="0" w:color="AAB4BD"/>
              <w:bottom w:val="single" w:sz="4" w:space="0" w:color="AAB4BD"/>
              <w:right w:val="single" w:sz="4" w:space="0" w:color="AAB4BD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8142488" w14:textId="77777777" w:rsidR="00114F3C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255</w:t>
            </w:r>
          </w:p>
        </w:tc>
        <w:tc>
          <w:tcPr>
            <w:tcW w:w="1500" w:type="dxa"/>
            <w:tcBorders>
              <w:top w:val="single" w:sz="4" w:space="0" w:color="AAB4BD"/>
              <w:left w:val="single" w:sz="4" w:space="0" w:color="AAB4BD"/>
              <w:bottom w:val="single" w:sz="4" w:space="0" w:color="AAB4BD"/>
              <w:right w:val="single" w:sz="4" w:space="0" w:color="AAB4BD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7CA3493" w14:textId="77777777" w:rsidR="00114F3C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25.6</w:t>
            </w:r>
          </w:p>
        </w:tc>
        <w:tc>
          <w:tcPr>
            <w:tcW w:w="3400" w:type="dxa"/>
            <w:tcBorders>
              <w:top w:val="single" w:sz="4" w:space="0" w:color="AAB4BD"/>
              <w:left w:val="single" w:sz="4" w:space="0" w:color="AAB4BD"/>
              <w:bottom w:val="single" w:sz="4" w:space="0" w:color="AAB4BD"/>
              <w:right w:val="single" w:sz="4" w:space="0" w:color="AAB4BD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34FA399" w14:textId="77777777" w:rsidR="00114F3C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Descriptive — most limited</w:t>
            </w:r>
          </w:p>
        </w:tc>
      </w:tr>
      <w:tr w:rsidR="00114F3C" w14:paraId="47517D5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B4BD"/>
              <w:left w:val="single" w:sz="4" w:space="0" w:color="AAB4BD"/>
              <w:bottom w:val="single" w:sz="4" w:space="0" w:color="AAB4BD"/>
              <w:right w:val="single" w:sz="4" w:space="0" w:color="AAB4BD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9D777B9" w14:textId="77777777" w:rsidR="00114F3C" w:rsidRDefault="00000000">
            <w:r>
              <w:rPr>
                <w:color w:val="000000"/>
                <w:sz w:val="17"/>
                <w:szCs w:val="17"/>
              </w:rPr>
              <w:t>Truncation bias (active − Tobit)</w:t>
            </w:r>
          </w:p>
        </w:tc>
        <w:tc>
          <w:tcPr>
            <w:tcW w:w="1300" w:type="dxa"/>
            <w:tcBorders>
              <w:top w:val="single" w:sz="4" w:space="0" w:color="AAB4BD"/>
              <w:left w:val="single" w:sz="4" w:space="0" w:color="AAB4BD"/>
              <w:bottom w:val="single" w:sz="4" w:space="0" w:color="AAB4BD"/>
              <w:right w:val="single" w:sz="4" w:space="0" w:color="AAB4BD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A18BAA4" w14:textId="77777777" w:rsidR="00114F3C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—</w:t>
            </w:r>
          </w:p>
        </w:tc>
        <w:tc>
          <w:tcPr>
            <w:tcW w:w="1500" w:type="dxa"/>
            <w:tcBorders>
              <w:top w:val="single" w:sz="4" w:space="0" w:color="AAB4BD"/>
              <w:left w:val="single" w:sz="4" w:space="0" w:color="AAB4BD"/>
              <w:bottom w:val="single" w:sz="4" w:space="0" w:color="AAB4BD"/>
              <w:right w:val="single" w:sz="4" w:space="0" w:color="AAB4BD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1BCF587" w14:textId="77777777" w:rsidR="00114F3C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+0.08</w:t>
            </w:r>
          </w:p>
        </w:tc>
        <w:tc>
          <w:tcPr>
            <w:tcW w:w="3400" w:type="dxa"/>
            <w:tcBorders>
              <w:top w:val="single" w:sz="4" w:space="0" w:color="AAB4BD"/>
              <w:left w:val="single" w:sz="4" w:space="0" w:color="AAB4BD"/>
              <w:bottom w:val="single" w:sz="4" w:space="0" w:color="AAB4BD"/>
              <w:right w:val="single" w:sz="4" w:space="0" w:color="AAB4BD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9240E9E" w14:textId="77777777" w:rsidR="00114F3C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Negligible</w:t>
            </w:r>
          </w:p>
        </w:tc>
      </w:tr>
    </w:tbl>
    <w:p w14:paraId="1C4175ED" w14:textId="77777777" w:rsidR="00114F3C" w:rsidRDefault="00000000">
      <w:pPr>
        <w:spacing w:before="120" w:after="40"/>
      </w:pPr>
      <w:r>
        <w:rPr>
          <w:b/>
          <w:bCs/>
          <w:sz w:val="20"/>
          <w:szCs w:val="20"/>
        </w:rPr>
        <w:t>(B) LMM1 optimum across scenarios; fit statistics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400"/>
        <w:gridCol w:w="4400"/>
      </w:tblGrid>
      <w:tr w:rsidR="00114F3C" w14:paraId="35ADFC6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AAB4BD"/>
              <w:left w:val="single" w:sz="4" w:space="0" w:color="AAB4BD"/>
              <w:bottom w:val="single" w:sz="4" w:space="0" w:color="AAB4BD"/>
              <w:right w:val="single" w:sz="4" w:space="0" w:color="AAB4BD"/>
            </w:tcBorders>
            <w:shd w:val="clear" w:color="auto" w:fill="1F3A5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655D559" w14:textId="77777777" w:rsidR="00114F3C" w:rsidRDefault="00000000">
            <w:r>
              <w:rPr>
                <w:b/>
                <w:bCs/>
                <w:color w:val="FFFFFF"/>
                <w:sz w:val="17"/>
                <w:szCs w:val="17"/>
              </w:rPr>
              <w:t>Scenario</w:t>
            </w:r>
          </w:p>
        </w:tc>
        <w:tc>
          <w:tcPr>
            <w:tcW w:w="2400" w:type="dxa"/>
            <w:tcBorders>
              <w:top w:val="single" w:sz="4" w:space="0" w:color="AAB4BD"/>
              <w:left w:val="single" w:sz="4" w:space="0" w:color="AAB4BD"/>
              <w:bottom w:val="single" w:sz="4" w:space="0" w:color="AAB4BD"/>
              <w:right w:val="single" w:sz="4" w:space="0" w:color="AAB4BD"/>
            </w:tcBorders>
            <w:shd w:val="clear" w:color="auto" w:fill="1F3A5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5E67F69" w14:textId="77777777" w:rsidR="00114F3C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T_opt (°C)</w:t>
            </w:r>
          </w:p>
        </w:tc>
        <w:tc>
          <w:tcPr>
            <w:tcW w:w="4400" w:type="dxa"/>
            <w:tcBorders>
              <w:top w:val="single" w:sz="4" w:space="0" w:color="AAB4BD"/>
              <w:left w:val="single" w:sz="4" w:space="0" w:color="AAB4BD"/>
              <w:bottom w:val="single" w:sz="4" w:space="0" w:color="AAB4BD"/>
              <w:right w:val="single" w:sz="4" w:space="0" w:color="AAB4BD"/>
            </w:tcBorders>
            <w:shd w:val="clear" w:color="auto" w:fill="1F3A5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6B2D54F" w14:textId="77777777" w:rsidR="00114F3C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Fit (LMM1, SSP2-4.5)</w:t>
            </w:r>
          </w:p>
        </w:tc>
      </w:tr>
      <w:tr w:rsidR="00114F3C" w14:paraId="1594C82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AB4BD"/>
              <w:left w:val="single" w:sz="4" w:space="0" w:color="AAB4BD"/>
              <w:bottom w:val="single" w:sz="4" w:space="0" w:color="AAB4BD"/>
              <w:right w:val="single" w:sz="4" w:space="0" w:color="AAB4BD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EB91146" w14:textId="77777777" w:rsidR="00114F3C" w:rsidRDefault="00000000">
            <w:r>
              <w:rPr>
                <w:color w:val="000000"/>
                <w:sz w:val="17"/>
                <w:szCs w:val="17"/>
              </w:rPr>
              <w:t>SSP1-2.6</w:t>
            </w:r>
          </w:p>
        </w:tc>
        <w:tc>
          <w:tcPr>
            <w:tcW w:w="2400" w:type="dxa"/>
            <w:tcBorders>
              <w:top w:val="single" w:sz="4" w:space="0" w:color="AAB4BD"/>
              <w:left w:val="single" w:sz="4" w:space="0" w:color="AAB4BD"/>
              <w:bottom w:val="single" w:sz="4" w:space="0" w:color="AAB4BD"/>
              <w:right w:val="single" w:sz="4" w:space="0" w:color="AAB4BD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CD88F0F" w14:textId="77777777" w:rsidR="00114F3C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26.26</w:t>
            </w:r>
          </w:p>
        </w:tc>
        <w:tc>
          <w:tcPr>
            <w:tcW w:w="4400" w:type="dxa"/>
            <w:tcBorders>
              <w:top w:val="single" w:sz="4" w:space="0" w:color="AAB4BD"/>
              <w:left w:val="single" w:sz="4" w:space="0" w:color="AAB4BD"/>
              <w:bottom w:val="single" w:sz="4" w:space="0" w:color="AAB4BD"/>
              <w:right w:val="single" w:sz="4" w:space="0" w:color="AAB4BD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AF50A31" w14:textId="77777777" w:rsidR="00114F3C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ICC = 0.843</w:t>
            </w:r>
          </w:p>
        </w:tc>
      </w:tr>
      <w:tr w:rsidR="00114F3C" w14:paraId="505B5C2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AB4BD"/>
              <w:left w:val="single" w:sz="4" w:space="0" w:color="AAB4BD"/>
              <w:bottom w:val="single" w:sz="4" w:space="0" w:color="AAB4BD"/>
              <w:right w:val="single" w:sz="4" w:space="0" w:color="AAB4BD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7D0400A" w14:textId="77777777" w:rsidR="00114F3C" w:rsidRDefault="00000000">
            <w:r>
              <w:rPr>
                <w:color w:val="000000"/>
                <w:sz w:val="17"/>
                <w:szCs w:val="17"/>
              </w:rPr>
              <w:t>SSP2-4.5</w:t>
            </w:r>
          </w:p>
        </w:tc>
        <w:tc>
          <w:tcPr>
            <w:tcW w:w="2400" w:type="dxa"/>
            <w:tcBorders>
              <w:top w:val="single" w:sz="4" w:space="0" w:color="AAB4BD"/>
              <w:left w:val="single" w:sz="4" w:space="0" w:color="AAB4BD"/>
              <w:bottom w:val="single" w:sz="4" w:space="0" w:color="AAB4BD"/>
              <w:right w:val="single" w:sz="4" w:space="0" w:color="AAB4BD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B35835E" w14:textId="77777777" w:rsidR="00114F3C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26.41</w:t>
            </w:r>
          </w:p>
        </w:tc>
        <w:tc>
          <w:tcPr>
            <w:tcW w:w="4400" w:type="dxa"/>
            <w:tcBorders>
              <w:top w:val="single" w:sz="4" w:space="0" w:color="AAB4BD"/>
              <w:left w:val="single" w:sz="4" w:space="0" w:color="AAB4BD"/>
              <w:bottom w:val="single" w:sz="4" w:space="0" w:color="AAB4BD"/>
              <w:right w:val="single" w:sz="4" w:space="0" w:color="AAB4BD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EFD8EC8" w14:textId="77777777" w:rsidR="00114F3C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Marginal R² = 0.718</w:t>
            </w:r>
          </w:p>
        </w:tc>
      </w:tr>
      <w:tr w:rsidR="00114F3C" w14:paraId="73B4E77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AB4BD"/>
              <w:left w:val="single" w:sz="4" w:space="0" w:color="AAB4BD"/>
              <w:bottom w:val="single" w:sz="4" w:space="0" w:color="AAB4BD"/>
              <w:right w:val="single" w:sz="4" w:space="0" w:color="AAB4BD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BEA5725" w14:textId="77777777" w:rsidR="00114F3C" w:rsidRDefault="00000000">
            <w:r>
              <w:rPr>
                <w:color w:val="000000"/>
                <w:sz w:val="17"/>
                <w:szCs w:val="17"/>
              </w:rPr>
              <w:t>SSP5-8.5</w:t>
            </w:r>
          </w:p>
        </w:tc>
        <w:tc>
          <w:tcPr>
            <w:tcW w:w="2400" w:type="dxa"/>
            <w:tcBorders>
              <w:top w:val="single" w:sz="4" w:space="0" w:color="AAB4BD"/>
              <w:left w:val="single" w:sz="4" w:space="0" w:color="AAB4BD"/>
              <w:bottom w:val="single" w:sz="4" w:space="0" w:color="AAB4BD"/>
              <w:right w:val="single" w:sz="4" w:space="0" w:color="AAB4BD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81E1BA1" w14:textId="77777777" w:rsidR="00114F3C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26.58</w:t>
            </w:r>
          </w:p>
        </w:tc>
        <w:tc>
          <w:tcPr>
            <w:tcW w:w="4400" w:type="dxa"/>
            <w:tcBorders>
              <w:top w:val="single" w:sz="4" w:space="0" w:color="AAB4BD"/>
              <w:left w:val="single" w:sz="4" w:space="0" w:color="AAB4BD"/>
              <w:bottom w:val="single" w:sz="4" w:space="0" w:color="AAB4BD"/>
              <w:right w:val="single" w:sz="4" w:space="0" w:color="AAB4BD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616CCA0" w14:textId="77777777" w:rsidR="00114F3C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Conditional R² = 0.956</w:t>
            </w:r>
          </w:p>
        </w:tc>
      </w:tr>
    </w:tbl>
    <w:p w14:paraId="7E21D703" w14:textId="77777777" w:rsidR="00114F3C" w:rsidRDefault="00000000">
      <w:pPr>
        <w:pStyle w:val="Balk1"/>
        <w:spacing w:before="260" w:after="120"/>
      </w:pPr>
      <w:r>
        <w:rPr>
          <w:b/>
          <w:bCs/>
          <w:color w:val="1F3A5F"/>
          <w:sz w:val="27"/>
          <w:szCs w:val="27"/>
        </w:rPr>
        <w:t>S6 Table. LHS–PRCC global sensitivity</w:t>
      </w:r>
    </w:p>
    <w:p w14:paraId="7342933C" w14:textId="77777777" w:rsidR="00114F3C" w:rsidRDefault="00000000">
      <w:pPr>
        <w:spacing w:after="120" w:line="276" w:lineRule="auto"/>
        <w:jc w:val="both"/>
      </w:pPr>
      <w:r>
        <w:rPr>
          <w:color w:val="666666"/>
          <w:sz w:val="20"/>
          <w:szCs w:val="20"/>
        </w:rPr>
        <w:t>Partial rank correlation coefficients (PRCC) between model parameters and cumulative establishment risk, from Latin Hypercube sampling (n = 2,000 per scenario, active-month domain). Ranges span the three SSP scenarios. PRCC assumes monotonicity and is valid for temperature within the pre-peak regime.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600"/>
        <w:gridCol w:w="4200"/>
      </w:tblGrid>
      <w:tr w:rsidR="00114F3C" w14:paraId="1ED4E76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AAB4BD"/>
              <w:left w:val="single" w:sz="4" w:space="0" w:color="AAB4BD"/>
              <w:bottom w:val="single" w:sz="4" w:space="0" w:color="AAB4BD"/>
              <w:right w:val="single" w:sz="4" w:space="0" w:color="AAB4BD"/>
            </w:tcBorders>
            <w:shd w:val="clear" w:color="auto" w:fill="1F3A5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C175C75" w14:textId="77777777" w:rsidR="00114F3C" w:rsidRDefault="00000000">
            <w:r>
              <w:rPr>
                <w:b/>
                <w:bCs/>
                <w:color w:val="FFFFFF"/>
                <w:sz w:val="17"/>
                <w:szCs w:val="17"/>
              </w:rPr>
              <w:t>Parameter</w:t>
            </w:r>
          </w:p>
        </w:tc>
        <w:tc>
          <w:tcPr>
            <w:tcW w:w="2600" w:type="dxa"/>
            <w:tcBorders>
              <w:top w:val="single" w:sz="4" w:space="0" w:color="AAB4BD"/>
              <w:left w:val="single" w:sz="4" w:space="0" w:color="AAB4BD"/>
              <w:bottom w:val="single" w:sz="4" w:space="0" w:color="AAB4BD"/>
              <w:right w:val="single" w:sz="4" w:space="0" w:color="AAB4BD"/>
            </w:tcBorders>
            <w:shd w:val="clear" w:color="auto" w:fill="1F3A5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742D17E" w14:textId="77777777" w:rsidR="00114F3C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PRCC (range across SSPs)</w:t>
            </w:r>
          </w:p>
        </w:tc>
        <w:tc>
          <w:tcPr>
            <w:tcW w:w="4200" w:type="dxa"/>
            <w:tcBorders>
              <w:top w:val="single" w:sz="4" w:space="0" w:color="AAB4BD"/>
              <w:left w:val="single" w:sz="4" w:space="0" w:color="AAB4BD"/>
              <w:bottom w:val="single" w:sz="4" w:space="0" w:color="AAB4BD"/>
              <w:right w:val="single" w:sz="4" w:space="0" w:color="AAB4BD"/>
            </w:tcBorders>
            <w:shd w:val="clear" w:color="auto" w:fill="1F3A5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96B9236" w14:textId="77777777" w:rsidR="00114F3C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Direction / note</w:t>
            </w:r>
          </w:p>
        </w:tc>
      </w:tr>
      <w:tr w:rsidR="00114F3C" w14:paraId="2E20355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AB4BD"/>
              <w:left w:val="single" w:sz="4" w:space="0" w:color="AAB4BD"/>
              <w:bottom w:val="single" w:sz="4" w:space="0" w:color="AAB4BD"/>
              <w:right w:val="single" w:sz="4" w:space="0" w:color="AAB4BD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8BD2BD5" w14:textId="77777777" w:rsidR="00114F3C" w:rsidRDefault="00000000">
            <w:r>
              <w:rPr>
                <w:color w:val="000000"/>
                <w:sz w:val="17"/>
                <w:szCs w:val="17"/>
              </w:rPr>
              <w:t>Temperature (T)</w:t>
            </w:r>
          </w:p>
        </w:tc>
        <w:tc>
          <w:tcPr>
            <w:tcW w:w="2600" w:type="dxa"/>
            <w:tcBorders>
              <w:top w:val="single" w:sz="4" w:space="0" w:color="AAB4BD"/>
              <w:left w:val="single" w:sz="4" w:space="0" w:color="AAB4BD"/>
              <w:bottom w:val="single" w:sz="4" w:space="0" w:color="AAB4BD"/>
              <w:right w:val="single" w:sz="4" w:space="0" w:color="AAB4BD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C47820A" w14:textId="77777777" w:rsidR="00114F3C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0.87 – 0.90</w:t>
            </w:r>
          </w:p>
        </w:tc>
        <w:tc>
          <w:tcPr>
            <w:tcW w:w="4200" w:type="dxa"/>
            <w:tcBorders>
              <w:top w:val="single" w:sz="4" w:space="0" w:color="AAB4BD"/>
              <w:left w:val="single" w:sz="4" w:space="0" w:color="AAB4BD"/>
              <w:bottom w:val="single" w:sz="4" w:space="0" w:color="AAB4BD"/>
              <w:right w:val="single" w:sz="4" w:space="0" w:color="AAB4BD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E54968C" w14:textId="77777777" w:rsidR="00114F3C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Positive (pre-peak, monotone domain)</w:t>
            </w:r>
          </w:p>
        </w:tc>
      </w:tr>
      <w:tr w:rsidR="00114F3C" w14:paraId="1B940F3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AB4BD"/>
              <w:left w:val="single" w:sz="4" w:space="0" w:color="AAB4BD"/>
              <w:bottom w:val="single" w:sz="4" w:space="0" w:color="AAB4BD"/>
              <w:right w:val="single" w:sz="4" w:space="0" w:color="AAB4BD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4AAA166" w14:textId="77777777" w:rsidR="00114F3C" w:rsidRDefault="00000000">
            <w:r>
              <w:rPr>
                <w:color w:val="000000"/>
                <w:sz w:val="17"/>
                <w:szCs w:val="17"/>
              </w:rPr>
              <w:t>Mosquito-to-human (m)</w:t>
            </w:r>
          </w:p>
        </w:tc>
        <w:tc>
          <w:tcPr>
            <w:tcW w:w="2600" w:type="dxa"/>
            <w:tcBorders>
              <w:top w:val="single" w:sz="4" w:space="0" w:color="AAB4BD"/>
              <w:left w:val="single" w:sz="4" w:space="0" w:color="AAB4BD"/>
              <w:bottom w:val="single" w:sz="4" w:space="0" w:color="AAB4BD"/>
              <w:right w:val="single" w:sz="4" w:space="0" w:color="AAB4BD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0FE7D47" w14:textId="77777777" w:rsidR="00114F3C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0.64 – 0.69</w:t>
            </w:r>
          </w:p>
        </w:tc>
        <w:tc>
          <w:tcPr>
            <w:tcW w:w="4200" w:type="dxa"/>
            <w:tcBorders>
              <w:top w:val="single" w:sz="4" w:space="0" w:color="AAB4BD"/>
              <w:left w:val="single" w:sz="4" w:space="0" w:color="AAB4BD"/>
              <w:bottom w:val="single" w:sz="4" w:space="0" w:color="AAB4BD"/>
              <w:right w:val="single" w:sz="4" w:space="0" w:color="AAB4BD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E18E19C" w14:textId="77777777" w:rsidR="00114F3C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Positive</w:t>
            </w:r>
          </w:p>
        </w:tc>
      </w:tr>
      <w:tr w:rsidR="00114F3C" w14:paraId="586D3E7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AB4BD"/>
              <w:left w:val="single" w:sz="4" w:space="0" w:color="AAB4BD"/>
              <w:bottom w:val="single" w:sz="4" w:space="0" w:color="AAB4BD"/>
              <w:right w:val="single" w:sz="4" w:space="0" w:color="AAB4BD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A178579" w14:textId="77777777" w:rsidR="00114F3C" w:rsidRDefault="00000000">
            <w:r>
              <w:rPr>
                <w:color w:val="000000"/>
                <w:sz w:val="17"/>
                <w:szCs w:val="17"/>
              </w:rPr>
              <w:t>β_vh (vector→human)</w:t>
            </w:r>
          </w:p>
        </w:tc>
        <w:tc>
          <w:tcPr>
            <w:tcW w:w="2600" w:type="dxa"/>
            <w:tcBorders>
              <w:top w:val="single" w:sz="4" w:space="0" w:color="AAB4BD"/>
              <w:left w:val="single" w:sz="4" w:space="0" w:color="AAB4BD"/>
              <w:bottom w:val="single" w:sz="4" w:space="0" w:color="AAB4BD"/>
              <w:right w:val="single" w:sz="4" w:space="0" w:color="AAB4BD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3682F0D" w14:textId="77777777" w:rsidR="00114F3C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0.51 – 0.55</w:t>
            </w:r>
          </w:p>
        </w:tc>
        <w:tc>
          <w:tcPr>
            <w:tcW w:w="4200" w:type="dxa"/>
            <w:tcBorders>
              <w:top w:val="single" w:sz="4" w:space="0" w:color="AAB4BD"/>
              <w:left w:val="single" w:sz="4" w:space="0" w:color="AAB4BD"/>
              <w:bottom w:val="single" w:sz="4" w:space="0" w:color="AAB4BD"/>
              <w:right w:val="single" w:sz="4" w:space="0" w:color="AAB4BD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EE1D320" w14:textId="77777777" w:rsidR="00114F3C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Positive</w:t>
            </w:r>
          </w:p>
        </w:tc>
      </w:tr>
      <w:tr w:rsidR="00114F3C" w14:paraId="663C0A9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AB4BD"/>
              <w:left w:val="single" w:sz="4" w:space="0" w:color="AAB4BD"/>
              <w:bottom w:val="single" w:sz="4" w:space="0" w:color="AAB4BD"/>
              <w:right w:val="single" w:sz="4" w:space="0" w:color="AAB4BD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201BB15" w14:textId="77777777" w:rsidR="00114F3C" w:rsidRDefault="00000000">
            <w:r>
              <w:rPr>
                <w:color w:val="000000"/>
                <w:sz w:val="17"/>
                <w:szCs w:val="17"/>
              </w:rPr>
              <w:t>β_hv (human→vector)</w:t>
            </w:r>
          </w:p>
        </w:tc>
        <w:tc>
          <w:tcPr>
            <w:tcW w:w="2600" w:type="dxa"/>
            <w:tcBorders>
              <w:top w:val="single" w:sz="4" w:space="0" w:color="AAB4BD"/>
              <w:left w:val="single" w:sz="4" w:space="0" w:color="AAB4BD"/>
              <w:bottom w:val="single" w:sz="4" w:space="0" w:color="AAB4BD"/>
              <w:right w:val="single" w:sz="4" w:space="0" w:color="AAB4BD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77317C1" w14:textId="77777777" w:rsidR="00114F3C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0.51 – 0.55</w:t>
            </w:r>
          </w:p>
        </w:tc>
        <w:tc>
          <w:tcPr>
            <w:tcW w:w="4200" w:type="dxa"/>
            <w:tcBorders>
              <w:top w:val="single" w:sz="4" w:space="0" w:color="AAB4BD"/>
              <w:left w:val="single" w:sz="4" w:space="0" w:color="AAB4BD"/>
              <w:bottom w:val="single" w:sz="4" w:space="0" w:color="AAB4BD"/>
              <w:right w:val="single" w:sz="4" w:space="0" w:color="AAB4BD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5631C29" w14:textId="77777777" w:rsidR="00114F3C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Positive</w:t>
            </w:r>
          </w:p>
        </w:tc>
      </w:tr>
      <w:tr w:rsidR="00114F3C" w14:paraId="069BECE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AB4BD"/>
              <w:left w:val="single" w:sz="4" w:space="0" w:color="AAB4BD"/>
              <w:bottom w:val="single" w:sz="4" w:space="0" w:color="AAB4BD"/>
              <w:right w:val="single" w:sz="4" w:space="0" w:color="AAB4BD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86F1774" w14:textId="77777777" w:rsidR="00114F3C" w:rsidRDefault="00000000">
            <w:r>
              <w:rPr>
                <w:color w:val="000000"/>
                <w:sz w:val="17"/>
                <w:szCs w:val="17"/>
              </w:rPr>
              <w:t>Relative humidity (RH)</w:t>
            </w:r>
          </w:p>
        </w:tc>
        <w:tc>
          <w:tcPr>
            <w:tcW w:w="2600" w:type="dxa"/>
            <w:tcBorders>
              <w:top w:val="single" w:sz="4" w:space="0" w:color="AAB4BD"/>
              <w:left w:val="single" w:sz="4" w:space="0" w:color="AAB4BD"/>
              <w:bottom w:val="single" w:sz="4" w:space="0" w:color="AAB4BD"/>
              <w:right w:val="single" w:sz="4" w:space="0" w:color="AAB4BD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8E37363" w14:textId="77777777" w:rsidR="00114F3C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0.50 – 0.54</w:t>
            </w:r>
          </w:p>
        </w:tc>
        <w:tc>
          <w:tcPr>
            <w:tcW w:w="4200" w:type="dxa"/>
            <w:tcBorders>
              <w:top w:val="single" w:sz="4" w:space="0" w:color="AAB4BD"/>
              <w:left w:val="single" w:sz="4" w:space="0" w:color="AAB4BD"/>
              <w:bottom w:val="single" w:sz="4" w:space="0" w:color="AAB4BD"/>
              <w:right w:val="single" w:sz="4" w:space="0" w:color="AAB4BD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8CE8A49" w14:textId="77777777" w:rsidR="00114F3C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Positive (via VPD–mortality)</w:t>
            </w:r>
          </w:p>
        </w:tc>
      </w:tr>
      <w:tr w:rsidR="00114F3C" w14:paraId="499F2D6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AB4BD"/>
              <w:left w:val="single" w:sz="4" w:space="0" w:color="AAB4BD"/>
              <w:bottom w:val="single" w:sz="4" w:space="0" w:color="AAB4BD"/>
              <w:right w:val="single" w:sz="4" w:space="0" w:color="AAB4BD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6DB7631" w14:textId="77777777" w:rsidR="00114F3C" w:rsidRDefault="00000000">
            <w:r>
              <w:rPr>
                <w:color w:val="000000"/>
                <w:sz w:val="17"/>
                <w:szCs w:val="17"/>
              </w:rPr>
              <w:t>Infectious period (ip_days)</w:t>
            </w:r>
          </w:p>
        </w:tc>
        <w:tc>
          <w:tcPr>
            <w:tcW w:w="2600" w:type="dxa"/>
            <w:tcBorders>
              <w:top w:val="single" w:sz="4" w:space="0" w:color="AAB4BD"/>
              <w:left w:val="single" w:sz="4" w:space="0" w:color="AAB4BD"/>
              <w:bottom w:val="single" w:sz="4" w:space="0" w:color="AAB4BD"/>
              <w:right w:val="single" w:sz="4" w:space="0" w:color="AAB4BD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C51F258" w14:textId="77777777" w:rsidR="00114F3C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0.40 – 0.43</w:t>
            </w:r>
          </w:p>
        </w:tc>
        <w:tc>
          <w:tcPr>
            <w:tcW w:w="4200" w:type="dxa"/>
            <w:tcBorders>
              <w:top w:val="single" w:sz="4" w:space="0" w:color="AAB4BD"/>
              <w:left w:val="single" w:sz="4" w:space="0" w:color="AAB4BD"/>
              <w:bottom w:val="single" w:sz="4" w:space="0" w:color="AAB4BD"/>
              <w:right w:val="single" w:sz="4" w:space="0" w:color="AAB4BD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ECAEAD0" w14:textId="77777777" w:rsidR="00114F3C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Positive</w:t>
            </w:r>
          </w:p>
        </w:tc>
      </w:tr>
    </w:tbl>
    <w:p w14:paraId="7A9D2AAB" w14:textId="77777777" w:rsidR="00114F3C" w:rsidRDefault="00000000">
      <w:r>
        <w:br w:type="page"/>
      </w:r>
    </w:p>
    <w:p w14:paraId="7A7ADE0D" w14:textId="77777777" w:rsidR="00114F3C" w:rsidRDefault="00000000">
      <w:pPr>
        <w:pStyle w:val="Balk1"/>
        <w:spacing w:before="260" w:after="120"/>
      </w:pPr>
      <w:r>
        <w:rPr>
          <w:b/>
          <w:bCs/>
          <w:color w:val="1F3A5F"/>
          <w:sz w:val="27"/>
          <w:szCs w:val="27"/>
        </w:rPr>
        <w:lastRenderedPageBreak/>
        <w:t>Supporting figures (legends)</w:t>
      </w:r>
    </w:p>
    <w:p w14:paraId="56A58358" w14:textId="77777777" w:rsidR="00114F3C" w:rsidRDefault="00000000">
      <w:pPr>
        <w:spacing w:before="100" w:after="40"/>
      </w:pPr>
      <w:r>
        <w:rPr>
          <w:b/>
          <w:bCs/>
        </w:rPr>
        <w:t xml:space="preserve">S1 Fig. </w:t>
      </w:r>
      <w:r>
        <w:t>Conceptual model and CTMC spark-phase state transitions, showing birth (secondary transmission at rate γR₀) and death (recovery at rate γ) events and absorption at extinction versus the establishment threshold τ = 30.</w:t>
      </w:r>
    </w:p>
    <w:p w14:paraId="26ACB318" w14:textId="77777777" w:rsidR="00114F3C" w:rsidRDefault="00000000">
      <w:pPr>
        <w:spacing w:before="100" w:after="40"/>
      </w:pPr>
      <w:r>
        <w:rPr>
          <w:b/>
          <w:bCs/>
        </w:rPr>
        <w:t xml:space="preserve">S2 Fig. </w:t>
      </w:r>
      <w:r>
        <w:t>District temperature and relative-humidity profiles under SSP1-2.6, SSP2-4.5, and SSP5-8.5 across the 2025–2075 horizon.</w:t>
      </w:r>
    </w:p>
    <w:p w14:paraId="4A5F5751" w14:textId="77777777" w:rsidR="00114F3C" w:rsidRDefault="00000000">
      <w:pPr>
        <w:spacing w:before="100" w:after="40"/>
      </w:pPr>
      <w:r>
        <w:rPr>
          <w:b/>
          <w:bCs/>
        </w:rPr>
        <w:t xml:space="preserve">S3 Fig. </w:t>
      </w:r>
      <w:r>
        <w:t>Climate Suitability Index (CSI) by district and month, derived from the normalized biting, lifespan, and EIP performance components.</w:t>
      </w:r>
    </w:p>
    <w:p w14:paraId="46A58FB9" w14:textId="77777777" w:rsidR="00114F3C" w:rsidRDefault="00000000">
      <w:pPr>
        <w:spacing w:before="100" w:after="40"/>
      </w:pPr>
      <w:r>
        <w:rPr>
          <w:b/>
          <w:bCs/>
        </w:rPr>
        <w:t xml:space="preserve">S4 Fig. </w:t>
      </w:r>
      <w:r>
        <w:t>Source-country contribution to modeled viremic importation pressure, based on province-level international-arrival statistics.</w:t>
      </w:r>
    </w:p>
    <w:p w14:paraId="5887891E" w14:textId="77777777" w:rsidR="00114F3C" w:rsidRDefault="00000000">
      <w:pPr>
        <w:spacing w:before="100" w:after="40"/>
      </w:pPr>
      <w:r>
        <w:rPr>
          <w:b/>
          <w:bCs/>
        </w:rPr>
        <w:t xml:space="preserve">S5 Fig. </w:t>
      </w:r>
      <w:r>
        <w:t>Monthly single-import establishment probability (P_est) heatmaps by district and scenario.</w:t>
      </w:r>
    </w:p>
    <w:p w14:paraId="62A426BA" w14:textId="77777777" w:rsidR="00114F3C" w:rsidRDefault="00000000">
      <w:pPr>
        <w:spacing w:before="100" w:after="40"/>
      </w:pPr>
      <w:r>
        <w:rPr>
          <w:b/>
          <w:bCs/>
        </w:rPr>
        <w:t xml:space="preserve">S6 Fig. </w:t>
      </w:r>
      <w:r>
        <w:t>Annual and decadal establishment-risk trajectories by district and scenario.</w:t>
      </w:r>
    </w:p>
    <w:p w14:paraId="4E6E9DD0" w14:textId="77777777" w:rsidR="00114F3C" w:rsidRDefault="00000000">
      <w:pPr>
        <w:spacing w:before="100" w:after="40"/>
      </w:pPr>
      <w:r>
        <w:rPr>
          <w:b/>
          <w:bCs/>
        </w:rPr>
        <w:t xml:space="preserve">S7 Fig. </w:t>
      </w:r>
      <w:r>
        <w:t>One-at-a-time sensitivity of cumulative establishment risk to the mosquito-to-human ratio m (subcritical-to-supercritical transition).</w:t>
      </w:r>
    </w:p>
    <w:p w14:paraId="04A91227" w14:textId="77777777" w:rsidR="00114F3C" w:rsidRDefault="00000000">
      <w:pPr>
        <w:spacing w:before="100" w:after="40"/>
      </w:pPr>
      <w:r>
        <w:rPr>
          <w:b/>
          <w:bCs/>
        </w:rPr>
        <w:t xml:space="preserve">S8 Fig. </w:t>
      </w:r>
      <w:r>
        <w:t>LHS–PRCC forest plot summarizing global parameter sensitivity across the three SSP scenarios.</w:t>
      </w:r>
    </w:p>
    <w:p w14:paraId="652A109F" w14:textId="77777777" w:rsidR="00114F3C" w:rsidRDefault="00000000">
      <w:pPr>
        <w:pStyle w:val="Balk1"/>
        <w:spacing w:before="260" w:after="120"/>
      </w:pPr>
      <w:r>
        <w:rPr>
          <w:b/>
          <w:bCs/>
          <w:color w:val="1F3A5F"/>
          <w:sz w:val="27"/>
          <w:szCs w:val="27"/>
        </w:rPr>
        <w:t>S1 Data. Reproducibility package</w:t>
      </w:r>
    </w:p>
    <w:p w14:paraId="19CC9548" w14:textId="77777777" w:rsidR="00114F3C" w:rsidRDefault="00000000">
      <w:pPr>
        <w:spacing w:after="120" w:line="276" w:lineRule="auto"/>
        <w:jc w:val="both"/>
      </w:pPr>
      <w:r>
        <w:t>A repository package accompanies the manuscript and contains:</w:t>
      </w:r>
    </w:p>
    <w:p w14:paraId="5887A5C0" w14:textId="77777777" w:rsidR="00114F3C" w:rsidRDefault="00000000">
      <w:pPr>
        <w:pStyle w:val="ListeParagraf"/>
        <w:numPr>
          <w:ilvl w:val="0"/>
          <w:numId w:val="2"/>
        </w:numPr>
        <w:spacing w:after="70" w:line="268" w:lineRule="auto"/>
        <w:jc w:val="both"/>
      </w:pPr>
      <w:r>
        <w:t>A README describing the end-to-end reproducible workflow;</w:t>
      </w:r>
    </w:p>
    <w:p w14:paraId="66EE923C" w14:textId="77777777" w:rsidR="00114F3C" w:rsidRDefault="00000000">
      <w:pPr>
        <w:pStyle w:val="ListeParagraf"/>
        <w:numPr>
          <w:ilvl w:val="0"/>
          <w:numId w:val="2"/>
        </w:numPr>
        <w:spacing w:after="70" w:line="268" w:lineRule="auto"/>
        <w:jc w:val="both"/>
      </w:pPr>
      <w:r>
        <w:t>R scripts for climate processing, CTMC simulation, and figure/table generation, with a locked package environment;</w:t>
      </w:r>
    </w:p>
    <w:p w14:paraId="696CFFAE" w14:textId="77777777" w:rsidR="00114F3C" w:rsidRDefault="00000000">
      <w:pPr>
        <w:pStyle w:val="ListeParagraf"/>
        <w:numPr>
          <w:ilvl w:val="0"/>
          <w:numId w:val="2"/>
        </w:numPr>
        <w:spacing w:after="70" w:line="268" w:lineRule="auto"/>
        <w:jc w:val="both"/>
      </w:pPr>
      <w:r>
        <w:t>Processed, non-proprietary input tables (climate summaries, parameter files, vector-species mapping);</w:t>
      </w:r>
    </w:p>
    <w:p w14:paraId="1599A808" w14:textId="77777777" w:rsidR="00114F3C" w:rsidRDefault="00000000">
      <w:pPr>
        <w:pStyle w:val="ListeParagraf"/>
        <w:numPr>
          <w:ilvl w:val="0"/>
          <w:numId w:val="2"/>
        </w:numPr>
        <w:spacing w:after="70" w:line="268" w:lineRule="auto"/>
        <w:jc w:val="both"/>
      </w:pPr>
      <w:r>
        <w:t>The district–month–year model outputs (P_est, λ_local, cumulative risk) underlying every figure and table;</w:t>
      </w:r>
    </w:p>
    <w:p w14:paraId="42CFEB03" w14:textId="77777777" w:rsidR="00114F3C" w:rsidRDefault="00000000">
      <w:pPr>
        <w:pStyle w:val="ListeParagraf"/>
        <w:numPr>
          <w:ilvl w:val="0"/>
          <w:numId w:val="2"/>
        </w:numPr>
        <w:spacing w:after="70" w:line="268" w:lineRule="auto"/>
        <w:jc w:val="both"/>
      </w:pPr>
      <w:r>
        <w:t>A license and a citation file.</w:t>
      </w:r>
    </w:p>
    <w:sectPr w:rsidR="00114F3C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506F4"/>
    <w:multiLevelType w:val="hybridMultilevel"/>
    <w:tmpl w:val="F0185FD0"/>
    <w:lvl w:ilvl="0" w:tplc="2F2E5A48">
      <w:start w:val="1"/>
      <w:numFmt w:val="bullet"/>
      <w:lvlText w:val="•"/>
      <w:lvlJc w:val="left"/>
      <w:pPr>
        <w:ind w:left="460" w:hanging="260"/>
      </w:pPr>
    </w:lvl>
    <w:lvl w:ilvl="1" w:tplc="0448765A">
      <w:numFmt w:val="decimal"/>
      <w:lvlText w:val=""/>
      <w:lvlJc w:val="left"/>
    </w:lvl>
    <w:lvl w:ilvl="2" w:tplc="E47AC874">
      <w:numFmt w:val="decimal"/>
      <w:lvlText w:val=""/>
      <w:lvlJc w:val="left"/>
    </w:lvl>
    <w:lvl w:ilvl="3" w:tplc="AC888D78">
      <w:numFmt w:val="decimal"/>
      <w:lvlText w:val=""/>
      <w:lvlJc w:val="left"/>
    </w:lvl>
    <w:lvl w:ilvl="4" w:tplc="BEF08620">
      <w:numFmt w:val="decimal"/>
      <w:lvlText w:val=""/>
      <w:lvlJc w:val="left"/>
    </w:lvl>
    <w:lvl w:ilvl="5" w:tplc="16AC0972">
      <w:numFmt w:val="decimal"/>
      <w:lvlText w:val=""/>
      <w:lvlJc w:val="left"/>
    </w:lvl>
    <w:lvl w:ilvl="6" w:tplc="BDA4C956">
      <w:numFmt w:val="decimal"/>
      <w:lvlText w:val=""/>
      <w:lvlJc w:val="left"/>
    </w:lvl>
    <w:lvl w:ilvl="7" w:tplc="5CD4948A">
      <w:numFmt w:val="decimal"/>
      <w:lvlText w:val=""/>
      <w:lvlJc w:val="left"/>
    </w:lvl>
    <w:lvl w:ilvl="8" w:tplc="0E4E0FFE">
      <w:numFmt w:val="decimal"/>
      <w:lvlText w:val=""/>
      <w:lvlJc w:val="left"/>
    </w:lvl>
  </w:abstractNum>
  <w:abstractNum w:abstractNumId="1" w15:restartNumberingAfterBreak="0">
    <w:nsid w:val="2429733E"/>
    <w:multiLevelType w:val="hybridMultilevel"/>
    <w:tmpl w:val="AA0C0716"/>
    <w:lvl w:ilvl="0" w:tplc="4B0C6288">
      <w:start w:val="1"/>
      <w:numFmt w:val="bullet"/>
      <w:lvlText w:val="●"/>
      <w:lvlJc w:val="left"/>
      <w:pPr>
        <w:ind w:left="720" w:hanging="360"/>
      </w:pPr>
    </w:lvl>
    <w:lvl w:ilvl="1" w:tplc="72CA45D8">
      <w:start w:val="1"/>
      <w:numFmt w:val="bullet"/>
      <w:lvlText w:val="○"/>
      <w:lvlJc w:val="left"/>
      <w:pPr>
        <w:ind w:left="1440" w:hanging="360"/>
      </w:pPr>
    </w:lvl>
    <w:lvl w:ilvl="2" w:tplc="EADCACE6">
      <w:start w:val="1"/>
      <w:numFmt w:val="bullet"/>
      <w:lvlText w:val="■"/>
      <w:lvlJc w:val="left"/>
      <w:pPr>
        <w:ind w:left="2160" w:hanging="360"/>
      </w:pPr>
    </w:lvl>
    <w:lvl w:ilvl="3" w:tplc="A2925778">
      <w:start w:val="1"/>
      <w:numFmt w:val="bullet"/>
      <w:lvlText w:val="●"/>
      <w:lvlJc w:val="left"/>
      <w:pPr>
        <w:ind w:left="2880" w:hanging="360"/>
      </w:pPr>
    </w:lvl>
    <w:lvl w:ilvl="4" w:tplc="32D479C8">
      <w:start w:val="1"/>
      <w:numFmt w:val="bullet"/>
      <w:lvlText w:val="○"/>
      <w:lvlJc w:val="left"/>
      <w:pPr>
        <w:ind w:left="3600" w:hanging="360"/>
      </w:pPr>
    </w:lvl>
    <w:lvl w:ilvl="5" w:tplc="5EF0B6A6">
      <w:start w:val="1"/>
      <w:numFmt w:val="bullet"/>
      <w:lvlText w:val="■"/>
      <w:lvlJc w:val="left"/>
      <w:pPr>
        <w:ind w:left="4320" w:hanging="360"/>
      </w:pPr>
    </w:lvl>
    <w:lvl w:ilvl="6" w:tplc="B7D4B540">
      <w:start w:val="1"/>
      <w:numFmt w:val="bullet"/>
      <w:lvlText w:val="●"/>
      <w:lvlJc w:val="left"/>
      <w:pPr>
        <w:ind w:left="5040" w:hanging="360"/>
      </w:pPr>
    </w:lvl>
    <w:lvl w:ilvl="7" w:tplc="DB04BE10">
      <w:start w:val="1"/>
      <w:numFmt w:val="bullet"/>
      <w:lvlText w:val="●"/>
      <w:lvlJc w:val="left"/>
      <w:pPr>
        <w:ind w:left="5760" w:hanging="360"/>
      </w:pPr>
    </w:lvl>
    <w:lvl w:ilvl="8" w:tplc="16B20C58">
      <w:start w:val="1"/>
      <w:numFmt w:val="bullet"/>
      <w:lvlText w:val="●"/>
      <w:lvlJc w:val="left"/>
      <w:pPr>
        <w:ind w:left="6480" w:hanging="360"/>
      </w:pPr>
    </w:lvl>
  </w:abstractNum>
  <w:num w:numId="1" w16cid:durableId="2053454228">
    <w:abstractNumId w:val="1"/>
    <w:lvlOverride w:ilvl="0">
      <w:startOverride w:val="1"/>
    </w:lvlOverride>
  </w:num>
  <w:num w:numId="2" w16cid:durableId="59031255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4F3C"/>
    <w:rsid w:val="00114F3C"/>
    <w:rsid w:val="0042238A"/>
    <w:rsid w:val="00500B36"/>
    <w:rsid w:val="005712BE"/>
    <w:rsid w:val="00574E5A"/>
    <w:rsid w:val="00592481"/>
    <w:rsid w:val="00B54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F97F1A"/>
  <w15:docId w15:val="{365FA696-25C2-4F72-8725-80358B372F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Balk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Balk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uiPriority w:val="10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  <w:rPr>
      <w:sz w:val="20"/>
      <w:szCs w:val="20"/>
    </w:rPr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character" w:styleId="SonNotBavurusu">
    <w:name w:val="endnote reference"/>
    <w:uiPriority w:val="99"/>
    <w:semiHidden/>
    <w:unhideWhenUsed/>
    <w:rPr>
      <w:vertAlign w:val="superscript"/>
    </w:rPr>
  </w:style>
  <w:style w:type="paragraph" w:styleId="SonNotMetni">
    <w:name w:val="endnote text"/>
    <w:link w:val="SonNotMetniChar"/>
    <w:uiPriority w:val="99"/>
    <w:semiHidden/>
    <w:unhideWhenUsed/>
    <w:rPr>
      <w:sz w:val="20"/>
      <w:szCs w:val="20"/>
    </w:rPr>
  </w:style>
  <w:style w:type="character" w:customStyle="1" w:styleId="SonNotMetniChar">
    <w:name w:val="Son Not Metni Char"/>
    <w:link w:val="SonNotMetni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4</Pages>
  <Words>2090</Words>
  <Characters>11913</Characters>
  <Application>Microsoft Office Word</Application>
  <DocSecurity>0</DocSecurity>
  <Lines>99</Lines>
  <Paragraphs>27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Okan DERİN</cp:lastModifiedBy>
  <cp:revision>1</cp:revision>
  <dcterms:created xsi:type="dcterms:W3CDTF">2026-07-20T11:31:00Z</dcterms:created>
  <dcterms:modified xsi:type="dcterms:W3CDTF">2026-07-22T13:43:00Z</dcterms:modified>
</cp:coreProperties>
</file>