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center"/>
      </w:pPr>
      <w:r>
        <w:rPr>
          <w:rFonts w:ascii="Times New Roman" w:cs="Times New Roman" w:eastAsia="Times New Roman" w:hAnsi="Times New Roman"/>
          <w:b/>
          <w:bCs/>
          <w:sz w:val="32"/>
          <w:szCs w:val="32"/>
        </w:rPr>
        <w:t xml:space="preserve">BÖLÜM 5</w:t>
      </w:r>
    </w:p>
    <w:p>
      <w:pPr>
        <w:spacing w:after="400" w:before="0"/>
        <w:jc w:val="center"/>
      </w:pPr>
      <w:r>
        <w:rPr>
          <w:rFonts w:ascii="Times New Roman" w:cs="Times New Roman" w:eastAsia="Times New Roman" w:hAnsi="Times New Roman"/>
          <w:b/>
          <w:bCs/>
          <w:sz w:val="32"/>
          <w:szCs w:val="32"/>
        </w:rPr>
        <w:t xml:space="preserve">BULGULAR</w:t>
      </w:r>
    </w:p>
    <w:p>
      <w:pPr>
        <w:pStyle w:val="Heading1"/>
        <w:spacing w:after="200" w:before="360"/>
      </w:pPr>
      <w:r>
        <w:rPr>
          <w:rFonts w:ascii="Times New Roman" w:cs="Times New Roman" w:eastAsia="Times New Roman" w:hAnsi="Times New Roman"/>
          <w:b/>
          <w:bCs/>
          <w:sz w:val="28"/>
          <w:szCs w:val="28"/>
        </w:rPr>
        <w:t xml:space="preserve">5.1. Model Doğrulaması</w:t>
      </w:r>
    </w:p>
    <w:p>
      <w:pPr>
        <w:spacing w:after="120" w:before="120" w:line="360"/>
        <w:ind w:firstLine="720"/>
        <w:jc w:val="both"/>
      </w:pPr>
      <w:r>
        <w:rPr>
          <w:rFonts w:ascii="Times New Roman" w:cs="Times New Roman" w:eastAsia="Times New Roman" w:hAnsi="Times New Roman"/>
          <w:sz w:val="24"/>
          <w:szCs w:val="24"/>
        </w:rPr>
        <w:t xml:space="preserve">CTMC kıvılcım fazı modelinin sayısal güvenilirliğini değerlendirmek amacıyla Monte Carlo (MC) simülasyonu sonuçları, analitik gambler's ruin çözümü ile karşılaştırılmıştır. Analitik referans, sonlu eşikli (τ = 30) gambler's ruin formülü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 (1 − ρ) / (1 − ρ</w:t>
      </w:r>
      <w:r>
        <w:rPr>
          <w:rFonts w:ascii="Times New Roman" w:cs="Times New Roman" w:eastAsia="Times New Roman" w:hAnsi="Times New Roman"/>
          <w:sz w:val="24"/>
          <w:szCs w:val="24"/>
          <w:vertAlign w:val="superscript"/>
        </w:rPr>
        <w:t xml:space="preserve">τ</w:t>
      </w:r>
      <w:r>
        <w:rPr>
          <w:rFonts w:ascii="Times New Roman" w:cs="Times New Roman" w:eastAsia="Times New Roman" w:hAnsi="Times New Roman"/>
          <w:sz w:val="24"/>
          <w:szCs w:val="24"/>
        </w:rPr>
        <w:t xml:space="preserve">) olup, burada ρ = μ/(λ+μ) olarak tanımlanmaktadır. Her üç SSP senaryosu (SSP1-2.6, SSP2-4.5, SSP5-8.5) için 3.060 ilçe–ay–yıl kombinasyonunun tamamı test edilmiştir.</w:t>
      </w:r>
    </w:p>
    <w:p>
      <w:pPr>
        <w:spacing w:after="120" w:before="120" w:line="360"/>
        <w:ind w:firstLine="720"/>
        <w:jc w:val="both"/>
      </w:pPr>
      <w:r>
        <w:rPr>
          <w:rFonts w:ascii="Times New Roman" w:cs="Times New Roman" w:eastAsia="Times New Roman" w:hAnsi="Times New Roman"/>
          <w:sz w:val="24"/>
          <w:szCs w:val="24"/>
        </w:rPr>
        <w:t xml:space="preserve">Üç senaryoda da aktif bulaş dönemlerinde (λ &gt; 0) analitik ve MC tahminleri arasındaki ortalama mutlak fark 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mertebesinde kalmış, maksimum fark hiçbir senaryoda 2,3 × 10</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eşiğini aşmamıştır. Tablo 5.1, her senaryo için doğrulama istatistiklerini özetlemektedir.</w:t>
      </w:r>
    </w:p>
    <w:p>
      <w:pPr>
        <w:spacing w:after="100" w:before="200"/>
        <w:jc w:val="left"/>
      </w:pPr>
      <w:r>
        <w:rPr>
          <w:rFonts w:ascii="Times New Roman" w:cs="Times New Roman" w:eastAsia="Times New Roman" w:hAnsi="Times New Roman"/>
          <w:b/>
          <w:bCs/>
          <w:i w:val="false"/>
          <w:iCs w:val="false"/>
          <w:sz w:val="22"/>
          <w:szCs w:val="22"/>
        </w:rPr>
        <w:t xml:space="preserve">Tablo 5.1. Analitik P_est ile Monte Carlo P_est Karşılaştırması — Tüm SSP Senaryoları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300"/>
        <w:gridCol w:w="1300"/>
        <w:gridCol w:w="1400"/>
        <w:gridCol w:w="12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Senaryo</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Toplam
Kombin.</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Aktif
(λ&gt;0)</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Ort. |fark|</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Maks |fark|</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&lt; 0,02
eşiği</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Başarı
(%)</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SSP1-2.6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3.060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1.701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4,05×10⁻⁷</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1,84×10⁻⁵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1.701/1.701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SSP2-4.5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3.060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1.731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4,70×10⁻⁷</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1,45×10⁻⁵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1.731/1.731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100</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SSP5-8.5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3.060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6,63×10⁻⁷</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2,28×10⁻⁵</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1.760/1.760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100</w:t>
            </w:r>
          </w:p>
        </w:tc>
      </w:tr>
    </w:tbl>
    <w:p>
      <w:pPr>
        <w:spacing w:after="120" w:before="120" w:line="360"/>
        <w:ind w:firstLine="720"/>
        <w:jc w:val="both"/>
      </w:pPr>
      <w:r>
        <w:rPr>
          <w:rFonts w:ascii="Times New Roman" w:cs="Times New Roman" w:eastAsia="Times New Roman" w:hAnsi="Times New Roman"/>
          <w:sz w:val="24"/>
          <w:szCs w:val="24"/>
        </w:rPr>
        <w:t xml:space="preserve">Tablo 5.1'de görüldüğü üzere, üç SSP senaryosunun tamamında %100 başarı oranı elde edilmiş; 1.000 dış MC tekrarının yeterli yakınsama sağladığı doğrulanmıştır. SSP5-8.5 senaryosunda aktif ay sayısı 1.760'a yükselmiş olup bu durum, yüksek emisyon senaryosunun bulaş sezonunu genişlettiğini yansıtmaktadır. Doğrulama sonuçları, log-log saçılım grafiklerinde de (Şekil 5.1) 14 büyüklük mertebesini kapsayan bir aralıkta birim eğim doğrusu üzerinde mükemmel çakışma göstermektedir.</w:t>
      </w:r>
    </w:p>
    <w:p>
      <w:pPr>
        <w:spacing w:after="120" w:before="120" w:line="360"/>
        <w:ind w:firstLine="720"/>
        <w:jc w:val="both"/>
      </w:pPr>
      <w:r>
        <w:rPr>
          <w:rFonts w:ascii="Times New Roman" w:cs="Times New Roman" w:eastAsia="Times New Roman" w:hAnsi="Times New Roman"/>
          <w:sz w:val="24"/>
          <w:szCs w:val="24"/>
        </w:rPr>
        <w:t xml:space="preserve">Bu doğrulama, modelimizin iki kritik teknik varsayımını desteklemektedir: (i) iç içe Monte Carlo yaklaşımı (EIP heterojenliği için iç döngü, parametrik belirsizlik için dış döngü) Jensen eşitsizliği düzeltmesini başarıyla uygulamakta; (ii) sonlu eşikli gambler's ruin formülasyonu (τ = 30), sonsuz-ufuk yaklaşımından farklı olarak operasyonel olarak anlamlı bir yerleşme tanımı sağlamaktadır.</w:t>
      </w:r>
    </w:p>
    <w:p>
      <w:pPr>
        <w:pStyle w:val="Heading1"/>
        <w:spacing w:after="200" w:before="360"/>
      </w:pPr>
      <w:r>
        <w:rPr>
          <w:rFonts w:ascii="Times New Roman" w:cs="Times New Roman" w:eastAsia="Times New Roman" w:hAnsi="Times New Roman"/>
          <w:b/>
          <w:bCs/>
          <w:sz w:val="28"/>
          <w:szCs w:val="28"/>
        </w:rPr>
        <w:t xml:space="preserve">5.2. İklim Projeksiyonları ve İklim Uygunluk İndeksi (CSI)</w:t>
      </w:r>
    </w:p>
    <w:p>
      <w:pPr>
        <w:pStyle w:val="Heading2"/>
        <w:spacing w:after="160" w:before="280"/>
      </w:pPr>
      <w:r>
        <w:rPr>
          <w:rFonts w:ascii="Times New Roman" w:cs="Times New Roman" w:eastAsia="Times New Roman" w:hAnsi="Times New Roman"/>
          <w:b/>
          <w:bCs/>
          <w:sz w:val="26"/>
          <w:szCs w:val="26"/>
        </w:rPr>
        <w:t xml:space="preserve">5.2.1. Sıcaklık ve Nem Projeksiyonları</w:t>
      </w:r>
    </w:p>
    <w:p>
      <w:pPr>
        <w:spacing w:after="120" w:before="120" w:line="360"/>
        <w:ind w:firstLine="720"/>
        <w:jc w:val="both"/>
      </w:pPr>
      <w:r>
        <w:rPr>
          <w:rFonts w:ascii="Times New Roman" w:cs="Times New Roman" w:eastAsia="Times New Roman" w:hAnsi="Times New Roman"/>
          <w:sz w:val="24"/>
          <w:szCs w:val="24"/>
        </w:rPr>
        <w:t xml:space="preserve">CNRM-CM6-1-HR iklim modeli çıktılarına göre beş sentinel ilçede 2075 yılına kadar beklenen ısınma miktarları senaryoya göre belirgin farklılıklar göstermektedir. SSP1-2.6 senaryosunda ~+1,0°C, SSP2-4.5'te ~+2,4°C ve SSP5-8.5'te ~+5,4°C ısınma öngörülmektedir. İlçeler arasında en yüksek yaz sıcaklıkları Fethiye'de gözlemlenmekte olup, SSP5-8.5 altında Temmuz-Ağustos ortalamaları 30°C'nin üzerine çıkmakta ve Brière termal performans eğrisinin optimum noktasını (Ae. albopictus için ~26,5–27,0°C) aşmaktadır.</w:t>
      </w:r>
    </w:p>
    <w:p>
      <w:pPr>
        <w:spacing w:after="120" w:before="120" w:line="360"/>
        <w:ind w:firstLine="720"/>
        <w:jc w:val="both"/>
      </w:pPr>
      <w:r>
        <w:rPr>
          <w:rFonts w:ascii="Times New Roman" w:cs="Times New Roman" w:eastAsia="Times New Roman" w:hAnsi="Times New Roman"/>
          <w:sz w:val="24"/>
          <w:szCs w:val="24"/>
        </w:rPr>
        <w:t xml:space="preserve">Nem profillerinde kritik farklılıklar bulunmaktadır. Fethiye'nin yaz RH değerleri %33–44 bandında kalmakta ve bu durum yüksek buhar basıncı açığı (VPD) üzerinden vektör mortalitesini (μ</w:t>
      </w:r>
      <w:r>
        <w:rPr>
          <w:rFonts w:ascii="Times New Roman" w:cs="Times New Roman" w:eastAsia="Times New Roman" w:hAnsi="Times New Roman"/>
          <w:sz w:val="24"/>
          <w:szCs w:val="24"/>
          <w:vertAlign w:val="subscript"/>
        </w:rPr>
        <w:t xml:space="preserve">v</w:t>
      </w:r>
      <w:r>
        <w:rPr>
          <w:rFonts w:ascii="Times New Roman" w:cs="Times New Roman" w:eastAsia="Times New Roman" w:hAnsi="Times New Roman"/>
          <w:sz w:val="24"/>
          <w:szCs w:val="24"/>
        </w:rPr>
        <w:t xml:space="preserve">) artırmaktadır. Buna karşın Kartal ve Hopa'da yaz RH değerleri %60–75 arasında seyrederek vektör yaşam süresini desteklemektedir.</w:t>
      </w:r>
    </w:p>
    <w:p>
      <w:pPr>
        <w:pStyle w:val="Heading2"/>
        <w:spacing w:after="160" w:before="280"/>
      </w:pPr>
      <w:r>
        <w:rPr>
          <w:rFonts w:ascii="Times New Roman" w:cs="Times New Roman" w:eastAsia="Times New Roman" w:hAnsi="Times New Roman"/>
          <w:b/>
          <w:bCs/>
          <w:sz w:val="26"/>
          <w:szCs w:val="26"/>
        </w:rPr>
        <w:t xml:space="preserve">5.2.2. İklim Uygunluk İndeksi (CSI)</w:t>
      </w:r>
    </w:p>
    <w:p>
      <w:pPr>
        <w:spacing w:after="120" w:before="120" w:line="360"/>
        <w:ind w:firstLine="720"/>
        <w:jc w:val="both"/>
      </w:pPr>
      <w:r>
        <w:rPr>
          <w:rFonts w:ascii="Times New Roman" w:cs="Times New Roman" w:eastAsia="Times New Roman" w:hAnsi="Times New Roman"/>
          <w:sz w:val="24"/>
          <w:szCs w:val="24"/>
        </w:rPr>
        <w:t xml:space="preserve">Vektör ekolojisi açısından iklim uygunluğunu bütünleşik olarak değerlendirmek için üç Brière termal performans bileşeninin normalize ortalaması olarak tanımlanan İklim Uygunluk İndeksi (CSI) hesaplanmıştır: CSI = [a(T)/a</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lf(T)/lf</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dev(T)/dev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3. Bu indeks, ısırma hızı (a), yaşam süresi (lf) ve larva gelişim hızı (dev) bileşenlerini entegre etmektedir.</w:t>
      </w:r>
    </w:p>
    <w:p>
      <w:pPr>
        <w:spacing w:after="120" w:before="120" w:line="360"/>
        <w:ind w:firstLine="720"/>
        <w:jc w:val="both"/>
      </w:pPr>
      <w:r>
        <w:rPr>
          <w:rFonts w:ascii="Times New Roman" w:cs="Times New Roman" w:eastAsia="Times New Roman" w:hAnsi="Times New Roman"/>
          <w:sz w:val="24"/>
          <w:szCs w:val="24"/>
        </w:rPr>
        <w:t xml:space="preserve">CSI ısı haritaları incelendiğinde, tüm senaryolarda Haziran–Eylül döneminin yüksek uygunluk penceresi olduğu görülmektedir. SSP1-2.6 altında Kartal'ın Temmuz CSI değeri 0,86, Fethiye'nin 0,88'dir. SSP5-8.5'te ise Kartal'ın CSI'si artmaya devam ederken, Fethiye'de Temmuz-Ağustos CSI değerleri bir miktar düşmektedir — termal overshoot etkisinin doğrudan bir yansıması olarak.</w:t>
      </w:r>
    </w:p>
    <w:p>
      <w:pPr>
        <w:spacing w:after="120" w:before="120" w:line="360"/>
        <w:ind w:firstLine="720"/>
        <w:jc w:val="both"/>
      </w:pPr>
      <w:r>
        <w:rPr>
          <w:rFonts w:ascii="Times New Roman" w:cs="Times New Roman" w:eastAsia="Times New Roman" w:hAnsi="Times New Roman"/>
          <w:sz w:val="24"/>
          <w:szCs w:val="24"/>
        </w:rPr>
        <w:t xml:space="preserve">Yıllık CSI trendleri senaryolar arası karşılaştırıldığında, Kartal ve Hopa'da monoton artan bir profil gözlemlenmekte, Fethiye ve Eğirdir'de ise SSP5-8.5 altında 2060 sonrası plato ve kısmi düşüş eğilimi ortaya çıkmaktadır. Bu durum, aşırı ısınma koşullarında termal performans eğrilerinin azalan kısmına geçişi temsil etmektedir.</w:t>
      </w:r>
    </w:p>
    <w:p>
      <w:pPr>
        <w:pStyle w:val="Heading1"/>
        <w:spacing w:after="200" w:before="360"/>
      </w:pPr>
      <w:r>
        <w:rPr>
          <w:rFonts w:ascii="Times New Roman" w:cs="Times New Roman" w:eastAsia="Times New Roman" w:hAnsi="Times New Roman"/>
          <w:b/>
          <w:bCs/>
          <w:sz w:val="28"/>
          <w:szCs w:val="28"/>
        </w:rPr>
        <w:t xml:space="preserve">5.3. İthalat Baskısı (Λ_ithalat)</w:t>
      </w:r>
    </w:p>
    <w:p>
      <w:pPr>
        <w:pStyle w:val="Heading2"/>
        <w:spacing w:after="160" w:before="280"/>
      </w:pPr>
      <w:r>
        <w:rPr>
          <w:rFonts w:ascii="Times New Roman" w:cs="Times New Roman" w:eastAsia="Times New Roman" w:hAnsi="Times New Roman"/>
          <w:b/>
          <w:bCs/>
          <w:sz w:val="26"/>
          <w:szCs w:val="26"/>
        </w:rPr>
        <w:t xml:space="preserve">5.3.1. Kaynak Ülke Profili</w:t>
      </w:r>
    </w:p>
    <w:p>
      <w:pPr>
        <w:spacing w:after="120" w:before="120" w:line="360"/>
        <w:ind w:firstLine="720"/>
        <w:jc w:val="both"/>
      </w:pPr>
      <w:r>
        <w:rPr>
          <w:rFonts w:ascii="Times New Roman" w:cs="Times New Roman" w:eastAsia="Times New Roman" w:hAnsi="Times New Roman"/>
          <w:sz w:val="24"/>
          <w:szCs w:val="24"/>
        </w:rPr>
        <w:t xml:space="preserve">GBD 2023 verileri ve Kültür ve Turizm Bakanlığı turist varış istatistikleri kullanılarak oluşturulan ülke ağırlıklı ithalat modeli, Türkiye'ye yönelik dang humması ithalat riskinin kaynağını belirlemiştir. İlk 10 kaynak ülke sıralamasında — GBD insidans oranı ile turist ağırlığı çarpımına göre — Güneydoğu Asya ve Latin Amerika ülkeleri ön plana çıkmaktadır. Özellikle Hindistan, Brezilya, Endonezya ve Tayland yüksek insidans ile anlamlı turist akışını birleştirmekte; İran ve Pakistan ise orta düzey insidansa rağmen yüksek turist hacmi ile katkıda bulunmaktadır.</w:t>
      </w:r>
    </w:p>
    <w:p>
      <w:pPr>
        <w:spacing w:after="120" w:before="120" w:line="360"/>
        <w:ind w:firstLine="720"/>
        <w:jc w:val="both"/>
      </w:pPr>
      <w:r>
        <w:rPr>
          <w:rFonts w:ascii="Times New Roman" w:cs="Times New Roman" w:eastAsia="Times New Roman" w:hAnsi="Times New Roman"/>
          <w:sz w:val="24"/>
          <w:szCs w:val="24"/>
        </w:rPr>
        <w:t xml:space="preserve">Formül olarak ağırlıklı ithalat olasılığı π</w:t>
      </w:r>
      <w:r>
        <w:rPr>
          <w:rFonts w:ascii="Times New Roman" w:cs="Times New Roman" w:eastAsia="Times New Roman" w:hAnsi="Times New Roman"/>
          <w:sz w:val="24"/>
          <w:szCs w:val="24"/>
          <w:vertAlign w:val="subscript"/>
        </w:rPr>
        <w:t xml:space="preserve">weighted</w:t>
      </w:r>
      <w:r>
        <w:rPr>
          <w:rFonts w:ascii="Times New Roman" w:cs="Times New Roman" w:eastAsia="Times New Roman" w:hAnsi="Times New Roman"/>
          <w:sz w:val="24"/>
          <w:szCs w:val="24"/>
        </w:rPr>
        <w:t xml:space="preserve">(y,m) = Σ</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 (1 − exp(−γ</w:t>
      </w:r>
      <w:r>
        <w:rPr>
          <w:rFonts w:ascii="Times New Roman" w:cs="Times New Roman" w:eastAsia="Times New Roman" w:hAnsi="Times New Roman"/>
          <w:sz w:val="24"/>
          <w:szCs w:val="24"/>
          <w:vertAlign w:val="subscript"/>
        </w:rPr>
        <w:t xml:space="preserve">GBD,c</w:t>
      </w:r>
      <w:r>
        <w:rPr>
          <w:rFonts w:ascii="Times New Roman" w:cs="Times New Roman" w:eastAsia="Times New Roman" w:hAnsi="Times New Roman"/>
          <w:sz w:val="24"/>
          <w:szCs w:val="24"/>
        </w:rPr>
        <w:t xml:space="preserve">(y,m) · d/365))] şeklinde hesaplanmıştır. Burada 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ülke c'nin turist ağırlığını, γ</w:t>
      </w:r>
      <w:r>
        <w:rPr>
          <w:rFonts w:ascii="Times New Roman" w:cs="Times New Roman" w:eastAsia="Times New Roman" w:hAnsi="Times New Roman"/>
          <w:sz w:val="24"/>
          <w:szCs w:val="24"/>
          <w:vertAlign w:val="subscript"/>
        </w:rPr>
        <w:t xml:space="preserve">GBD,c</w:t>
      </w:r>
      <w:r>
        <w:rPr>
          <w:rFonts w:ascii="Times New Roman" w:cs="Times New Roman" w:eastAsia="Times New Roman" w:hAnsi="Times New Roman"/>
          <w:sz w:val="24"/>
          <w:szCs w:val="24"/>
        </w:rPr>
        <w:t xml:space="preserve"> GBD 2023 yıllık insidans oranını temsil etmektedir.</w:t>
      </w:r>
    </w:p>
    <w:p>
      <w:pPr>
        <w:pStyle w:val="Heading2"/>
        <w:spacing w:after="160" w:before="280"/>
      </w:pPr>
      <w:r>
        <w:rPr>
          <w:rFonts w:ascii="Times New Roman" w:cs="Times New Roman" w:eastAsia="Times New Roman" w:hAnsi="Times New Roman"/>
          <w:b/>
          <w:bCs/>
          <w:sz w:val="26"/>
          <w:szCs w:val="26"/>
        </w:rPr>
        <w:t xml:space="preserve">5.3.2. İlçe Bazında İthalat Baskısı</w:t>
      </w:r>
    </w:p>
    <w:p>
      <w:pPr>
        <w:spacing w:after="120" w:before="120" w:line="360"/>
        <w:ind w:firstLine="720"/>
        <w:jc w:val="both"/>
      </w:pPr>
      <w:r>
        <w:rPr>
          <w:rFonts w:ascii="Times New Roman" w:cs="Times New Roman" w:eastAsia="Times New Roman" w:hAnsi="Times New Roman"/>
          <w:sz w:val="24"/>
          <w:szCs w:val="24"/>
        </w:rPr>
        <w:t xml:space="preserve">50 yıllık kümülatif ithalat baskısı (Λ</w:t>
      </w:r>
      <w:r>
        <w:rPr>
          <w:rFonts w:ascii="Times New Roman" w:cs="Times New Roman" w:eastAsia="Times New Roman" w:hAnsi="Times New Roman"/>
          <w:sz w:val="24"/>
          <w:szCs w:val="24"/>
          <w:vertAlign w:val="subscript"/>
        </w:rPr>
        <w:t xml:space="preserve">ithalat</w:t>
      </w:r>
      <w:r>
        <w:rPr>
          <w:rFonts w:ascii="Times New Roman" w:cs="Times New Roman" w:eastAsia="Times New Roman" w:hAnsi="Times New Roman"/>
          <w:sz w:val="24"/>
          <w:szCs w:val="24"/>
        </w:rPr>
        <w:t xml:space="preserve">) ilçeler arasında dramatik farklılıklar göstermektedir. Fethiye, uluslararası turizm merkezlerinden biri olarak en yüksek ithalat baskısını taşımakta (SSP5-8.5: Λ = 1.308,9), bunu Kartal (Λ = 257,7) izlemektedir. Buna karşın Zonguldak'ın ithalat baskısı Λ = 0,8–1,0 seviyesinde olup, 50 yılda toplam beklenen ithal vaka sayısının 1'den az olduğunu ifade etmektedir. Bu durum, Zonguldak'taki riskin neredeyse tamamen yerel iklim uygunluğundan kaynaklandığını göstermektedir.</w:t>
      </w:r>
    </w:p>
    <w:p>
      <w:pPr>
        <w:spacing w:after="120" w:before="120" w:line="360"/>
        <w:ind w:firstLine="720"/>
        <w:jc w:val="both"/>
      </w:pPr>
      <w:r>
        <w:rPr>
          <w:rFonts w:ascii="Times New Roman" w:cs="Times New Roman" w:eastAsia="Times New Roman" w:hAnsi="Times New Roman"/>
          <w:sz w:val="24"/>
          <w:szCs w:val="24"/>
        </w:rPr>
        <w:t xml:space="preserve">Mevsimsel ithalat haritaları (λ</w:t>
      </w:r>
      <w:r>
        <w:rPr>
          <w:rFonts w:ascii="Times New Roman" w:cs="Times New Roman" w:eastAsia="Times New Roman" w:hAnsi="Times New Roman"/>
          <w:sz w:val="24"/>
          <w:szCs w:val="24"/>
          <w:vertAlign w:val="subscript"/>
        </w:rPr>
        <w:t xml:space="preserve">ithal</w:t>
      </w:r>
      <w:r>
        <w:rPr>
          <w:rFonts w:ascii="Times New Roman" w:cs="Times New Roman" w:eastAsia="Times New Roman" w:hAnsi="Times New Roman"/>
          <w:sz w:val="24"/>
          <w:szCs w:val="24"/>
        </w:rPr>
        <w:t xml:space="preserve"> ısı haritaları) incelendiğinde, Haziran–Ekim döneminin hem turist hacmi (S</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mevsimsel çarpanı) hem de kaynak ülke insidansının artması nedeniyle pik ithalat penceresi olduğu görülmektedir. SSP2-4.5 altında Kartal'da yaz aylarında aylık λ</w:t>
      </w:r>
      <w:r>
        <w:rPr>
          <w:rFonts w:ascii="Times New Roman" w:cs="Times New Roman" w:eastAsia="Times New Roman" w:hAnsi="Times New Roman"/>
          <w:sz w:val="24"/>
          <w:szCs w:val="24"/>
          <w:vertAlign w:val="subscript"/>
        </w:rPr>
        <w:t xml:space="preserve">ithal</w:t>
      </w:r>
      <w:r>
        <w:rPr>
          <w:rFonts w:ascii="Times New Roman" w:cs="Times New Roman" w:eastAsia="Times New Roman" w:hAnsi="Times New Roman"/>
          <w:sz w:val="24"/>
          <w:szCs w:val="24"/>
        </w:rPr>
        <w:t xml:space="preserve"> değerleri 2070'lere doğru belirgin şekilde artış göstermektedir.</w:t>
      </w:r>
    </w:p>
    <w:p>
      <w:pPr>
        <w:pStyle w:val="Heading2"/>
        <w:spacing w:after="160" w:before="280"/>
      </w:pPr>
      <w:r>
        <w:rPr>
          <w:rFonts w:ascii="Times New Roman" w:cs="Times New Roman" w:eastAsia="Times New Roman" w:hAnsi="Times New Roman"/>
          <w:b/>
          <w:bCs/>
          <w:sz w:val="26"/>
          <w:szCs w:val="26"/>
        </w:rPr>
        <w:t xml:space="preserve">5.3.3. İthalat Parametre Duyarlılığı</w:t>
      </w:r>
    </w:p>
    <w:p>
      <w:pPr>
        <w:spacing w:after="120" w:before="120" w:line="360"/>
        <w:ind w:firstLine="720"/>
        <w:jc w:val="both"/>
      </w:pPr>
      <w:r>
        <w:rPr>
          <w:rFonts w:ascii="Times New Roman" w:cs="Times New Roman" w:eastAsia="Times New Roman" w:hAnsi="Times New Roman"/>
          <w:sz w:val="24"/>
          <w:szCs w:val="24"/>
        </w:rPr>
        <w:t xml:space="preserve">İthalat baskısının iki temel parametresi — giriş noktası tarama etkinliği (η) ve iklim-bulaş uyum katsayısı (k) — üzerinde duyarlılık analizi gerçekleştirilmiştir. Tablo 5.2, SSP2-4.5 senaryosu altında η ve k parametrelerinin farklı düzeylerindeki toplam λ ve M</w:t>
      </w:r>
      <w:r>
        <w:rPr>
          <w:rFonts w:ascii="Times New Roman" w:cs="Times New Roman" w:eastAsia="Times New Roman" w:hAnsi="Times New Roman"/>
          <w:sz w:val="24"/>
          <w:szCs w:val="24"/>
          <w:vertAlign w:val="subscript"/>
        </w:rPr>
        <w:t xml:space="preserve">climate</w:t>
      </w:r>
      <w:r>
        <w:rPr>
          <w:rFonts w:ascii="Times New Roman" w:cs="Times New Roman" w:eastAsia="Times New Roman" w:hAnsi="Times New Roman"/>
          <w:sz w:val="24"/>
          <w:szCs w:val="24"/>
        </w:rPr>
        <w:t xml:space="preserve"> değerlerini göstermektedir.</w:t>
      </w:r>
    </w:p>
    <w:p>
      <w:pPr>
        <w:spacing w:after="100" w:before="200"/>
        <w:jc w:val="left"/>
      </w:pPr>
      <w:r>
        <w:rPr>
          <w:rFonts w:ascii="Times New Roman" w:cs="Times New Roman" w:eastAsia="Times New Roman" w:hAnsi="Times New Roman"/>
          <w:b/>
          <w:bCs/>
          <w:i w:val="false"/>
          <w:iCs w:val="false"/>
          <w:sz w:val="22"/>
          <w:szCs w:val="22"/>
        </w:rPr>
        <w:t xml:space="preserve">Tablo 5.2. İthalat Parametre Duyarlılığı (η, k) — SSP2-4.5</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800"/>
        <w:gridCol w:w="1300"/>
        <w:gridCol w:w="120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Parametre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Düzey</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Değer</w:t>
            </w:r>
          </w:p>
        </w:tc>
        <w:tc>
          <w:tcPr>
            <w:tcW w:type="dxa" w:w="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Yıl</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λ_toplam</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M_climate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η</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η_low</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0,15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15,37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16,02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2075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18,50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η</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η_base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0,25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25,61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26,71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2075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η</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η_high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0,33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33,80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35,25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2075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40,70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k=0,10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0,10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25,11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1,07</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25,95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2075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29,13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k=0,13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0,13</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25,61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26,71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2075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k=0,20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bCs/>
                <w:i w:val="false"/>
                <w:iCs w:val="false"/>
                <w:sz w:val="20"/>
                <w:szCs w:val="20"/>
              </w:rPr>
              <w:t xml:space="preserve">0,20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2025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26,77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1,14</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2050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28,46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2075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34,81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1,48</w:t>
            </w:r>
          </w:p>
        </w:tc>
      </w:tr>
    </w:tbl>
    <w:p>
      <w:pPr>
        <w:spacing w:after="120" w:before="120" w:line="360"/>
        <w:ind w:firstLine="720"/>
        <w:jc w:val="both"/>
      </w:pPr>
      <w:r>
        <w:rPr>
          <w:rFonts w:ascii="Times New Roman" w:cs="Times New Roman" w:eastAsia="Times New Roman" w:hAnsi="Times New Roman"/>
          <w:sz w:val="24"/>
          <w:szCs w:val="24"/>
        </w:rPr>
        <w:t xml:space="preserve">Tablo 5.2'den görüldüğü üzere, η parametresinin tabanından yüksek seviyeye (0,15 → 0,33) artırılması λ</w:t>
      </w:r>
      <w:r>
        <w:rPr>
          <w:rFonts w:ascii="Times New Roman" w:cs="Times New Roman" w:eastAsia="Times New Roman" w:hAnsi="Times New Roman"/>
          <w:sz w:val="24"/>
          <w:szCs w:val="24"/>
          <w:vertAlign w:val="subscript"/>
        </w:rPr>
        <w:t xml:space="preserve">toplam</w:t>
      </w:r>
      <w:r>
        <w:rPr>
          <w:rFonts w:ascii="Times New Roman" w:cs="Times New Roman" w:eastAsia="Times New Roman" w:hAnsi="Times New Roman"/>
          <w:sz w:val="24"/>
          <w:szCs w:val="24"/>
        </w:rPr>
        <w:t xml:space="preserve"> değerini yaklaşık 2,2 kat artırmaktadır. İklim çarpanı M</w:t>
      </w:r>
      <w:r>
        <w:rPr>
          <w:rFonts w:ascii="Times New Roman" w:cs="Times New Roman" w:eastAsia="Times New Roman" w:hAnsi="Times New Roman"/>
          <w:sz w:val="24"/>
          <w:szCs w:val="24"/>
          <w:vertAlign w:val="subscript"/>
        </w:rPr>
        <w:t xml:space="preserve">climate</w:t>
      </w:r>
      <w:r>
        <w:rPr>
          <w:rFonts w:ascii="Times New Roman" w:cs="Times New Roman" w:eastAsia="Times New Roman" w:hAnsi="Times New Roman"/>
          <w:sz w:val="24"/>
          <w:szCs w:val="24"/>
        </w:rPr>
        <w:t xml:space="preserve"> ise 2025'te 1,09'dan 2075'te 1,31'e yükselmektedir; bu durum, küresel ısınmanın kaynak ülkelerdeki dang insidansını artırarak dolaylı yoldan Türkiye'ye yönelik ithalat baskısını güçlendirdiğini göstermektedir.</w:t>
      </w:r>
    </w:p>
    <w:p>
      <w:r>
        <w:br w:type="page"/>
      </w:r>
    </w:p>
    <w:p>
      <w:pPr>
        <w:pStyle w:val="Heading1"/>
        <w:spacing w:after="200" w:before="360"/>
      </w:pPr>
      <w:r>
        <w:rPr>
          <w:rFonts w:ascii="Times New Roman" w:cs="Times New Roman" w:eastAsia="Times New Roman" w:hAnsi="Times New Roman"/>
          <w:b/>
          <w:bCs/>
          <w:sz w:val="28"/>
          <w:szCs w:val="28"/>
        </w:rPr>
        <w:t xml:space="preserve">5.4. Yıllık ve Kümülatif Yerleşme Riski (P_ufuk)</w:t>
      </w:r>
    </w:p>
    <w:p>
      <w:pPr>
        <w:pStyle w:val="Heading2"/>
        <w:spacing w:after="160" w:before="280"/>
      </w:pPr>
      <w:r>
        <w:rPr>
          <w:rFonts w:ascii="Times New Roman" w:cs="Times New Roman" w:eastAsia="Times New Roman" w:hAnsi="Times New Roman"/>
          <w:b/>
          <w:bCs/>
          <w:sz w:val="26"/>
          <w:szCs w:val="26"/>
        </w:rPr>
        <w:t xml:space="preserve">5.4.1. 50 Yıllık Kümülatif Risk</w:t>
      </w:r>
    </w:p>
    <w:p>
      <w:pPr>
        <w:spacing w:after="120" w:before="120" w:line="360"/>
        <w:ind w:firstLine="720"/>
        <w:jc w:val="both"/>
      </w:pPr>
      <w:r>
        <w:rPr>
          <w:rFonts w:ascii="Times New Roman" w:cs="Times New Roman" w:eastAsia="Times New Roman" w:hAnsi="Times New Roman"/>
          <w:sz w:val="24"/>
          <w:szCs w:val="24"/>
        </w:rPr>
        <w:t xml:space="preserve">Modelin birincil çıktısı olan 50 yıllık kümülatif yerleşme riski (P</w:t>
      </w:r>
      <w:r>
        <w:rPr>
          <w:rFonts w:ascii="Times New Roman" w:cs="Times New Roman" w:eastAsia="Times New Roman" w:hAnsi="Times New Roman"/>
          <w:sz w:val="24"/>
          <w:szCs w:val="24"/>
          <w:vertAlign w:val="subscript"/>
        </w:rPr>
        <w:t xml:space="preserve">ufuk</w:t>
      </w:r>
      <w:r>
        <w:rPr>
          <w:rFonts w:ascii="Times New Roman" w:cs="Times New Roman" w:eastAsia="Times New Roman" w:hAnsi="Times New Roman"/>
          <w:sz w:val="24"/>
          <w:szCs w:val="24"/>
        </w:rPr>
        <w:t xml:space="preserve">), beş sentinel ilçe ve üç SSP senaryosu için hesaplanmıştır. P</w:t>
      </w:r>
      <w:r>
        <w:rPr>
          <w:rFonts w:ascii="Times New Roman" w:cs="Times New Roman" w:eastAsia="Times New Roman" w:hAnsi="Times New Roman"/>
          <w:sz w:val="24"/>
          <w:szCs w:val="24"/>
          <w:vertAlign w:val="subscript"/>
        </w:rPr>
        <w:t xml:space="preserve">ufuk</w:t>
      </w:r>
      <w:r>
        <w:rPr>
          <w:rFonts w:ascii="Times New Roman" w:cs="Times New Roman" w:eastAsia="Times New Roman" w:hAnsi="Times New Roman"/>
          <w:sz w:val="24"/>
          <w:szCs w:val="24"/>
        </w:rPr>
        <w:t xml:space="preserve">, en az bir ithal vakanın 2025–2075 döneminde τ = 30 eşiğine ulaşma olasılığını ifade etmektedir. Tablo 5.3, tüm ilçe–senaryo kombinasyonlarının sonuçlarını sunmaktadır.</w:t>
      </w:r>
    </w:p>
    <w:p>
      <w:pPr>
        <w:spacing w:after="100" w:before="200"/>
        <w:jc w:val="left"/>
      </w:pPr>
      <w:r>
        <w:rPr>
          <w:rFonts w:ascii="Times New Roman" w:cs="Times New Roman" w:eastAsia="Times New Roman" w:hAnsi="Times New Roman"/>
          <w:b/>
          <w:bCs/>
          <w:i w:val="false"/>
          <w:iCs w:val="false"/>
          <w:sz w:val="22"/>
          <w:szCs w:val="22"/>
        </w:rPr>
        <w:t xml:space="preserve">Tablo 5.3. 50 Yıllık Kümülatif Yerleşme Riski (P_ufuk) — Üç SSP Senaryosu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2000"/>
        <w:gridCol w:w="2400"/>
        <w:gridCol w:w="17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İlçe</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Senaryo</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P_ufuk (ort.)</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%95 GA</w:t>
            </w:r>
          </w:p>
        </w:tc>
        <w:tc>
          <w:tcPr>
            <w:tcW w:type="dxa" w:w="17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Λ_ithalat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Eğirdir (Isparta)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6,66×10⁻⁹</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[6,2×10⁻⁹ – 7,2×10⁻⁹]</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9,96×10⁻⁸</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[9,0×10⁻⁸ – 1,1×10⁻⁷]</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2,37×10⁻⁸</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[2,3×10⁻⁸ – 2,5×10⁻⁸]</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Fethiye (Muğla)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1,71×10⁻⁴</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[1,7×10⁻⁴ – 1,8×10⁻⁴]</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1.033,9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3,95×10⁻³</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[3,7×10⁻³ – 4,2×10⁻³]</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1.080,8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4,64×10⁻⁴</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[4,5×10⁻⁴ – 4,8×10⁻⁴]</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1.308,9</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Hopa (Artvin)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1,04×10⁻²</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[1,0×10⁻² – 1,0×10⁻²]</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78,7</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7,23×10⁻²</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[7,2×10⁻² – 7,3×10⁻²]</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82,2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1,53×10⁻¹</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[1,5×10⁻¹ – 1,5×10⁻¹]</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99,6</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Kartal (İstanbul)</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2,67×10⁻¹</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[2,7×10⁻¹ – 2,7×10⁻¹]</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203,6</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3,36×10⁻¹</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[3,4×10⁻¹ – 3,4×10⁻¹]</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212,8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4,56×10⁻¹</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[4,5×10⁻¹ – 4,6×10⁻¹]</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257,7</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Zonguldak</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1,02×10⁻⁴</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[1,0×10⁻⁴ – 1,0×10⁻⁴]</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4,72×10⁻⁴</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[4,7×10⁻⁴ – 4,8×10⁻⁴]</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1,11×10⁻³</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[1,1×10⁻³ – 1,1×10⁻³]</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w:t>
            </w:r>
          </w:p>
        </w:tc>
      </w:tr>
    </w:tbl>
    <w:p>
      <w:pPr>
        <w:spacing w:after="120" w:before="120" w:line="360"/>
        <w:ind w:firstLine="720"/>
        <w:jc w:val="both"/>
      </w:pPr>
      <w:r>
        <w:rPr>
          <w:rFonts w:ascii="Times New Roman" w:cs="Times New Roman" w:eastAsia="Times New Roman" w:hAnsi="Times New Roman"/>
          <w:sz w:val="24"/>
          <w:szCs w:val="24"/>
        </w:rPr>
        <w:t xml:space="preserve">Tablo 5.3'teki sonuçlar, beş sentinel ilçe arasında belirgin bir risk hiyerarşisi ortaya koymaktadır. Kartal (İstanbul), SSP5-8.5 senaryosunda P</w:t>
      </w:r>
      <w:r>
        <w:rPr>
          <w:rFonts w:ascii="Times New Roman" w:cs="Times New Roman" w:eastAsia="Times New Roman" w:hAnsi="Times New Roman"/>
          <w:sz w:val="24"/>
          <w:szCs w:val="24"/>
          <w:vertAlign w:val="subscript"/>
        </w:rPr>
        <w:t xml:space="preserve">ufuk</w:t>
      </w:r>
      <w:r>
        <w:rPr>
          <w:rFonts w:ascii="Times New Roman" w:cs="Times New Roman" w:eastAsia="Times New Roman" w:hAnsi="Times New Roman"/>
          <w:sz w:val="24"/>
          <w:szCs w:val="24"/>
        </w:rPr>
        <w:t xml:space="preserve"> = 0,456 (%45,6) ile en yüksek kümülatif riski taşımaktadır. Bu, 50 yıllık zaman ufkunda neredeyse yarı yarıya bir yerleşme olasılığı anlamına gelmektedir. SSP2-4.5 altında dahi Kartal'ın riski %33,6'ya ulaşmaktadır.</w:t>
      </w:r>
    </w:p>
    <w:p>
      <w:pPr>
        <w:spacing w:after="120" w:before="120" w:line="360"/>
        <w:ind w:firstLine="720"/>
        <w:jc w:val="both"/>
      </w:pPr>
      <w:r>
        <w:rPr>
          <w:rFonts w:ascii="Times New Roman" w:cs="Times New Roman" w:eastAsia="Times New Roman" w:hAnsi="Times New Roman"/>
          <w:sz w:val="24"/>
          <w:szCs w:val="24"/>
        </w:rPr>
        <w:t xml:space="preserve">Hopa (Artvin), SSP5-8.5'te %15,3 kümülatif risk ile ikinci sırada yer almaktadır. Hopa'nın ılıman ve nemli Karadeniz iklimi, göreceli olarak düşük ithalat baskısına (Λ = 78,7–99,6) rağmen anlamlı bir yerel bulaş kapasitesi sağlamaktadır. Bu durum, sıcaklık ve nemin sinerjik etkisinin salt turist hacminden daha belirleyici olabileceğini işaret etmektedir.</w:t>
      </w:r>
    </w:p>
    <w:p>
      <w:pPr>
        <w:spacing w:after="120" w:before="120" w:line="360"/>
        <w:ind w:firstLine="720"/>
        <w:jc w:val="both"/>
      </w:pPr>
      <w:r>
        <w:rPr>
          <w:rFonts w:ascii="Times New Roman" w:cs="Times New Roman" w:eastAsia="Times New Roman" w:hAnsi="Times New Roman"/>
          <w:sz w:val="24"/>
          <w:szCs w:val="24"/>
        </w:rPr>
        <w:t xml:space="preserve">Fethiye, paradoksal bir profil sergilemektedir. En yüksek ithalat baskısına (Λ = 1.033–1.308) sahip olmasına karşın, kümülatif riski (SSP2-4.5: %0,40) Kartal'ın oldukça altında kalmaktadır. Bu durum, Fethiye'nin düşük yaz neminin (%33–44) vektör yaşam süresini kısıtlaması ve R₀'ı 1'in altında tutmasından kaynaklanmaktadır. Yerel iletim kapasitesinin (R₀) ithalat baskısından daha baskın olduğu açıkça görülmektedir.</w:t>
      </w:r>
    </w:p>
    <w:p>
      <w:pPr>
        <w:spacing w:after="120" w:before="120" w:line="360"/>
        <w:ind w:firstLine="720"/>
        <w:jc w:val="both"/>
      </w:pPr>
      <w:r>
        <w:rPr>
          <w:rFonts w:ascii="Times New Roman" w:cs="Times New Roman" w:eastAsia="Times New Roman" w:hAnsi="Times New Roman"/>
          <w:sz w:val="24"/>
          <w:szCs w:val="24"/>
        </w:rPr>
        <w:t xml:space="preserve">Zonguldak ve Eğirdir, en düşük risk kategorisinde yer almaktadır. Zonguldak, düşük ithalat baskısına (Λ = 0,8) rağmen iklim uygunluğunun artmasıyla SSP5-8.5'te 10 katlık bir risk artışı göstermekte ancak mutlak değerler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mertebesinde kalmaktadır. Eğirdir ise tüm senaryolarda pratik olarak sıfıra yakın risk sergilemektedir (~10</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w:t>
      </w:r>
    </w:p>
    <w:p>
      <w:pPr>
        <w:pStyle w:val="Heading2"/>
        <w:spacing w:after="160" w:before="280"/>
      </w:pPr>
      <w:r>
        <w:rPr>
          <w:rFonts w:ascii="Times New Roman" w:cs="Times New Roman" w:eastAsia="Times New Roman" w:hAnsi="Times New Roman"/>
          <w:b/>
          <w:bCs/>
          <w:sz w:val="26"/>
          <w:szCs w:val="26"/>
        </w:rPr>
        <w:t xml:space="preserve">5.4.2. Güven Aralıkları ve Monte Carlo Yakınsaması</w:t>
      </w:r>
    </w:p>
    <w:p>
      <w:pPr>
        <w:spacing w:after="120" w:before="120" w:line="360"/>
        <w:ind w:firstLine="720"/>
        <w:jc w:val="both"/>
      </w:pPr>
      <w:r>
        <w:rPr>
          <w:rFonts w:ascii="Times New Roman" w:cs="Times New Roman" w:eastAsia="Times New Roman" w:hAnsi="Times New Roman"/>
          <w:sz w:val="24"/>
          <w:szCs w:val="24"/>
        </w:rPr>
        <w:t xml:space="preserve">Yüksek riskli ilçelerde (Kartal, Hopa) %95 güven aralıkları oldukça dardır (örn. Kartal SSP5-8.5: [0,45–0,46]). Bu bulgu, 1.000 dış MC tekrarının yeterli istatistiksel yakınsama sağladığını doğrulamaktadır. Düşük riskli ilçelerde (Eğirdir, Zonguldak) güven aralıkları görece dar olsa da bu durum, mutlak değerlerin çok küçük olmasından kaynaklanmaktadır.</w:t>
      </w:r>
    </w:p>
    <w:p>
      <w:pPr>
        <w:pStyle w:val="Heading1"/>
        <w:spacing w:after="200" w:before="360"/>
      </w:pPr>
      <w:r>
        <w:rPr>
          <w:rFonts w:ascii="Times New Roman" w:cs="Times New Roman" w:eastAsia="Times New Roman" w:hAnsi="Times New Roman"/>
          <w:b/>
          <w:bCs/>
          <w:sz w:val="28"/>
          <w:szCs w:val="28"/>
        </w:rPr>
        <w:t xml:space="preserve">5.5. Onyıllık Risk Progresyonu ve Erken-Geç Dönem Karşılaştırması</w:t>
      </w:r>
    </w:p>
    <w:p>
      <w:pPr>
        <w:pStyle w:val="Heading2"/>
        <w:spacing w:after="160" w:before="280"/>
      </w:pPr>
      <w:r>
        <w:rPr>
          <w:rFonts w:ascii="Times New Roman" w:cs="Times New Roman" w:eastAsia="Times New Roman" w:hAnsi="Times New Roman"/>
          <w:b/>
          <w:bCs/>
          <w:sz w:val="26"/>
          <w:szCs w:val="26"/>
        </w:rPr>
        <w:t xml:space="preserve">5.5.1. Dekadal Risk Tablosu</w:t>
      </w:r>
    </w:p>
    <w:p>
      <w:pPr>
        <w:spacing w:after="120" w:before="120" w:line="360"/>
        <w:ind w:firstLine="720"/>
        <w:jc w:val="both"/>
      </w:pPr>
      <w:r>
        <w:rPr>
          <w:rFonts w:ascii="Times New Roman" w:cs="Times New Roman" w:eastAsia="Times New Roman" w:hAnsi="Times New Roman"/>
          <w:sz w:val="24"/>
          <w:szCs w:val="24"/>
        </w:rPr>
        <w:t xml:space="preserve">Yerleşme riskinin zamansal evrimini incelemek amacıyla, 50 yıllık projeksiyon dönemi altı on yıllık periyoda (2020'ler, 2030'lar, …, 2070'ler) ayrılarak her ilçe ve senaryo için ortalama yıllık risk hesaplanmıştır. Tablo 5.4, SSP2-4.5 senaryosu altındaki dekadal progresyonu göstermektedir.</w:t>
      </w:r>
    </w:p>
    <w:p>
      <w:pPr>
        <w:spacing w:after="100" w:before="200"/>
        <w:jc w:val="left"/>
      </w:pPr>
      <w:r>
        <w:rPr>
          <w:rFonts w:ascii="Times New Roman" w:cs="Times New Roman" w:eastAsia="Times New Roman" w:hAnsi="Times New Roman"/>
          <w:b/>
          <w:bCs/>
          <w:i w:val="false"/>
          <w:iCs w:val="false"/>
          <w:sz w:val="22"/>
          <w:szCs w:val="22"/>
        </w:rPr>
        <w:t xml:space="preserve">Tablo 5.4. Onyıllık Risk Progresyonu — SSP2-4.5 Senaryosu</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1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İlçe</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2020'ler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2030'lar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2040'lar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2050'ler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2060'lar</w:t>
            </w:r>
          </w:p>
        </w:tc>
        <w:tc>
          <w:tcPr>
            <w:tcW w:type="dxa" w:w="11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2070'ler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Kartal</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3,68×10⁻³</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3,24×10⁻³</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6,88×10⁻³</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9,18×10⁻³</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1,11×10⁻²</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1,42×10⁻²</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Fethiye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4,12×10⁻⁵</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5,47×10⁻⁶</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2,91×10⁻⁵</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7,21×10⁻⁷</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2,32×10⁻⁵</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5,26×10⁻⁴</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Zonguldak</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1,85×10⁻⁶</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9,44×10⁻⁸</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5,57×10⁻⁶</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5,02×10⁻⁶</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2,11×10⁻⁵</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2,42×10⁻⁵</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Hopa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7,17×10⁻⁴</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2,06×10⁻⁵</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7,06×10⁻⁴</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4,03×10⁻⁴</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3,11×10⁻³</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4,81×10⁻³</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Eğirdir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1,06×10⁻¹⁰</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2,01×10⁻¹¹</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6,17×10⁻¹⁰</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3,48×10⁻¹¹</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4,70×10⁻¹⁰</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1,46×10⁻⁸</w:t>
            </w:r>
          </w:p>
        </w:tc>
      </w:tr>
    </w:tbl>
    <w:p>
      <w:pPr>
        <w:spacing w:after="120" w:before="120" w:line="360"/>
        <w:ind w:firstLine="720"/>
        <w:jc w:val="both"/>
      </w:pPr>
      <w:r>
        <w:rPr>
          <w:rFonts w:ascii="Times New Roman" w:cs="Times New Roman" w:eastAsia="Times New Roman" w:hAnsi="Times New Roman"/>
          <w:sz w:val="24"/>
          <w:szCs w:val="24"/>
        </w:rPr>
        <w:t xml:space="preserve">Kartal'da belirgin ve monoton bir artış görülmektedir: 2020'lerdeki 3,68×10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düzeyinden 2070'lerde 1,42×10</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seviyesine, yaklaşık 3,9 katlık bir yükseliş kaydedilmiştir. Hopa'da ise artış daha dramatik olup, 2060'lar ve 2070'lerde pik yaparak 4,81×10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'e ulaşmaktadır.</w:t>
      </w:r>
    </w:p>
    <w:p>
      <w:pPr>
        <w:pStyle w:val="Heading2"/>
        <w:spacing w:after="160" w:before="280"/>
      </w:pPr>
      <w:r>
        <w:rPr>
          <w:rFonts w:ascii="Times New Roman" w:cs="Times New Roman" w:eastAsia="Times New Roman" w:hAnsi="Times New Roman"/>
          <w:b/>
          <w:bCs/>
          <w:sz w:val="26"/>
          <w:szCs w:val="26"/>
        </w:rPr>
        <w:t xml:space="preserve">5.5.2. Erken Dönem (2025–2035) ile Geç Dönem (2065–2075) Karşılaştırması</w:t>
      </w:r>
    </w:p>
    <w:p>
      <w:pPr>
        <w:spacing w:after="120" w:before="120" w:line="360"/>
        <w:ind w:firstLine="720"/>
        <w:jc w:val="both"/>
      </w:pPr>
      <w:r>
        <w:rPr>
          <w:rFonts w:ascii="Times New Roman" w:cs="Times New Roman" w:eastAsia="Times New Roman" w:hAnsi="Times New Roman"/>
          <w:sz w:val="24"/>
          <w:szCs w:val="24"/>
        </w:rPr>
        <w:t xml:space="preserve">İklim değişikliğinin etkisini somutlaştırmak amacıyla, projeksiyon döneminin ilk ve son on yılı arasındaki risk değişimi incelenmiştir. Tablo 5.5, beş ilçe ve üç SSP senaryosu için sıcaklık değişimi (ΔT) ile risk kat değişimini sunmaktadır.</w:t>
      </w:r>
    </w:p>
    <w:p>
      <w:pPr>
        <w:spacing w:after="100" w:before="200"/>
        <w:jc w:val="left"/>
      </w:pPr>
      <w:r>
        <w:rPr>
          <w:rFonts w:ascii="Times New Roman" w:cs="Times New Roman" w:eastAsia="Times New Roman" w:hAnsi="Times New Roman"/>
          <w:b/>
          <w:bCs/>
          <w:i w:val="false"/>
          <w:iCs w:val="false"/>
          <w:sz w:val="22"/>
          <w:szCs w:val="22"/>
        </w:rPr>
        <w:t xml:space="preserve">Tablo 5.5. Erken (2025–2035) ve Geç (2065–2075) Dönem Risk Karşılaştırması</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1300"/>
        <w:gridCol w:w="1300"/>
        <w:gridCol w:w="1200"/>
      </w:tblGrid>
      <w:tr>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İlçe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Senaryo</w:t>
            </w:r>
          </w:p>
        </w:tc>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ΔT (°C)</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P_erken</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P_geç</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Kat değişim</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Kartal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3,7×10⁻³</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7,2×10⁻³</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3,3×10⁻³</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1,3×10⁻²</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5,9×10⁻³</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1,9×10⁻²</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Hopa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1,6×10⁻⁶</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5,9×10⁻⁴</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376,0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3,3×10⁻⁴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4,3×10⁻³</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7,2×10⁻⁴</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8,8×10⁻³</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Fethiye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2,4×10⁻⁶</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2,4×10⁻⁶</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2,3×10⁻⁵</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3,1×10⁻⁴</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2,86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1,0×10⁻⁵</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1,3×10⁻⁵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1,3</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Zonguldak</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2,5×10⁻⁷</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3,0×10⁻⁶</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8,5×10⁻⁷</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2,6×10⁻⁵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30,1</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2,27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1,9×10⁻⁶</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5,4×10⁻⁵</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28,2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Eğirdir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1,18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1,8×10⁻¹¹</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4,1×10⁻¹⁰</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22,6</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1,64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5,7×10⁻¹¹</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8,4×10⁻⁹</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147,5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2,91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2,2×10⁻¹⁰</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7,5×10⁻¹⁰</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3,4</w:t>
            </w:r>
          </w:p>
        </w:tc>
      </w:tr>
    </w:tbl>
    <w:p>
      <w:pPr>
        <w:spacing w:after="120" w:before="120" w:line="360"/>
        <w:ind w:firstLine="720"/>
        <w:jc w:val="both"/>
      </w:pPr>
      <w:r>
        <w:rPr>
          <w:rFonts w:ascii="Times New Roman" w:cs="Times New Roman" w:eastAsia="Times New Roman" w:hAnsi="Times New Roman"/>
          <w:sz w:val="24"/>
          <w:szCs w:val="24"/>
        </w:rPr>
        <w:t xml:space="preserve">En dikkat çekici bulgu, Hopa'daki SSP1-2.6 senaryosundaki 376 katlık artıştır. Bu aşırı büyüklük, gambler's ruin formülündeki üstel hassasiyetten kaynaklanmaktadır: R₀ &lt; 1 bölgesinde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perscript"/>
        </w:rPr>
        <w:t xml:space="preserve">τ</w:t>
      </w:r>
      <w:r>
        <w:rPr>
          <w:rFonts w:ascii="Times New Roman" w:cs="Times New Roman" w:eastAsia="Times New Roman" w:hAnsi="Times New Roman"/>
          <w:sz w:val="24"/>
          <w:szCs w:val="24"/>
        </w:rPr>
        <w:t xml:space="preserve"> olarak ölçeklendiğinden, R₀'daki küçük artışlar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'te logaritmik ölçekte büyük değişimlere yol açmaktadır. Kartal'da ise risk zaten yüksek olduğundan (erken dönem ~10</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göreceli artış daha ılımlıdır (1,9–3,9 kat).</w:t>
      </w:r>
    </w:p>
    <w:p>
      <w:pPr>
        <w:spacing w:after="120" w:before="120" w:line="360"/>
        <w:ind w:firstLine="720"/>
        <w:jc w:val="both"/>
      </w:pPr>
      <w:r>
        <w:rPr>
          <w:rFonts w:ascii="Times New Roman" w:cs="Times New Roman" w:eastAsia="Times New Roman" w:hAnsi="Times New Roman"/>
          <w:sz w:val="24"/>
          <w:szCs w:val="24"/>
        </w:rPr>
        <w:t xml:space="preserve">SSP senaryoları arasında monoton sıralama (SSP1-2.6 &lt; SSP2-4.5 &lt; SSP5-8.5) Kartal, Hopa ve Zonguldak'ta tutarlıdır. Fethiye ve Eğirdir'de ise SSP5-8.5 altında kat değişiminin SSP2-4.5'ten düşük olması, bir sonraki bölümde ele alınacak termal overshoot mekanizmasının somut bir göstergesidir.</w:t>
      </w:r>
    </w:p>
    <w:p>
      <w:r>
        <w:br w:type="page"/>
      </w:r>
    </w:p>
    <w:p>
      <w:pPr>
        <w:pStyle w:val="Heading1"/>
        <w:spacing w:after="200" w:before="360"/>
      </w:pPr>
      <w:r>
        <w:rPr>
          <w:rFonts w:ascii="Times New Roman" w:cs="Times New Roman" w:eastAsia="Times New Roman" w:hAnsi="Times New Roman"/>
          <w:b/>
          <w:bCs/>
          <w:sz w:val="28"/>
          <w:szCs w:val="28"/>
        </w:rPr>
        <w:t xml:space="preserve">5.6. Bulaş Sezonu Uzunluğu Değişimi</w:t>
      </w:r>
    </w:p>
    <w:p>
      <w:pPr>
        <w:spacing w:after="120" w:before="120" w:line="360"/>
        <w:ind w:firstLine="720"/>
        <w:jc w:val="both"/>
      </w:pPr>
      <w:r>
        <w:rPr>
          <w:rFonts w:ascii="Times New Roman" w:cs="Times New Roman" w:eastAsia="Times New Roman" w:hAnsi="Times New Roman"/>
          <w:sz w:val="24"/>
          <w:szCs w:val="24"/>
        </w:rPr>
        <w:t xml:space="preserve">Her ilçe için bulaş sezonu uzunluğu, yıl içinde λ</w:t>
      </w:r>
      <w:r>
        <w:rPr>
          <w:rFonts w:ascii="Times New Roman" w:cs="Times New Roman" w:eastAsia="Times New Roman" w:hAnsi="Times New Roman"/>
          <w:sz w:val="24"/>
          <w:szCs w:val="24"/>
          <w:vertAlign w:val="subscript"/>
        </w:rPr>
        <w:t xml:space="preserve">local</w:t>
      </w:r>
      <w:r>
        <w:rPr>
          <w:rFonts w:ascii="Times New Roman" w:cs="Times New Roman" w:eastAsia="Times New Roman" w:hAnsi="Times New Roman"/>
          <w:sz w:val="24"/>
          <w:szCs w:val="24"/>
        </w:rPr>
        <w:t xml:space="preserve"> &gt; 0 olan ay sayısı olarak tanımlanmıştır. Tablo 5.6, erken (2025–2035) ve geç (2065–2075) dönem karşılaştırmasını sunmaktadır.</w:t>
      </w:r>
    </w:p>
    <w:p>
      <w:pPr>
        <w:spacing w:after="100" w:before="200"/>
        <w:jc w:val="left"/>
      </w:pPr>
      <w:r>
        <w:rPr>
          <w:rFonts w:ascii="Times New Roman" w:cs="Times New Roman" w:eastAsia="Times New Roman" w:hAnsi="Times New Roman"/>
          <w:b/>
          <w:bCs/>
          <w:i w:val="false"/>
          <w:iCs w:val="false"/>
          <w:sz w:val="22"/>
          <w:szCs w:val="22"/>
        </w:rPr>
        <w:t xml:space="preserve">Tablo 5.6. Bulaş Sezonu Uzunluğu: Erken (2025–2035) vs Geç (2065–2075) Dönem</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İlçe</w:t>
            </w:r>
          </w:p>
        </w:tc>
        <w:tc>
          <w:tcPr>
            <w:tcW w:type="dxa" w:w="1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Senaryo</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Erken (ay)</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Geç (ay)</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Δ (ay)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Kartal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+0,1</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Fethiye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+1,6</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Hopa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+0,5</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+0,6</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Zonguldak</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+0,8</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4,9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bCs/>
                <w:i w:val="false"/>
                <w:iCs w:val="false"/>
                <w:sz w:val="20"/>
                <w:szCs w:val="20"/>
              </w:rPr>
              <w:t xml:space="preserve">Eğirdir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SSP1-2.6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−0,2</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SSP2-4.5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+0,3</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SSP5-8.5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5,8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+0,7</w:t>
            </w:r>
          </w:p>
        </w:tc>
      </w:tr>
    </w:tbl>
    <w:p>
      <w:pPr>
        <w:spacing w:after="120" w:before="120" w:line="360"/>
        <w:ind w:firstLine="720"/>
        <w:jc w:val="both"/>
      </w:pPr>
      <w:r>
        <w:rPr>
          <w:rFonts w:ascii="Times New Roman" w:cs="Times New Roman" w:eastAsia="Times New Roman" w:hAnsi="Times New Roman"/>
          <w:sz w:val="24"/>
          <w:szCs w:val="24"/>
        </w:rPr>
        <w:t xml:space="preserve">SSP5-8.5 senaryosunda en büyük sezon genişlemesi Fethiye'de (+1,6 ay) gözlemlenmekte olup, bunu Kartal (+1,2 ay), Zonguldak (+1,0 ay) ve Hopa (+0,8 ay) takip etmektedir. Kartal'da halihazırda 7,2 aylık uzun bir bulaş sezonu mevcuttur ve bu süre 8,4 aya genişlemektedir. Bu bulgu, vektör kontrol müdahalelerinin zamanlaması açısından kritik öneme sahiptir: pik sezonun Haziran–Ekim'den Mayıs–Kasım'a kayması, surveyans pencerelerinin yeniden tanımlanmasını gerektirmektedir.</w:t>
      </w:r>
    </w:p>
    <w:p>
      <w:pPr>
        <w:spacing w:after="120" w:before="120" w:line="360"/>
        <w:ind w:firstLine="720"/>
        <w:jc w:val="both"/>
      </w:pPr>
      <w:r>
        <w:rPr>
          <w:rFonts w:ascii="Times New Roman" w:cs="Times New Roman" w:eastAsia="Times New Roman" w:hAnsi="Times New Roman"/>
          <w:sz w:val="24"/>
          <w:szCs w:val="24"/>
        </w:rPr>
        <w:t xml:space="preserve">Dikkat çekici bir istisna olarak, Eğirdir'de SSP1-2.6 altında bulaş sezonu 0,2 ay kısalmaktadır. Bu küçük azalma, düşük emisyon senaryosunda sıcaklık artışının ilçenin yüksek rakımına (917 m) bağlı olarak sınırlı kalması ve kış aylarındaki soğuk koşulların sürmesiyle açıklanmaktadır.</w:t>
      </w:r>
    </w:p>
    <w:p>
      <w:pPr>
        <w:pStyle w:val="Heading1"/>
        <w:spacing w:after="200" w:before="360"/>
      </w:pPr>
      <w:r>
        <w:rPr>
          <w:rFonts w:ascii="Times New Roman" w:cs="Times New Roman" w:eastAsia="Times New Roman" w:hAnsi="Times New Roman"/>
          <w:b/>
          <w:bCs/>
          <w:sz w:val="28"/>
          <w:szCs w:val="28"/>
        </w:rPr>
        <w:t xml:space="preserve">5.7. Termal Overshoot Paradoksu</w:t>
      </w:r>
    </w:p>
    <w:p>
      <w:pPr>
        <w:spacing w:after="120" w:before="120" w:line="360"/>
        <w:ind w:firstLine="720"/>
        <w:jc w:val="both"/>
      </w:pPr>
      <w:r>
        <w:rPr>
          <w:rFonts w:ascii="Times New Roman" w:cs="Times New Roman" w:eastAsia="Times New Roman" w:hAnsi="Times New Roman"/>
          <w:sz w:val="24"/>
          <w:szCs w:val="24"/>
        </w:rPr>
        <w:t xml:space="preserve">Çalışmanın en dikkat çekici bulgularından biri, Fethiye ve Eğirdir ilçelerinde SSP5-8.5 senaryosunun SSP2-4.5'ten daha düşük kümülatif risk üretmesidir. Bu karşısezgisel bulgu — daha fazla ısınmanın daha az risk anlamına gelmesi — üç mekanizmanın etkileşiminden kaynaklanmaktadır.</w:t>
      </w:r>
    </w:p>
    <w:p>
      <w:pPr>
        <w:spacing w:after="120" w:before="120" w:line="360"/>
        <w:ind w:firstLine="720"/>
        <w:jc w:val="both"/>
      </w:pPr>
      <w:r>
        <w:rPr>
          <w:rFonts w:ascii="Times New Roman" w:cs="Times New Roman" w:eastAsia="Times New Roman" w:hAnsi="Times New Roman"/>
          <w:b/>
          <w:bCs/>
          <w:sz w:val="24"/>
          <w:szCs w:val="24"/>
        </w:rPr>
        <w:t xml:space="preserve">Birinci mekanizma: Brière termal optimumunun aşılması. </w:t>
      </w:r>
      <w:r>
        <w:rPr>
          <w:rFonts w:ascii="Times New Roman" w:cs="Times New Roman" w:eastAsia="Times New Roman" w:hAnsi="Times New Roman"/>
          <w:sz w:val="24"/>
          <w:szCs w:val="24"/>
        </w:rPr>
        <w:t xml:space="preserve">Ae. albopictus R₀ optimumu yaklaşık 26,5–27,0°C civarındadır. SSP5-8.5 altında Fethiye'nin yaz sıcaklıkları (özellikle Temmuz-Ağustos) bu optimumun belirgin şekilde üzerine çıkmakta, ısırma hızını (a(T)) düşürmekte ve vektör mortalite hızını (μ</w:t>
      </w:r>
      <w:r>
        <w:rPr>
          <w:rFonts w:ascii="Times New Roman" w:cs="Times New Roman" w:eastAsia="Times New Roman" w:hAnsi="Times New Roman"/>
          <w:sz w:val="24"/>
          <w:szCs w:val="24"/>
          <w:vertAlign w:val="subscript"/>
        </w:rPr>
        <w:t xml:space="preserve">v</w:t>
      </w:r>
      <w:r>
        <w:rPr>
          <w:rFonts w:ascii="Times New Roman" w:cs="Times New Roman" w:eastAsia="Times New Roman" w:hAnsi="Times New Roman"/>
          <w:sz w:val="24"/>
          <w:szCs w:val="24"/>
        </w:rPr>
        <w:t xml:space="preserve">) artırmaktadır. Brière eğrisinin tek tepeli (unimodal) yapısı, optimum sonrası sıcaklıklarda vektörel kapasitenin hızla düştüğünü göstermektedir.</w:t>
      </w:r>
    </w:p>
    <w:p>
      <w:pPr>
        <w:spacing w:after="120" w:before="120" w:line="360"/>
        <w:ind w:firstLine="720"/>
        <w:jc w:val="both"/>
      </w:pPr>
      <w:r>
        <w:rPr>
          <w:rFonts w:ascii="Times New Roman" w:cs="Times New Roman" w:eastAsia="Times New Roman" w:hAnsi="Times New Roman"/>
          <w:b/>
          <w:bCs/>
          <w:sz w:val="24"/>
          <w:szCs w:val="24"/>
        </w:rPr>
        <w:t xml:space="preserve">İkinci mekanizma: VPD/nem etkisi. </w:t>
      </w:r>
      <w:r>
        <w:rPr>
          <w:rFonts w:ascii="Times New Roman" w:cs="Times New Roman" w:eastAsia="Times New Roman" w:hAnsi="Times New Roman"/>
          <w:sz w:val="24"/>
          <w:szCs w:val="24"/>
        </w:rPr>
        <w:t xml:space="preserve">Fethiye'nin yaz bağıl nemi %33–44 arasında son derece düşüktür. Bu koşullar buhar basıncı açığını (VPD) artırarak vektör mortalitesini yükseltmekte ve dışsal kuluçka dönemi sağkalımını (exp(−μ</w:t>
      </w:r>
      <w:r>
        <w:rPr>
          <w:rFonts w:ascii="Times New Roman" w:cs="Times New Roman" w:eastAsia="Times New Roman" w:hAnsi="Times New Roman"/>
          <w:sz w:val="24"/>
          <w:szCs w:val="24"/>
          <w:vertAlign w:val="subscript"/>
        </w:rPr>
        <w:t xml:space="preserve">v</w:t>
      </w:r>
      <w:r>
        <w:rPr>
          <w:rFonts w:ascii="Times New Roman" w:cs="Times New Roman" w:eastAsia="Times New Roman" w:hAnsi="Times New Roman"/>
          <w:sz w:val="24"/>
          <w:szCs w:val="24"/>
        </w:rPr>
        <w:t xml:space="preserve"> × EIP)) baskılamaktadır. Model sonuçlarına göre Fethiye'de m = 1 ile bile R₀ hiçbir SSP senaryosunda 1'i geçmemektedir.</w:t>
      </w:r>
    </w:p>
    <w:p>
      <w:pPr>
        <w:spacing w:after="120" w:before="120" w:line="360"/>
        <w:ind w:firstLine="720"/>
        <w:jc w:val="both"/>
      </w:pPr>
      <w:r>
        <w:rPr>
          <w:rFonts w:ascii="Times New Roman" w:cs="Times New Roman" w:eastAsia="Times New Roman" w:hAnsi="Times New Roman"/>
          <w:b/>
          <w:bCs/>
          <w:sz w:val="24"/>
          <w:szCs w:val="24"/>
        </w:rPr>
        <w:t xml:space="preserve">Üçüncü mekanizma: Gambler's ruin üstel amplifikasyonu. </w:t>
      </w:r>
      <w:r>
        <w:rPr>
          <w:rFonts w:ascii="Times New Roman" w:cs="Times New Roman" w:eastAsia="Times New Roman" w:hAnsi="Times New Roman"/>
          <w:sz w:val="24"/>
          <w:szCs w:val="24"/>
        </w:rPr>
        <w:t xml:space="preserve">R₀ &lt; 1 bölgesinde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perscript"/>
        </w:rPr>
        <w:t xml:space="preserve">τ</w:t>
      </w:r>
      <w:r>
        <w:rPr>
          <w:rFonts w:ascii="Times New Roman" w:cs="Times New Roman" w:eastAsia="Times New Roman" w:hAnsi="Times New Roman"/>
          <w:sz w:val="24"/>
          <w:szCs w:val="24"/>
        </w:rPr>
        <w:t xml:space="preserve"> (τ = 30) olarak ölçeklenmektedir. Bu üstel hassasiyet nedeniyle R₀'daki küçük düşüşler — örneğin Temmuz'da 0,49'dan 0,39'a (%21 düşüş) —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'te yaklaşık 3 büyüklük mertebesi farka dönüşmektedir. Ara mevsimlerdeki R₀ artışı bu kaybı telafi edememektedir çünkü bu ayların mutlak R₀ değerleri çok düşüktür.</w:t>
      </w:r>
    </w:p>
    <w:p>
      <w:pPr>
        <w:spacing w:after="120" w:before="120" w:line="360"/>
        <w:ind w:firstLine="720"/>
        <w:jc w:val="both"/>
      </w:pPr>
      <w:r>
        <w:rPr>
          <w:rFonts w:ascii="Times New Roman" w:cs="Times New Roman" w:eastAsia="Times New Roman" w:hAnsi="Times New Roman"/>
          <w:sz w:val="24"/>
          <w:szCs w:val="24"/>
        </w:rPr>
        <w:t xml:space="preserve">Kantitatif olarak, Fethiye'de P</w:t>
      </w:r>
      <w:r>
        <w:rPr>
          <w:rFonts w:ascii="Times New Roman" w:cs="Times New Roman" w:eastAsia="Times New Roman" w:hAnsi="Times New Roman"/>
          <w:sz w:val="24"/>
          <w:szCs w:val="24"/>
          <w:vertAlign w:val="subscript"/>
        </w:rPr>
        <w:t xml:space="preserve">ufuk</w:t>
      </w:r>
      <w:r>
        <w:rPr>
          <w:rFonts w:ascii="Times New Roman" w:cs="Times New Roman" w:eastAsia="Times New Roman" w:hAnsi="Times New Roman"/>
          <w:sz w:val="24"/>
          <w:szCs w:val="24"/>
        </w:rPr>
        <w:t xml:space="preserve"> oranı SSP5-8.5/SSP2-4.5 = 0,117 (yaklaşık 8,5 katlık düşüş), Eğirdir'de ise 0,238'dir. Bu ilçelerde SSP5-8.5 senaryosunun ithalat baskısı en yüksek olmasına (Fethiye: Λ = 1.308,9) rağmen, yerel R₀'ın termal optimumun üzerine çıkması nedeniyle yerleşme riski paradoksal olarak azalmaktadır.</w:t>
      </w:r>
    </w:p>
    <w:p>
      <w:pPr>
        <w:spacing w:after="120" w:before="120" w:line="360"/>
        <w:ind w:firstLine="720"/>
        <w:jc w:val="both"/>
      </w:pPr>
      <w:r>
        <w:rPr>
          <w:rFonts w:ascii="Times New Roman" w:cs="Times New Roman" w:eastAsia="Times New Roman" w:hAnsi="Times New Roman"/>
          <w:sz w:val="24"/>
          <w:szCs w:val="24"/>
        </w:rPr>
        <w:t xml:space="preserve">Bu termal overshoot bulgusu, küresel ölçekte Mordecai ve ark. (2019, </w:t>
      </w:r>
      <w:r>
        <w:rPr>
          <w:rFonts w:ascii="Times New Roman" w:cs="Times New Roman" w:eastAsia="Times New Roman" w:hAnsi="Times New Roman"/>
          <w:i/>
          <w:iCs/>
          <w:sz w:val="24"/>
          <w:szCs w:val="24"/>
        </w:rPr>
        <w:t xml:space="preserve">Ecology Letters</w:t>
      </w:r>
      <w:r>
        <w:rPr>
          <w:rFonts w:ascii="Times New Roman" w:cs="Times New Roman" w:eastAsia="Times New Roman" w:hAnsi="Times New Roman"/>
          <w:sz w:val="24"/>
          <w:szCs w:val="24"/>
        </w:rPr>
        <w:t xml:space="preserve">) ve Ryan ve ark. (2019, </w:t>
      </w:r>
      <w:r>
        <w:rPr>
          <w:rFonts w:ascii="Times New Roman" w:cs="Times New Roman" w:eastAsia="Times New Roman" w:hAnsi="Times New Roman"/>
          <w:i/>
          <w:iCs/>
          <w:sz w:val="24"/>
          <w:szCs w:val="24"/>
        </w:rPr>
        <w:t xml:space="preserve">PLOS Neglected Tropical Diseases</w:t>
      </w:r>
      <w:r>
        <w:rPr>
          <w:rFonts w:ascii="Times New Roman" w:cs="Times New Roman" w:eastAsia="Times New Roman" w:hAnsi="Times New Roman"/>
          <w:sz w:val="24"/>
          <w:szCs w:val="24"/>
        </w:rPr>
        <w:t xml:space="preserve">) tarafından tartışılan 'aşırı ısınmanın bulaş kapasitesini azaltması' hipotezi ile tutarlıdır ve Türkiye bağlamında ilk kez kantitatif olarak gösterilmektedir.</w:t>
      </w:r>
    </w:p>
    <w:p>
      <w:r>
        <w:br w:type="page"/>
      </w:r>
    </w:p>
    <w:p>
      <w:pPr>
        <w:pStyle w:val="Heading1"/>
        <w:spacing w:after="200" w:before="360"/>
      </w:pPr>
      <w:r>
        <w:rPr>
          <w:rFonts w:ascii="Times New Roman" w:cs="Times New Roman" w:eastAsia="Times New Roman" w:hAnsi="Times New Roman"/>
          <w:b/>
          <w:bCs/>
          <w:sz w:val="28"/>
          <w:szCs w:val="28"/>
        </w:rPr>
        <w:t xml:space="preserve">5.8. LHS–PRCC Duyarlılık Analizi</w:t>
      </w:r>
    </w:p>
    <w:p>
      <w:pPr>
        <w:spacing w:after="120" w:before="120" w:line="360"/>
        <w:ind w:firstLine="720"/>
        <w:jc w:val="both"/>
      </w:pPr>
      <w:r>
        <w:rPr>
          <w:rFonts w:ascii="Times New Roman" w:cs="Times New Roman" w:eastAsia="Times New Roman" w:hAnsi="Times New Roman"/>
          <w:sz w:val="24"/>
          <w:szCs w:val="24"/>
        </w:rPr>
        <w:t xml:space="preserve">Model çıktısı olan R₀ üzerindeki parametrik belirsizliğin kaynağını belirlemek amacıyla Latin Hiperküp Örneklemesi (LHS) ile Kısmi Rank Korelasyon Katsayısı (PRCC) duyarlılık analizi uygulanmıştır. Altı model parametresi — sivrisinek-insan oranı (m), vektörden insana bulaş olasılığı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insandan vektöre bulaş olasılığı (β</w:t>
      </w:r>
      <w:r>
        <w:rPr>
          <w:rFonts w:ascii="Times New Roman" w:cs="Times New Roman" w:eastAsia="Times New Roman" w:hAnsi="Times New Roman"/>
          <w:sz w:val="24"/>
          <w:szCs w:val="24"/>
          <w:vertAlign w:val="subscript"/>
        </w:rPr>
        <w:t xml:space="preserve">hv</w:t>
      </w:r>
      <w:r>
        <w:rPr>
          <w:rFonts w:ascii="Times New Roman" w:cs="Times New Roman" w:eastAsia="Times New Roman" w:hAnsi="Times New Roman"/>
          <w:sz w:val="24"/>
          <w:szCs w:val="24"/>
        </w:rPr>
        <w:t xml:space="preserve">), sıcaklık (T), bağıl nem (RH) ve kuluçka dönemi (IP) — 2.000 LHS tekrarı ile değerlendirilmiştir.</w:t>
      </w:r>
    </w:p>
    <w:p>
      <w:pPr>
        <w:spacing w:after="120" w:before="120" w:line="360"/>
        <w:ind w:firstLine="720"/>
        <w:jc w:val="both"/>
      </w:pPr>
      <w:r>
        <w:rPr>
          <w:rFonts w:ascii="Times New Roman" w:cs="Times New Roman" w:eastAsia="Times New Roman" w:hAnsi="Times New Roman"/>
          <w:sz w:val="24"/>
          <w:szCs w:val="24"/>
        </w:rPr>
        <w:t xml:space="preserve">Üç SSP senaryosunun tamamında tutarlı bir parametre sıralaması elde edilmiştir. Sivrisinek-insan oranı (m) en yüksek PRCC katsayısına sahiptir (SSP2-4.5: PRCC ≈ 0,674; tüm SSP'lerde 0,65–0,69 aralığında). Bu bulgu, m parametresinin R₀ hesaplamasında doğrusal çarpan olarak yer almasının doğal bir sonucudur ve vektör popülasyon yoğunluğunun yerleşme riski üzerindeki kritik rolünü teyit etmektedir.</w:t>
      </w:r>
    </w:p>
    <w:p>
      <w:pPr>
        <w:spacing w:after="120" w:before="120" w:line="360"/>
        <w:ind w:firstLine="720"/>
        <w:jc w:val="both"/>
      </w:pPr>
      <w:r>
        <w:rPr>
          <w:rFonts w:ascii="Times New Roman" w:cs="Times New Roman" w:eastAsia="Times New Roman" w:hAnsi="Times New Roman"/>
          <w:sz w:val="24"/>
          <w:szCs w:val="24"/>
        </w:rPr>
        <w:t xml:space="preserve">İkinci sırada β</w:t>
      </w:r>
      <w:r>
        <w:rPr>
          <w:rFonts w:ascii="Times New Roman" w:cs="Times New Roman" w:eastAsia="Times New Roman" w:hAnsi="Times New Roman"/>
          <w:sz w:val="24"/>
          <w:szCs w:val="24"/>
          <w:vertAlign w:val="subscript"/>
        </w:rPr>
        <w:t xml:space="preserve">hv</w:t>
      </w:r>
      <w:r>
        <w:rPr>
          <w:rFonts w:ascii="Times New Roman" w:cs="Times New Roman" w:eastAsia="Times New Roman" w:hAnsi="Times New Roman"/>
          <w:sz w:val="24"/>
          <w:szCs w:val="24"/>
        </w:rPr>
        <w:t xml:space="preserve"> (PRCC ≈ 0,55–0,58) ve sıcaklık (T) (PRCC ≈ 0,53–0,57) yer almaktadır. β</w:t>
      </w:r>
      <w:r>
        <w:rPr>
          <w:rFonts w:ascii="Times New Roman" w:cs="Times New Roman" w:eastAsia="Times New Roman" w:hAnsi="Times New Roman"/>
          <w:sz w:val="24"/>
          <w:szCs w:val="24"/>
          <w:vertAlign w:val="subscript"/>
        </w:rPr>
        <w:t xml:space="preserve">vh</w:t>
      </w:r>
      <w:r>
        <w:rPr>
          <w:rFonts w:ascii="Times New Roman" w:cs="Times New Roman" w:eastAsia="Times New Roman" w:hAnsi="Times New Roman"/>
          <w:sz w:val="24"/>
          <w:szCs w:val="24"/>
        </w:rPr>
        <w:t xml:space="preserve"> parametresinin katkısı da anlamlıdır (PRCC ≈ 0,50–0,55). Kuluçka dönemi (IP) ve bağıl nem (RH) göreceli olarak daha düşük ancak istatistiksel olarak anlamlı PRCC değerleri göstermektedir (sırasıyla ≈0,42 ve ≈0,35). Bu sıralama, Marino ve ark. (2008) tarafından önerilen LHS-PRCC metodolojisi ile tutarlı olup, vektör kontrolünün (m azaltma) risk yönetiminde birincil öncelik olması gerektiğini desteklemektedir.</w:t>
      </w:r>
    </w:p>
    <w:p>
      <w:pPr>
        <w:spacing w:after="120" w:before="120" w:line="360"/>
        <w:ind w:firstLine="720"/>
        <w:jc w:val="both"/>
      </w:pPr>
      <w:r>
        <w:rPr>
          <w:rFonts w:ascii="Times New Roman" w:cs="Times New Roman" w:eastAsia="Times New Roman" w:hAnsi="Times New Roman"/>
          <w:sz w:val="24"/>
          <w:szCs w:val="24"/>
        </w:rPr>
        <w:t xml:space="preserve">SSP senaryoları arasında PRCC sıralamasının değişmemesi, model çıktısının yapısal parametre hassasiyetinin iklim senaryosundan bağımsız olduğunu göstermektedir. Bu tutarlılık, politika önerilerinin senaryo belirsizliğinden bağımsız olarak formüle edilebileceği anlamına gelmektedir.</w:t>
      </w:r>
    </w:p>
    <w:p>
      <w:pPr>
        <w:pStyle w:val="Heading1"/>
        <w:spacing w:after="200" w:before="360"/>
      </w:pPr>
      <w:r>
        <w:rPr>
          <w:rFonts w:ascii="Times New Roman" w:cs="Times New Roman" w:eastAsia="Times New Roman" w:hAnsi="Times New Roman"/>
          <w:b/>
          <w:bCs/>
          <w:sz w:val="28"/>
          <w:szCs w:val="28"/>
        </w:rPr>
        <w:t xml:space="preserve">5.9. Mekânsal Otokorelasyon: Moran's I</w:t>
      </w:r>
    </w:p>
    <w:p>
      <w:pPr>
        <w:spacing w:after="120" w:before="120" w:line="360"/>
        <w:ind w:firstLine="720"/>
        <w:jc w:val="both"/>
      </w:pPr>
      <w:r>
        <w:rPr>
          <w:rFonts w:ascii="Times New Roman" w:cs="Times New Roman" w:eastAsia="Times New Roman" w:hAnsi="Times New Roman"/>
          <w:sz w:val="24"/>
          <w:szCs w:val="24"/>
        </w:rPr>
        <w:t xml:space="preserve">Beş sentinel ilçe arasında yerleşme riskinin mekânsal bağımlılığını değerlendirmek amacıyla Moran's I otokorelasyon testi uygulanmıştır (k = 2 en yakın komşu). SSP2-4.5 senaryosu referans alınarak iki değişken test edilmiştir: log₁₀(P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ve CSI.</w:t>
      </w:r>
    </w:p>
    <w:p>
      <w:pPr>
        <w:spacing w:after="100" w:before="200"/>
        <w:jc w:val="left"/>
      </w:pPr>
      <w:r>
        <w:rPr>
          <w:rFonts w:ascii="Times New Roman" w:cs="Times New Roman" w:eastAsia="Times New Roman" w:hAnsi="Times New Roman"/>
          <w:b/>
          <w:bCs/>
          <w:i w:val="false"/>
          <w:iCs w:val="false"/>
          <w:sz w:val="22"/>
          <w:szCs w:val="22"/>
        </w:rPr>
        <w:t xml:space="preserve">Tablo 5.7. Moran's I Mekânsal Otokorelasyon Testi (k=2, n=5) — SSP2-4.5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00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Değişken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Moran's I</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p-değeri</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Yorum</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log₁₀(P_est)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−0,5864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0,0849</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Rastgele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CSI</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−0,1515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0,6510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Rastgele</w:t>
            </w:r>
          </w:p>
        </w:tc>
      </w:tr>
    </w:tbl>
    <w:p>
      <w:pPr>
        <w:spacing w:after="120" w:before="120" w:line="360"/>
        <w:ind w:firstLine="720"/>
        <w:jc w:val="both"/>
      </w:pPr>
      <w:r>
        <w:rPr>
          <w:rFonts w:ascii="Times New Roman" w:cs="Times New Roman" w:eastAsia="Times New Roman" w:hAnsi="Times New Roman"/>
          <w:sz w:val="24"/>
          <w:szCs w:val="24"/>
        </w:rPr>
        <w:t xml:space="preserve">Her iki değişken için de Moran's I değerleri negatiftir ve p-değerleri 0,05 eşiğinin üzerindedir; dolayısıyla anlamlı mekânsal kümelenme tespit edilememiştir. Ancak bu bulgunun yorumlanmasında önemli bir sınırlılık dikkate alınmalıdır: N = 5 gözlem noktası ile mekânsal otokorelasyon testinin istatistiksel gücü çok düşüktür. Bu sonuç, kesin mekânsal bağımsızlık kanıtı olarak değil, yalnızca mevcut verilerle anlamlı mekânsal örüntü tespit edilemediği şeklinde yorumlanmalıdır.</w:t>
      </w:r>
    </w:p>
    <w:p>
      <w:pPr>
        <w:spacing w:after="120" w:before="120" w:line="360"/>
        <w:ind w:firstLine="720"/>
        <w:jc w:val="both"/>
      </w:pPr>
      <w:r>
        <w:rPr>
          <w:rFonts w:ascii="Times New Roman" w:cs="Times New Roman" w:eastAsia="Times New Roman" w:hAnsi="Times New Roman"/>
          <w:sz w:val="24"/>
          <w:szCs w:val="24"/>
        </w:rPr>
        <w:t xml:space="preserve">Moran saçılım grafiğinde Eğirdir sol-üst kadranda (düşük risk, yüksek mekânsal gecikme), Kartal ve Hopa ise sağ-alt kadranda (yüksek risk, düşük mekânsal gecikme) konumlanmaktadır. Bu dağılım, risk düzeylerinin coğrafi yakınlıktan çok yerel iklim ve ithalat baskısı koşullarınca belirlediğini desteklemektedir.</w:t>
      </w:r>
    </w:p>
    <w:p>
      <w:pPr>
        <w:pStyle w:val="Heading1"/>
        <w:spacing w:after="200" w:before="360"/>
      </w:pPr>
      <w:r>
        <w:rPr>
          <w:rFonts w:ascii="Times New Roman" w:cs="Times New Roman" w:eastAsia="Times New Roman" w:hAnsi="Times New Roman"/>
          <w:b/>
          <w:bCs/>
          <w:sz w:val="28"/>
          <w:szCs w:val="28"/>
        </w:rPr>
        <w:t xml:space="preserve">5.10. Çoklu Regresyon Analizi</w:t>
      </w:r>
    </w:p>
    <w:p>
      <w:pPr>
        <w:spacing w:after="120" w:before="120" w:line="360"/>
        <w:ind w:firstLine="720"/>
        <w:jc w:val="both"/>
      </w:pPr>
      <w:r>
        <w:rPr>
          <w:rFonts w:ascii="Times New Roman" w:cs="Times New Roman" w:eastAsia="Times New Roman" w:hAnsi="Times New Roman"/>
          <w:sz w:val="24"/>
          <w:szCs w:val="24"/>
        </w:rPr>
        <w:t xml:space="preserve">Yerleşme riskini belirleyen çevresel faktörlerin göreli katkısını nicelemek amacıyla, hiyerarşik çoklu regresyon analizi uygulanmıştır. Bağımlı değişken olarak log₁₀(P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kullanılmış, SSP2-4.5 senaryosu referans alınmıştır. Üç aşamalı model şu şekilde kurulmuştur:</w:t>
      </w:r>
    </w:p>
    <w:p>
      <w:pPr>
        <w:spacing w:after="120" w:before="120" w:line="360"/>
        <w:ind w:firstLine="720"/>
        <w:jc w:val="both"/>
      </w:pPr>
      <w:r>
        <w:rPr>
          <w:rFonts w:ascii="Times New Roman" w:cs="Times New Roman" w:eastAsia="Times New Roman" w:hAnsi="Times New Roman"/>
          <w:b/>
          <w:bCs/>
          <w:sz w:val="24"/>
          <w:szCs w:val="24"/>
        </w:rPr>
        <w:t xml:space="preserve">M1: </w:t>
      </w:r>
      <w:r>
        <w:rPr>
          <w:rFonts w:ascii="Times New Roman" w:cs="Times New Roman" w:eastAsia="Times New Roman" w:hAnsi="Times New Roman"/>
          <w:sz w:val="24"/>
          <w:szCs w:val="24"/>
        </w:rPr>
        <w:t xml:space="preserve">log₁₀(P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 ~ T + T² (sadece sıcaklık, kuadratik)</w:t>
      </w:r>
    </w:p>
    <w:p>
      <w:pPr>
        <w:spacing w:after="120" w:before="120" w:line="360"/>
        <w:ind w:firstLine="720"/>
        <w:jc w:val="both"/>
      </w:pPr>
      <w:r>
        <w:rPr>
          <w:rFonts w:ascii="Times New Roman" w:cs="Times New Roman" w:eastAsia="Times New Roman" w:hAnsi="Times New Roman"/>
          <w:b/>
          <w:bCs/>
          <w:sz w:val="24"/>
          <w:szCs w:val="24"/>
        </w:rPr>
        <w:t xml:space="preserve">M2: </w:t>
      </w:r>
      <w:r>
        <w:rPr>
          <w:rFonts w:ascii="Times New Roman" w:cs="Times New Roman" w:eastAsia="Times New Roman" w:hAnsi="Times New Roman"/>
          <w:sz w:val="24"/>
          <w:szCs w:val="24"/>
        </w:rPr>
        <w:t xml:space="preserve">M1 + RH (nem eklenmesi)</w:t>
      </w:r>
    </w:p>
    <w:p>
      <w:pPr>
        <w:spacing w:after="120" w:before="120" w:line="360"/>
        <w:ind w:firstLine="720"/>
        <w:jc w:val="both"/>
      </w:pPr>
      <w:r>
        <w:rPr>
          <w:rFonts w:ascii="Times New Roman" w:cs="Times New Roman" w:eastAsia="Times New Roman" w:hAnsi="Times New Roman"/>
          <w:b/>
          <w:bCs/>
          <w:sz w:val="24"/>
          <w:szCs w:val="24"/>
        </w:rPr>
        <w:t xml:space="preserve">M3: </w:t>
      </w:r>
      <w:r>
        <w:rPr>
          <w:rFonts w:ascii="Times New Roman" w:cs="Times New Roman" w:eastAsia="Times New Roman" w:hAnsi="Times New Roman"/>
          <w:sz w:val="24"/>
          <w:szCs w:val="24"/>
        </w:rPr>
        <w:t xml:space="preserve">M2 + log₁₀(Λ</w:t>
      </w:r>
      <w:r>
        <w:rPr>
          <w:rFonts w:ascii="Times New Roman" w:cs="Times New Roman" w:eastAsia="Times New Roman" w:hAnsi="Times New Roman"/>
          <w:sz w:val="24"/>
          <w:szCs w:val="24"/>
          <w:vertAlign w:val="subscript"/>
        </w:rPr>
        <w:t xml:space="preserve">import</w:t>
      </w:r>
      <w:r>
        <w:rPr>
          <w:rFonts w:ascii="Times New Roman" w:cs="Times New Roman" w:eastAsia="Times New Roman" w:hAnsi="Times New Roman"/>
          <w:sz w:val="24"/>
          <w:szCs w:val="24"/>
        </w:rPr>
        <w:t xml:space="preserve">+1) (ithalat baskısı eklenmesi)</w:t>
      </w:r>
    </w:p>
    <w:p>
      <w:pPr>
        <w:spacing w:after="100" w:before="200"/>
        <w:jc w:val="left"/>
      </w:pPr>
      <w:r>
        <w:rPr>
          <w:rFonts w:ascii="Times New Roman" w:cs="Times New Roman" w:eastAsia="Times New Roman" w:hAnsi="Times New Roman"/>
          <w:b/>
          <w:bCs/>
          <w:i w:val="false"/>
          <w:iCs w:val="false"/>
          <w:sz w:val="22"/>
          <w:szCs w:val="22"/>
        </w:rPr>
        <w:t xml:space="preserve">Tablo 5.8. Hiyerarşik Çoklu Regresyon Sonuçları — SSP2-4.5</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200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Model</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R²</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Düz. R²</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ΔR²</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color w:val="FFFFFF"/>
                <w:sz w:val="20"/>
                <w:szCs w:val="20"/>
              </w:rPr>
              <w:t xml:space="preserve">ANOVA p</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M1: T + T²</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0,378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0,373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M2: + RH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0,661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0,657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0,283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&lt; 2,2×10⁻¹⁶</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left"/>
            </w:pPr>
            <w:r>
              <w:rPr>
                <w:rFonts w:ascii="Times New Roman" w:cs="Times New Roman" w:eastAsia="Times New Roman" w:hAnsi="Times New Roman"/>
                <w:b w:val="false"/>
                <w:bCs w:val="false"/>
                <w:i w:val="false"/>
                <w:iCs w:val="false"/>
                <w:sz w:val="20"/>
                <w:szCs w:val="20"/>
              </w:rPr>
              <w:t xml:space="preserve">M3: + Λ_import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0,691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0,686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0,030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before="30"/>
              <w:jc w:val="center"/>
            </w:pPr>
            <w:r>
              <w:rPr>
                <w:rFonts w:ascii="Times New Roman" w:cs="Times New Roman" w:eastAsia="Times New Roman" w:hAnsi="Times New Roman"/>
                <w:b w:val="false"/>
                <w:bCs w:val="false"/>
                <w:i w:val="false"/>
                <w:iCs w:val="false"/>
                <w:sz w:val="20"/>
                <w:szCs w:val="20"/>
              </w:rPr>
              <w:t xml:space="preserve">1,46×10⁻⁶</w:t>
            </w:r>
          </w:p>
        </w:tc>
      </w:tr>
    </w:tbl>
    <w:p>
      <w:pPr>
        <w:spacing w:after="120" w:before="120" w:line="360"/>
        <w:ind w:firstLine="720"/>
        <w:jc w:val="both"/>
      </w:pPr>
      <w:r>
        <w:rPr>
          <w:rFonts w:ascii="Times New Roman" w:cs="Times New Roman" w:eastAsia="Times New Roman" w:hAnsi="Times New Roman"/>
          <w:sz w:val="24"/>
          <w:szCs w:val="24"/>
        </w:rPr>
        <w:t xml:space="preserve">Sadece sıcaklık terimleriyle oluşturulan M1 modeli, varyansın %37,8'ini açıklamaktadır. Nemin eklenmesi (M2), R²'yi %66,1'e yükselterek ilave %28,3'lük açıklayıcılık sağlamıştır (p &lt; 2,2×10</w:t>
      </w:r>
      <w:r>
        <w:rPr>
          <w:rFonts w:ascii="Times New Roman" w:cs="Times New Roman" w:eastAsia="Times New Roman" w:hAnsi="Times New Roman"/>
          <w:sz w:val="24"/>
          <w:szCs w:val="24"/>
          <w:vertAlign w:val="superscript"/>
        </w:rPr>
        <w:t xml:space="preserve">−16</w:t>
      </w:r>
      <w:r>
        <w:rPr>
          <w:rFonts w:ascii="Times New Roman" w:cs="Times New Roman" w:eastAsia="Times New Roman" w:hAnsi="Times New Roman"/>
          <w:sz w:val="24"/>
          <w:szCs w:val="24"/>
        </w:rPr>
        <w:t xml:space="preserve">). Bu bulgu, RH'nin yerleşme riskinde sıcaklığa ek olarak bağımsız ve güçlü bir belirleyici olduğunu teyit etmektedir.</w:t>
      </w:r>
    </w:p>
    <w:p>
      <w:pPr>
        <w:spacing w:after="120" w:before="120" w:line="360"/>
        <w:ind w:firstLine="720"/>
        <w:jc w:val="both"/>
      </w:pPr>
      <w:r>
        <w:rPr>
          <w:rFonts w:ascii="Times New Roman" w:cs="Times New Roman" w:eastAsia="Times New Roman" w:hAnsi="Times New Roman"/>
          <w:sz w:val="24"/>
          <w:szCs w:val="24"/>
        </w:rPr>
        <w:t xml:space="preserve">İthalat baskısının eklenmesi (M3), istatistiksel olarak anlamlı olmakla birlikte (p = 1,46×10</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artımsal R² katkısı %3,0 ile sınırlı kalmıştır. Bu durum, yerel iklim koşullarının (T ve RH) ithalat baskısından çok daha baskın olduğunu niceliksel olarak doğrulamaktadır. Tam modelde (M3), log₁₀(Λ</w:t>
      </w:r>
      <w:r>
        <w:rPr>
          <w:rFonts w:ascii="Times New Roman" w:cs="Times New Roman" w:eastAsia="Times New Roman" w:hAnsi="Times New Roman"/>
          <w:sz w:val="24"/>
          <w:szCs w:val="24"/>
          <w:vertAlign w:val="subscript"/>
        </w:rPr>
        <w:t xml:space="preserve">import</w:t>
      </w:r>
      <w:r>
        <w:rPr>
          <w:rFonts w:ascii="Times New Roman" w:cs="Times New Roman" w:eastAsia="Times New Roman" w:hAnsi="Times New Roman"/>
          <w:sz w:val="24"/>
          <w:szCs w:val="24"/>
        </w:rPr>
        <w:t xml:space="preserve">+1) katsayısı 1,680 (SE = 0,341, p &lt; 0,001) olarak tahmin edilmiştir; yani ithalat baskısındaki 10 katlık artış, P</w:t>
      </w:r>
      <w:r>
        <w:rPr>
          <w:rFonts w:ascii="Times New Roman" w:cs="Times New Roman" w:eastAsia="Times New Roman" w:hAnsi="Times New Roman"/>
          <w:sz w:val="24"/>
          <w:szCs w:val="24"/>
          <w:vertAlign w:val="subscript"/>
        </w:rPr>
        <w:t xml:space="preserve">est</w:t>
      </w:r>
      <w:r>
        <w:rPr>
          <w:rFonts w:ascii="Times New Roman" w:cs="Times New Roman" w:eastAsia="Times New Roman" w:hAnsi="Times New Roman"/>
          <w:sz w:val="24"/>
          <w:szCs w:val="24"/>
        </w:rPr>
        <w:t xml:space="preserve">'i yaklaşık 48 kat (10</w:t>
      </w:r>
      <w:r>
        <w:rPr>
          <w:rFonts w:ascii="Times New Roman" w:cs="Times New Roman" w:eastAsia="Times New Roman" w:hAnsi="Times New Roman"/>
          <w:sz w:val="24"/>
          <w:szCs w:val="24"/>
          <w:vertAlign w:val="superscript"/>
        </w:rPr>
        <w:t xml:space="preserve">1,68</w:t>
      </w:r>
      <w:r>
        <w:rPr>
          <w:rFonts w:ascii="Times New Roman" w:cs="Times New Roman" w:eastAsia="Times New Roman" w:hAnsi="Times New Roman"/>
          <w:sz w:val="24"/>
          <w:szCs w:val="24"/>
        </w:rPr>
        <w:t xml:space="preserve">) artırmaktadır.</w:t>
      </w:r>
    </w:p>
    <w:p>
      <w:pPr>
        <w:pStyle w:val="Heading2"/>
        <w:spacing w:after="160" w:before="280"/>
      </w:pPr>
      <w:r>
        <w:rPr>
          <w:rFonts w:ascii="Times New Roman" w:cs="Times New Roman" w:eastAsia="Times New Roman" w:hAnsi="Times New Roman"/>
          <w:b/>
          <w:bCs/>
          <w:sz w:val="26"/>
          <w:szCs w:val="26"/>
        </w:rPr>
        <w:t xml:space="preserve">5.10.1. Çoklu Bağlantı Kontrolü (VIF)</w:t>
      </w:r>
    </w:p>
    <w:p>
      <w:pPr>
        <w:spacing w:after="120" w:before="120" w:line="360"/>
        <w:ind w:firstLine="720"/>
        <w:jc w:val="both"/>
      </w:pPr>
      <w:r>
        <w:rPr>
          <w:rFonts w:ascii="Times New Roman" w:cs="Times New Roman" w:eastAsia="Times New Roman" w:hAnsi="Times New Roman"/>
          <w:sz w:val="24"/>
          <w:szCs w:val="24"/>
        </w:rPr>
        <w:t xml:space="preserve">M3 modelinin Varyans Şişirme Faktörü (VIF) değerleri incelendiğinde, T ve T² terimleri arasında beklenen yüksek VIF (sırasıyla 460,7 ve 472,1) gözlemlenmektedir. Bu durum, polinomial terimlerin doğasından kaynaklanan yapısal çoklu bağlantı olup katsayı tahminlerinin kararsızlığına neden olabilir; ancak modelin genel tahmin kapasitesini (R²) etkilememektedir. RH (VIF = 1,18) ve log₁₀(Λ+1) (VIF = 2,20) için çoklu bağlantı endişesi bulunmamaktadır. T² teriminin dahil edilmesi, Brière termal performans eğrisinin tek tepeli yapısını yakalamak için zorunlu olduğundan modelden çıkarılması uygun değildir.</w:t>
      </w:r>
    </w:p>
    <w:p>
      <w:pPr>
        <w:pStyle w:val="Heading1"/>
        <w:spacing w:after="200" w:before="360"/>
      </w:pPr>
      <w:r>
        <w:rPr>
          <w:rFonts w:ascii="Times New Roman" w:cs="Times New Roman" w:eastAsia="Times New Roman" w:hAnsi="Times New Roman"/>
          <w:b/>
          <w:bCs/>
          <w:sz w:val="28"/>
          <w:szCs w:val="28"/>
        </w:rPr>
        <w:t xml:space="preserve">5.11. Senaryolar Arası Sentez</w:t>
      </w:r>
    </w:p>
    <w:p>
      <w:pPr>
        <w:spacing w:after="120" w:before="120" w:line="360"/>
        <w:ind w:firstLine="720"/>
        <w:jc w:val="both"/>
      </w:pPr>
      <w:r>
        <w:rPr>
          <w:rFonts w:ascii="Times New Roman" w:cs="Times New Roman" w:eastAsia="Times New Roman" w:hAnsi="Times New Roman"/>
          <w:sz w:val="24"/>
          <w:szCs w:val="24"/>
        </w:rPr>
        <w:t xml:space="preserve">Tüm analiz bileşenlerinin senaryolar arası karşılaştırması, beş sentinel ilçe için bir risk kategorizasyonu oluşturulmasına olanak sağlamaktadır. Kartal (İstanbul), yüksek ithalat baskısı (Λ = 204–258), uzun bulaş sezonu (7,2–8,4 ay), uygun iklim koşulları (yaz RH &gt; %60) ve yüksek nüfus yoğunluğu bileşenlerinin tümünde olumsuz profil sergilemekte ve tüm senaryolarda en yüksek riski taşımaktadır.</w:t>
      </w:r>
    </w:p>
    <w:p>
      <w:pPr>
        <w:spacing w:after="120" w:before="120" w:line="360"/>
        <w:ind w:firstLine="720"/>
        <w:jc w:val="both"/>
      </w:pPr>
      <w:r>
        <w:rPr>
          <w:rFonts w:ascii="Times New Roman" w:cs="Times New Roman" w:eastAsia="Times New Roman" w:hAnsi="Times New Roman"/>
          <w:sz w:val="24"/>
          <w:szCs w:val="24"/>
        </w:rPr>
        <w:t xml:space="preserve">Hopa, nispeten düşük ithalat baskısına rağmen nemli Karadeniz ikliminin sağladığı uygun vektör yaşam koşulları ile ikinci yüksek risk ilçesidir. Fethiye ise yüksek turist trafiğine karşın düşük yaz nemi nedeniyle sınırlı yerel bulaş kapasitesi sergileyen ilginç bir vaka olarak öne çıkmaktadır.</w:t>
      </w:r>
    </w:p>
    <w:p>
      <w:pPr>
        <w:spacing w:after="120" w:before="120" w:line="360"/>
        <w:ind w:firstLine="720"/>
        <w:jc w:val="both"/>
      </w:pPr>
      <w:r>
        <w:rPr>
          <w:rFonts w:ascii="Times New Roman" w:cs="Times New Roman" w:eastAsia="Times New Roman" w:hAnsi="Times New Roman"/>
          <w:sz w:val="24"/>
          <w:szCs w:val="24"/>
        </w:rPr>
        <w:t xml:space="preserve">Senaryolar arası karşılaştırmada iki temel örüntü belirlenmiştir. İlk olarak, monoton SSP sıralaması (SSP1-2.6 &lt; SSP2-4.5 &lt; SSP5-8.5) kıyı Karadeniz (Hopa) ve Marmara (Kartal) ilçelerinde tutarlıdır. İkinci olarak, iç Akdeniz (Fethiye) ve göl bölgesi (Eğirdir) ilçelerinde termal overshoot etkisi, SSP5-8.5 senaryosunu SSP2-4.5'in altına çekmektedir. Bu iki farklı yanıt profili, iklim değişikliğine uyum stratejilerinin Türkiye'nin farklı ekolojik bölgeleri için özelleştirilmesi gerektiğini vurgulamaktadır.</w:t>
      </w:r>
    </w:p>
    <w:p>
      <w:pPr>
        <w:spacing w:after="120" w:before="120" w:line="360"/>
        <w:ind w:firstLine="720"/>
        <w:jc w:val="both"/>
      </w:pPr>
      <w:r>
        <w:rPr>
          <w:rFonts w:ascii="Times New Roman" w:cs="Times New Roman" w:eastAsia="Times New Roman" w:hAnsi="Times New Roman"/>
          <w:sz w:val="24"/>
          <w:szCs w:val="24"/>
        </w:rPr>
        <w:t xml:space="preserve">İklim değişikliği senaryoları altında Türkiye'nin dang humması yerleşme riski heterojen bir yapı sergilemektedir: İstanbul (Kartal) %27–46 aralığında anlamlı bir tehdit oluştururken, iç ve doğu bölgeleri (Eğirdir, Zonguldak) pratik olarak ihmal edilebilir düzeyde kalmaktadır. Model doğrulamasının %100 başarıyla tamamlanması, LHS–PRCC analizinin tutarlı parametre sıralaması ve termal overshoot mekanizmasının kantitatif açıklanması, bu bulguların metodolojik sağlamlığını desteklemektedir.</w:t>
      </w:r>
    </w:p>
    <w:sectPr>
      <w:headerReference w:type="default" r:id="rId7"/>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Bulgular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2026-04-02T21:11:58.007Z</dcterms:created>
  <dcterms:modified xsi:type="dcterms:W3CDTF">2026-04-02T21:11:58.008Z</dcterms:modified>
</cp:coreProperties>
</file>

<file path=docProps/custom.xml><?xml version="1.0" encoding="utf-8"?>
<Properties xmlns="http://schemas.openxmlformats.org/officeDocument/2006/custom-properties" xmlns:vt="http://schemas.openxmlformats.org/officeDocument/2006/docPropsVTypes"/>
</file>