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color w:val="1F4E79"/>
          <w:sz w:val="32"/>
          <w:szCs w:val="32"/>
        </w:rPr>
        <w:t xml:space="preserve">ELEŞTİRİ YANIT MEKTUBU</w:t>
      </w:r>
    </w:p>
    <w:p>
      <w:pPr>
        <w:spacing w:after="100"/>
        <w:jc w:val="center"/>
      </w:pPr>
      <w:r>
        <w:rPr>
          <w:rFonts w:ascii="Times New Roman" w:cs="Times New Roman" w:eastAsia="Times New Roman" w:hAnsi="Times New Roman"/>
          <w:i/>
          <w:iCs/>
          <w:sz w:val="24"/>
          <w:szCs w:val="24"/>
        </w:rPr>
        <w:t xml:space="preserve">Doktora Tezi: Aedes Kaynaklı Arbovirüs Hassasiyeti — Türkiye'de Dengue Yerleşme Riski</w:t>
      </w:r>
    </w:p>
    <w:p>
      <w:pPr>
        <w:spacing w:after="100"/>
        <w:jc w:val="center"/>
      </w:pPr>
      <w:r>
        <w:rPr>
          <w:rFonts w:ascii="Times New Roman" w:cs="Times New Roman" w:eastAsia="Times New Roman" w:hAnsi="Times New Roman"/>
          <w:sz w:val="22"/>
          <w:szCs w:val="22"/>
        </w:rPr>
        <w:t xml:space="preserve">Okan Derin — İstanbul Medipol Üniversitesi, Halk Sağlığı Anabilim Dalı</w:t>
      </w:r>
    </w:p>
    <w:p>
      <w:pPr>
        <w:spacing w:after="300"/>
        <w:jc w:val="center"/>
      </w:pPr>
      <w:r>
        <w:rPr>
          <w:rFonts w:ascii="Times New Roman" w:cs="Times New Roman" w:eastAsia="Times New Roman" w:hAnsi="Times New Roman"/>
          <w:sz w:val="22"/>
          <w:szCs w:val="22"/>
        </w:rPr>
        <w:t xml:space="preserve">Nisan 2026</w:t>
      </w:r>
    </w:p>
    <w:p>
      <w:pPr>
        <w:spacing w:after="100" w:before="200" w:line="360"/>
        <w:jc w:val="both"/>
      </w:pPr>
      <w:r>
        <w:rPr>
          <w:rFonts w:ascii="Times New Roman" w:cs="Times New Roman" w:eastAsia="Times New Roman" w:hAnsi="Times New Roman"/>
          <w:sz w:val="24"/>
          <w:szCs w:val="24"/>
        </w:rPr>
        <w:t xml:space="preserve">Sayın Hocam,
</w:t>
      </w:r>
    </w:p>
    <w:p>
      <w:pPr>
        <w:spacing w:after="100" w:before="100" w:line="360"/>
        <w:ind w:firstLine="720"/>
        <w:jc w:val="both"/>
      </w:pPr>
      <w:r>
        <w:rPr>
          <w:rFonts w:ascii="Times New Roman" w:cs="Times New Roman" w:eastAsia="Times New Roman" w:hAnsi="Times New Roman"/>
          <w:sz w:val="24"/>
          <w:szCs w:val="24"/>
        </w:rPr>
        <w:t xml:space="preserve">Tez taslağıma yönelik kapsamlı, titiz ve yapıcı değerlendirmeniz için derin teşekkürlerimi sunarım. Eleştirileriniz, çalışmanın hem metodolojik sağlamlığını hem de akademik sunumunu güçlendirmek açısından son derece değerli olmuştur. Aşağıda her bir eleştiri noktasına ilişkin yanıtlarımı, yapılan değişiklikleri ve destekleyici literatür referanslarını sunmaktayım.</w:t>
      </w:r>
    </w:p>
    <w:p>
      <w:pPr>
        <w:pStyle w:val="Heading1"/>
        <w:spacing w:after="200" w:before="360"/>
      </w:pPr>
      <w:r>
        <w:rPr>
          <w:rFonts w:ascii="Times New Roman" w:cs="Times New Roman" w:eastAsia="Times New Roman" w:hAnsi="Times New Roman"/>
          <w:b/>
          <w:bCs/>
          <w:color w:val="1F4E79"/>
          <w:sz w:val="28"/>
          <w:szCs w:val="28"/>
        </w:rPr>
        <w:t xml:space="preserve">SORU 1 — Tek Senaryo Kısıtı (SSP2-4.5)</w:t>
      </w:r>
    </w:p>
    <w:p>
      <w:pPr>
        <w:pBdr>
          <w:left w:val="single" w:color="D4A017" w:sz="12"/>
        </w:pBdr>
        <w:shd w:fill="FFF2CC" w:val="clear"/>
        <w:spacing w:after="100" w:before="200"/>
        <w:ind w:left="200" w:right="200"/>
      </w:pPr>
      <w:r>
        <w:rPr>
          <w:rFonts w:ascii="Times New Roman" w:cs="Times New Roman" w:eastAsia="Times New Roman" w:hAnsi="Times New Roman"/>
          <w:b/>
          <w:bCs/>
          <w:color w:val="8B6914"/>
          <w:sz w:val="22"/>
          <w:szCs w:val="22"/>
        </w:rPr>
        <w:t xml:space="preserve">ELEŞTİRİ: </w:t>
      </w:r>
      <w:r>
        <w:rPr>
          <w:rFonts w:ascii="Times New Roman" w:cs="Times New Roman" w:eastAsia="Times New Roman" w:hAnsi="Times New Roman"/>
          <w:i/>
          <w:iCs/>
          <w:sz w:val="22"/>
          <w:szCs w:val="22"/>
        </w:rPr>
        <w:t xml:space="preserve">Tezin başlığında 'İklim Değişikliği Senaryoları' ifadesi (çoğul) kullanılmasına rağmen model yalnızca tek senaryo (SSP2-4.5) üzerinden koşturulmuştur. En azından SSP1-2.6 ve SSP5-8.5 karşılaştırması yapılmalıydı.</w:t>
      </w:r>
    </w:p>
    <w:p>
      <w:pPr>
        <w:spacing w:after="80" w:before="160"/>
      </w:pPr>
      <w:r>
        <w:rPr>
          <w:rFonts w:ascii="Times New Roman" w:cs="Times New Roman" w:eastAsia="Times New Roman" w:hAnsi="Times New Roman"/>
          <w:b/>
          <w:bCs/>
          <w:color w:val="1F4E79"/>
          <w:sz w:val="24"/>
          <w:szCs w:val="24"/>
        </w:rPr>
        <w:t xml:space="preserve">YANIT:</w:t>
      </w:r>
    </w:p>
    <w:p>
      <w:pPr>
        <w:spacing w:after="100" w:before="100" w:line="360"/>
        <w:ind w:firstLine="720"/>
        <w:jc w:val="both"/>
      </w:pPr>
      <w:r>
        <w:rPr>
          <w:rFonts w:ascii="Times New Roman" w:cs="Times New Roman" w:eastAsia="Times New Roman" w:hAnsi="Times New Roman"/>
          <w:sz w:val="24"/>
          <w:szCs w:val="24"/>
        </w:rPr>
        <w:t xml:space="preserve">Bu eleştiri tamamen kabul edilmiştir. Öneriniz doğrultusunda tüm analizler SSP1-2.6 (düşük emisyon, ~+1,0°C), SSP2-4.5 (orta yol, ~+2,4°C) ve SSP5-8.5 (yüksek emisyon, ~+5,4°C) senaryoları için beş sentinel ilçenin tamamında yeniden yürütülmüştür. Toplam 9.180 ilçe-ay-yıl kombinasyonu (3.060 × 3 senaryo), her biri 1.000 dış MC tekrarı ile simüle edilmiştir.</w:t>
      </w:r>
    </w:p>
    <w:p>
      <w:pPr>
        <w:spacing w:after="100" w:before="100" w:line="360"/>
        <w:ind w:firstLine="720"/>
        <w:jc w:val="both"/>
      </w:pPr>
      <w:r>
        <w:rPr>
          <w:rFonts w:ascii="Times New Roman" w:cs="Times New Roman" w:eastAsia="Times New Roman" w:hAnsi="Times New Roman"/>
          <w:sz w:val="24"/>
          <w:szCs w:val="24"/>
        </w:rPr>
        <w:t xml:space="preserve">Sonuçlar, senaryolar arası önemli farklılıklar ortaya koymuştur. Kartal için 50 yıllık kümülatif risk P</w:t>
      </w:r>
      <w:r>
        <w:rPr>
          <w:rFonts w:ascii="Times New Roman" w:cs="Times New Roman" w:eastAsia="Times New Roman" w:hAnsi="Times New Roman"/>
          <w:sz w:val="24"/>
          <w:szCs w:val="24"/>
          <w:vertAlign w:val="subscript"/>
        </w:rPr>
        <w:t xml:space="preserve">ufuk</w:t>
      </w:r>
      <w:r>
        <w:rPr>
          <w:rFonts w:ascii="Times New Roman" w:cs="Times New Roman" w:eastAsia="Times New Roman" w:hAnsi="Times New Roman"/>
          <w:sz w:val="24"/>
          <w:szCs w:val="24"/>
        </w:rPr>
        <w:t xml:space="preserve"> sırasıyla %26,7 (SSP1-2.6), %33,6 (SSP2-4.5) ve %45,6 (SSP5-8.5) olarak hesaplanmıştır. Kartal, Hopa ve Zonguldak'ta beklenen monoton SSP sıralaması (SSP1-2.6 &lt; SSP2-4.5 &lt; SSP5-8.5) doğrulanırken, Fethiye ve Eğirdir'de SSP5-8.5 &lt; SSP2-4.5 şeklinde paradoksal bir ters sıralama tespit edilmiştir. Bu 'termal overshoot' bulgusu, Brière eğrisinin optimumunun aşılması + VPD etkisi + gambler's ruin üstel amplifikasyonu mekanizması ile açıklanmış olup, Mordecai ve ark. (2019, </w:t>
      </w:r>
      <w:r>
        <w:rPr>
          <w:rFonts w:ascii="Times New Roman" w:cs="Times New Roman" w:eastAsia="Times New Roman" w:hAnsi="Times New Roman"/>
          <w:i/>
          <w:iCs/>
          <w:sz w:val="24"/>
          <w:szCs w:val="24"/>
        </w:rPr>
        <w:t xml:space="preserve">Ecology Letters</w:t>
      </w:r>
      <w:r>
        <w:rPr>
          <w:rFonts w:ascii="Times New Roman" w:cs="Times New Roman" w:eastAsia="Times New Roman" w:hAnsi="Times New Roman"/>
          <w:sz w:val="24"/>
          <w:szCs w:val="24"/>
        </w:rPr>
        <w:t xml:space="preserve">) ve Ryan ve ark. (2019, </w:t>
      </w:r>
      <w:r>
        <w:rPr>
          <w:rFonts w:ascii="Times New Roman" w:cs="Times New Roman" w:eastAsia="Times New Roman" w:hAnsi="Times New Roman"/>
          <w:i/>
          <w:iCs/>
          <w:sz w:val="24"/>
          <w:szCs w:val="24"/>
        </w:rPr>
        <w:t xml:space="preserve">PLOS NTD</w:t>
      </w:r>
      <w:r>
        <w:rPr>
          <w:rFonts w:ascii="Times New Roman" w:cs="Times New Roman" w:eastAsia="Times New Roman" w:hAnsi="Times New Roman"/>
          <w:sz w:val="24"/>
          <w:szCs w:val="24"/>
        </w:rPr>
        <w:t xml:space="preserve">) ile tutarlıdır.</w:t>
      </w:r>
    </w:p>
    <w:p>
      <w:pPr>
        <w:pBdr>
          <w:left w:val="single" w:color="4CAF50" w:sz="8"/>
        </w:pBdr>
        <w:shd w:fill="E8F5E9" w:val="clear"/>
        <w:spacing w:after="80" w:before="80"/>
        <w:ind w:left="200" w:right="200"/>
      </w:pPr>
      <w:r>
        <w:rPr>
          <w:rFonts w:ascii="Times New Roman" w:cs="Times New Roman" w:eastAsia="Times New Roman" w:hAnsi="Times New Roman"/>
          <w:b/>
          <w:bCs/>
          <w:color w:val="2E7D32"/>
          <w:sz w:val="22"/>
          <w:szCs w:val="22"/>
        </w:rPr>
        <w:t xml:space="preserve">YAPILAN DEĞİŞİKLİK: </w:t>
      </w:r>
      <w:r>
        <w:rPr>
          <w:rFonts w:ascii="Times New Roman" w:cs="Times New Roman" w:eastAsia="Times New Roman" w:hAnsi="Times New Roman"/>
          <w:sz w:val="22"/>
          <w:szCs w:val="22"/>
        </w:rPr>
        <w:t xml:space="preserve">Tüm analizler üç SSP senaryosu için yeniden yürütülmüş; bulgular ve tartışma bölümlerine senaryolar arası karşılaştırmalar, Δ-risk tabloları ve termal overshoot analizi eklenmiştir. Pipeline SSP-aware hale getirilmiş, tüm scriptler DIR_PROCESSED_SSP ve DIR_OUTPUT_SSP yollarından okuma/yazma yapacak şekilde revize edilmiştir.</w:t>
      </w:r>
    </w:p>
    <w:p>
      <w:pPr>
        <w:pStyle w:val="Heading1"/>
        <w:spacing w:after="200" w:before="360"/>
      </w:pPr>
      <w:r>
        <w:rPr>
          <w:rFonts w:ascii="Times New Roman" w:cs="Times New Roman" w:eastAsia="Times New Roman" w:hAnsi="Times New Roman"/>
          <w:b/>
          <w:bCs/>
          <w:color w:val="1F4E79"/>
          <w:sz w:val="28"/>
          <w:szCs w:val="28"/>
        </w:rPr>
        <w:t xml:space="preserve">SORU 2 — 'Yerleşme' (Establishment) Kavramının Uygunluğu</w:t>
      </w:r>
    </w:p>
    <w:p>
      <w:pPr>
        <w:pBdr>
          <w:left w:val="single" w:color="D4A017" w:sz="12"/>
        </w:pBdr>
        <w:shd w:fill="FFF2CC" w:val="clear"/>
        <w:spacing w:after="100" w:before="200"/>
        <w:ind w:left="200" w:right="200"/>
      </w:pPr>
      <w:r>
        <w:rPr>
          <w:rFonts w:ascii="Times New Roman" w:cs="Times New Roman" w:eastAsia="Times New Roman" w:hAnsi="Times New Roman"/>
          <w:b/>
          <w:bCs/>
          <w:color w:val="8B6914"/>
          <w:sz w:val="22"/>
          <w:szCs w:val="22"/>
        </w:rPr>
        <w:t xml:space="preserve">ELEŞTİRİ: </w:t>
      </w:r>
      <w:r>
        <w:rPr>
          <w:rFonts w:ascii="Times New Roman" w:cs="Times New Roman" w:eastAsia="Times New Roman" w:hAnsi="Times New Roman"/>
          <w:i/>
          <w:iCs/>
          <w:sz w:val="22"/>
          <w:szCs w:val="22"/>
        </w:rPr>
        <w:t xml:space="preserve">Operasyonel 'yerleşme' tanımı (τ=30 eşiğine ulaşma) ile ekolojik endemisiteyi çağrıştıran metin kullanımı arasında epistemolojik tutarsızlık bulunmaktadır. Kavram 'otokton salgın riski' olarak düzeltilmelidir.</w:t>
      </w:r>
    </w:p>
    <w:p>
      <w:pPr>
        <w:spacing w:after="80" w:before="160"/>
      </w:pPr>
      <w:r>
        <w:rPr>
          <w:rFonts w:ascii="Times New Roman" w:cs="Times New Roman" w:eastAsia="Times New Roman" w:hAnsi="Times New Roman"/>
          <w:b/>
          <w:bCs/>
          <w:color w:val="1F4E79"/>
          <w:sz w:val="24"/>
          <w:szCs w:val="24"/>
        </w:rPr>
        <w:t xml:space="preserve">YANIT:</w:t>
      </w:r>
    </w:p>
    <w:p>
      <w:pPr>
        <w:spacing w:after="100" w:before="100" w:line="360"/>
        <w:ind w:firstLine="720"/>
        <w:jc w:val="both"/>
      </w:pPr>
      <w:r>
        <w:rPr>
          <w:rFonts w:ascii="Times New Roman" w:cs="Times New Roman" w:eastAsia="Times New Roman" w:hAnsi="Times New Roman"/>
          <w:sz w:val="24"/>
          <w:szCs w:val="24"/>
        </w:rPr>
        <w:t xml:space="preserve">Bu eleştiri kabul edilmiştir. Eleştiride vurgulanan ayrım — operasyonel eşik tanımı ile ekolojik endemisitenin farklı kavramlar olduğu — metodolojik açıdan doğrudur. Modelimiz tek sezonluk bir kıvılcım fazı (spark phase) süreci olup, kış aylarında λ</w:t>
      </w:r>
      <w:r>
        <w:rPr>
          <w:rFonts w:ascii="Times New Roman" w:cs="Times New Roman" w:eastAsia="Times New Roman" w:hAnsi="Times New Roman"/>
          <w:sz w:val="24"/>
          <w:szCs w:val="24"/>
          <w:vertAlign w:val="subscript"/>
        </w:rPr>
        <w:t xml:space="preserve">local</w:t>
      </w:r>
      <w:r>
        <w:rPr>
          <w:rFonts w:ascii="Times New Roman" w:cs="Times New Roman" w:eastAsia="Times New Roman" w:hAnsi="Times New Roman"/>
          <w:sz w:val="24"/>
          <w:szCs w:val="24"/>
        </w:rPr>
        <w:t xml:space="preserve"> = 0 olduğundan ardışık sezonlar arası devamlılık kurulamamaktadır. Dolayısıyla τ = 30 eşiğine ulaşma, ekolojik yerleşme değil, 'otokton salgın kümelenmesi' anlamı taşımaktadır.</w:t>
      </w:r>
    </w:p>
    <w:p>
      <w:pPr>
        <w:spacing w:after="100" w:before="100" w:line="360"/>
        <w:ind w:firstLine="720"/>
        <w:jc w:val="both"/>
      </w:pPr>
      <w:r>
        <w:rPr>
          <w:rFonts w:ascii="Times New Roman" w:cs="Times New Roman" w:eastAsia="Times New Roman" w:hAnsi="Times New Roman"/>
          <w:sz w:val="24"/>
          <w:szCs w:val="24"/>
        </w:rPr>
        <w:t xml:space="preserve">Terminolojik düzeltmeler şu şekilde yapılmıştır: (i) Metin genelinde 'yerleşme (establishment)' ifadesi, 'otokton salgın riski (autochthonous outbreak risk)' olarak sistematik biçimde değiştirilmiştir. (ii) 'Yerleşme potansiyeli' ifadesi yalnızca operasyonel tanımın açıkça verildiği metodoloji kısmında korunmuştur. (iii) '%100 yerleşme kesinliği' gibi ifadeler kaldırılmış; 'koşullu olasılık' vurgusu yapılmıştır.</w:t>
      </w:r>
    </w:p>
    <w:p>
      <w:pPr>
        <w:spacing w:after="100" w:before="100" w:line="360"/>
        <w:ind w:firstLine="720"/>
        <w:jc w:val="both"/>
      </w:pPr>
      <w:r>
        <w:rPr>
          <w:rFonts w:ascii="Times New Roman" w:cs="Times New Roman" w:eastAsia="Times New Roman" w:hAnsi="Times New Roman"/>
          <w:sz w:val="24"/>
          <w:szCs w:val="24"/>
        </w:rPr>
        <w:t xml:space="preserve">Ek olarak, Ae. albopictus'un transovaryal bulaş kapasitesi (dikey bulaş) genel bilgiler kısmına eklenmiştir. Vega-Rúa ve ark. (2020) Tunus'ta Ae. albopictus'un DENV için %8,3 bulaş etkinliği bildirirken, An Updated Review (Insects, 2021) çalışması larvalarda MIR = 14,04 ile anlamlı vertikal bulaş göstermiştir. Bu bilgi, virüsün potansiyel olarak bir sonraki sezona taşınabilirliği bağlamında tartışılmıştır.</w:t>
      </w:r>
    </w:p>
    <w:p>
      <w:pPr>
        <w:pBdr>
          <w:left w:val="single" w:color="4CAF50" w:sz="8"/>
        </w:pBdr>
        <w:shd w:fill="E8F5E9" w:val="clear"/>
        <w:spacing w:after="80" w:before="80"/>
        <w:ind w:left="200" w:right="200"/>
      </w:pPr>
      <w:r>
        <w:rPr>
          <w:rFonts w:ascii="Times New Roman" w:cs="Times New Roman" w:eastAsia="Times New Roman" w:hAnsi="Times New Roman"/>
          <w:b/>
          <w:bCs/>
          <w:color w:val="2E7D32"/>
          <w:sz w:val="22"/>
          <w:szCs w:val="22"/>
        </w:rPr>
        <w:t xml:space="preserve">YAPILAN DEĞİŞİKLİK: </w:t>
      </w:r>
      <w:r>
        <w:rPr>
          <w:rFonts w:ascii="Times New Roman" w:cs="Times New Roman" w:eastAsia="Times New Roman" w:hAnsi="Times New Roman"/>
          <w:sz w:val="22"/>
          <w:szCs w:val="22"/>
        </w:rPr>
        <w:t xml:space="preserve">Tez genelinde terminolojik düzeltme yapılmış; 'otokton salgın riski' ifadesi standartlaştırılmıştır. Transovaryal bulaş bilgisi genel bilgiler kısmına eklenmiştir.</w:t>
      </w:r>
    </w:p>
    <w:p>
      <w:pPr>
        <w:pStyle w:val="Heading1"/>
        <w:spacing w:after="200" w:before="360"/>
      </w:pPr>
      <w:r>
        <w:rPr>
          <w:rFonts w:ascii="Times New Roman" w:cs="Times New Roman" w:eastAsia="Times New Roman" w:hAnsi="Times New Roman"/>
          <w:b/>
          <w:bCs/>
          <w:color w:val="1F4E79"/>
          <w:sz w:val="28"/>
          <w:szCs w:val="28"/>
        </w:rPr>
        <w:t xml:space="preserve">SORU 3 — Bernoulli Bağımsızlık Varsayımının İhlali</w:t>
      </w:r>
    </w:p>
    <w:p>
      <w:pPr>
        <w:pBdr>
          <w:left w:val="single" w:color="D4A017" w:sz="12"/>
        </w:pBdr>
        <w:shd w:fill="FFF2CC" w:val="clear"/>
        <w:spacing w:after="100" w:before="200"/>
        <w:ind w:left="200" w:right="200"/>
      </w:pPr>
      <w:r>
        <w:rPr>
          <w:rFonts w:ascii="Times New Roman" w:cs="Times New Roman" w:eastAsia="Times New Roman" w:hAnsi="Times New Roman"/>
          <w:b/>
          <w:bCs/>
          <w:color w:val="8B6914"/>
          <w:sz w:val="22"/>
          <w:szCs w:val="22"/>
        </w:rPr>
        <w:t xml:space="preserve">ELEŞTİRİ: </w:t>
      </w:r>
      <w:r>
        <w:rPr>
          <w:rFonts w:ascii="Times New Roman" w:cs="Times New Roman" w:eastAsia="Times New Roman" w:hAnsi="Times New Roman"/>
          <w:i/>
          <w:iCs/>
          <w:sz w:val="22"/>
          <w:szCs w:val="22"/>
        </w:rPr>
        <w:t xml:space="preserve">Aylık riskin Bernoulli birleşimi (p_year = 1 − ∏(1−p_i)) yalnızca p &lt; 0.05 nadir olay limitinde geçerlidir. Kartal'da bu varsayım ihlal edilmektedir. Poisson Hazard formülasyonu ile düzeltme yapılmalıdır.</w:t>
      </w:r>
    </w:p>
    <w:p>
      <w:pPr>
        <w:spacing w:after="80" w:before="160"/>
      </w:pPr>
      <w:r>
        <w:rPr>
          <w:rFonts w:ascii="Times New Roman" w:cs="Times New Roman" w:eastAsia="Times New Roman" w:hAnsi="Times New Roman"/>
          <w:b/>
          <w:bCs/>
          <w:color w:val="1F4E79"/>
          <w:sz w:val="24"/>
          <w:szCs w:val="24"/>
        </w:rPr>
        <w:t xml:space="preserve">YANIT:</w:t>
      </w:r>
    </w:p>
    <w:p>
      <w:pPr>
        <w:spacing w:after="100" w:before="100" w:line="360"/>
        <w:ind w:firstLine="720"/>
        <w:jc w:val="both"/>
      </w:pPr>
      <w:r>
        <w:rPr>
          <w:rFonts w:ascii="Times New Roman" w:cs="Times New Roman" w:eastAsia="Times New Roman" w:hAnsi="Times New Roman"/>
          <w:sz w:val="24"/>
          <w:szCs w:val="24"/>
        </w:rPr>
        <w:t xml:space="preserve">Bu eleştiri kabul edilmiştir. Bernoulli bağımsız birleşim varsayımı, aylık P</w:t>
      </w:r>
      <w:r>
        <w:rPr>
          <w:rFonts w:ascii="Times New Roman" w:cs="Times New Roman" w:eastAsia="Times New Roman" w:hAnsi="Times New Roman"/>
          <w:sz w:val="24"/>
          <w:szCs w:val="24"/>
          <w:vertAlign w:val="subscript"/>
        </w:rPr>
        <w:t xml:space="preserve">est</w:t>
      </w:r>
      <w:r>
        <w:rPr>
          <w:rFonts w:ascii="Times New Roman" w:cs="Times New Roman" w:eastAsia="Times New Roman" w:hAnsi="Times New Roman"/>
          <w:sz w:val="24"/>
          <w:szCs w:val="24"/>
        </w:rPr>
        <w:t xml:space="preserve"> değerlerinin küçük olduğu nadir olay koşulunda geçerlidir. Kartal ilçesinde yaz aylarında P</w:t>
      </w:r>
      <w:r>
        <w:rPr>
          <w:rFonts w:ascii="Times New Roman" w:cs="Times New Roman" w:eastAsia="Times New Roman" w:hAnsi="Times New Roman"/>
          <w:sz w:val="24"/>
          <w:szCs w:val="24"/>
          <w:vertAlign w:val="subscript"/>
        </w:rPr>
        <w:t xml:space="preserve">est</w:t>
      </w:r>
      <w:r>
        <w:rPr>
          <w:rFonts w:ascii="Times New Roman" w:cs="Times New Roman" w:eastAsia="Times New Roman" w:hAnsi="Times New Roman"/>
          <w:sz w:val="24"/>
          <w:szCs w:val="24"/>
        </w:rPr>
        <w:t xml:space="preserve"> &gt; 0,05 eşiğini aşan aylar bulunmakta ve bu durumda Bernoulli yaklaşımı sistematik olarak yukarı yönlü sapma üretmektedir.</w:t>
      </w:r>
    </w:p>
    <w:p>
      <w:pPr>
        <w:spacing w:after="100" w:before="100" w:line="360"/>
        <w:ind w:firstLine="720"/>
        <w:jc w:val="both"/>
      </w:pPr>
      <w:r>
        <w:rPr>
          <w:rFonts w:ascii="Times New Roman" w:cs="Times New Roman" w:eastAsia="Times New Roman" w:hAnsi="Times New Roman"/>
          <w:sz w:val="24"/>
          <w:szCs w:val="24"/>
        </w:rPr>
        <w:t xml:space="preserve">Eleştiriniz doğrultusunda iki düzeltme yapılmıştır:</w:t>
      </w:r>
    </w:p>
    <w:p>
      <w:pPr>
        <w:spacing w:after="100" w:before="100" w:line="360"/>
        <w:jc w:val="both"/>
      </w:pPr>
      <w:r>
        <w:rPr>
          <w:rFonts w:ascii="Times New Roman" w:cs="Times New Roman" w:eastAsia="Times New Roman" w:hAnsi="Times New Roman"/>
          <w:b/>
          <w:bCs/>
          <w:sz w:val="24"/>
          <w:szCs w:val="24"/>
        </w:rPr>
        <w:t xml:space="preserve">(1) Kavramsal yeniden çerçeveleme: </w:t>
      </w:r>
      <w:r>
        <w:rPr>
          <w:rFonts w:ascii="Times New Roman" w:cs="Times New Roman" w:eastAsia="Times New Roman" w:hAnsi="Times New Roman"/>
          <w:sz w:val="24"/>
          <w:szCs w:val="24"/>
        </w:rPr>
        <w:t xml:space="preserve">Bernoulli agregasyonu artık 'yapısal üst sınır (structural upper bound)' olarak etiketlenmiştir. Bu, gerçek kümülatif riskin Bernoulli tahminini aşamayacağı anlamına gelir ve bir 'en kötü senaryo' tahmini olarak yorumlanmalıdır.</w:t>
      </w:r>
    </w:p>
    <w:p>
      <w:pPr>
        <w:spacing w:after="100" w:before="100" w:line="360"/>
        <w:jc w:val="both"/>
      </w:pPr>
      <w:r>
        <w:rPr>
          <w:rFonts w:ascii="Times New Roman" w:cs="Times New Roman" w:eastAsia="Times New Roman" w:hAnsi="Times New Roman"/>
          <w:b/>
          <w:bCs/>
          <w:sz w:val="24"/>
          <w:szCs w:val="24"/>
        </w:rPr>
        <w:t xml:space="preserve">(2) Poisson hazard düzeltmesi: </w:t>
      </w:r>
      <w:r>
        <w:rPr>
          <w:rFonts w:ascii="Times New Roman" w:cs="Times New Roman" w:eastAsia="Times New Roman" w:hAnsi="Times New Roman"/>
          <w:sz w:val="24"/>
          <w:szCs w:val="24"/>
        </w:rPr>
        <w:t xml:space="preserve">Tüm ilçeler için Poisson sürekli-zamanlı hazard integrali (p</w:t>
      </w:r>
      <w:r>
        <w:rPr>
          <w:rFonts w:ascii="Times New Roman" w:cs="Times New Roman" w:eastAsia="Times New Roman" w:hAnsi="Times New Roman"/>
          <w:sz w:val="24"/>
          <w:szCs w:val="24"/>
          <w:vertAlign w:val="subscript"/>
        </w:rPr>
        <w:t xml:space="preserve">year</w:t>
      </w:r>
      <w:r>
        <w:rPr>
          <w:rFonts w:ascii="Times New Roman" w:cs="Times New Roman" w:eastAsia="Times New Roman" w:hAnsi="Times New Roman"/>
          <w:sz w:val="24"/>
          <w:szCs w:val="24"/>
        </w:rPr>
        <w:t xml:space="preserve"> = 1 − exp(−Σλ</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ile düzeltilmiş tahminler hesaplanmış ve Bernoulli sonuçlarıyla karşılaştırmalı olarak sunulmuştur. Beklenen şekilde, düşük riskli ilçelerde (Eğirdir, Zonguldak, Fethiye) iki yaklaşım pratik olarak özdeş sonuçlar üretirken, Kartal'da Poisson tahmini Bernoulli'nin altında kalmaktadır. Her iki tahmin bulgular bölümünde birlikte raporlanmaktadır.</w:t>
      </w:r>
    </w:p>
    <w:p>
      <w:pPr>
        <w:pBdr>
          <w:left w:val="single" w:color="4CAF50" w:sz="8"/>
        </w:pBdr>
        <w:shd w:fill="E8F5E9" w:val="clear"/>
        <w:spacing w:after="80" w:before="80"/>
        <w:ind w:left="200" w:right="200"/>
      </w:pPr>
      <w:r>
        <w:rPr>
          <w:rFonts w:ascii="Times New Roman" w:cs="Times New Roman" w:eastAsia="Times New Roman" w:hAnsi="Times New Roman"/>
          <w:b/>
          <w:bCs/>
          <w:color w:val="2E7D32"/>
          <w:sz w:val="22"/>
          <w:szCs w:val="22"/>
        </w:rPr>
        <w:t xml:space="preserve">YAPILAN DEĞİŞİKLİK: </w:t>
      </w:r>
      <w:r>
        <w:rPr>
          <w:rFonts w:ascii="Times New Roman" w:cs="Times New Roman" w:eastAsia="Times New Roman" w:hAnsi="Times New Roman"/>
          <w:sz w:val="22"/>
          <w:szCs w:val="22"/>
        </w:rPr>
        <w:t xml:space="preserve">Bernoulli yaklaşımı 'yapısal üst sınır' olarak yeniden etiketlenmiş; Poisson hazard düzeltmesi tüm ilçeler için hesaplanarak karşılaştırmalı tablo eklenmiştir.</w:t>
      </w:r>
    </w:p>
    <w:p>
      <w:pPr>
        <w:pStyle w:val="Heading1"/>
        <w:spacing w:after="200" w:before="360"/>
      </w:pPr>
      <w:r>
        <w:rPr>
          <w:rFonts w:ascii="Times New Roman" w:cs="Times New Roman" w:eastAsia="Times New Roman" w:hAnsi="Times New Roman"/>
          <w:b/>
          <w:bCs/>
          <w:color w:val="1F4E79"/>
          <w:sz w:val="28"/>
          <w:szCs w:val="28"/>
        </w:rPr>
        <w:t xml:space="preserve">SORU 4 — m Parametresinin Bilinmezliği ve Risk Yorumu</w:t>
      </w:r>
    </w:p>
    <w:p>
      <w:pPr>
        <w:pBdr>
          <w:left w:val="single" w:color="D4A017" w:sz="12"/>
        </w:pBdr>
        <w:shd w:fill="FFF2CC" w:val="clear"/>
        <w:spacing w:after="100" w:before="200"/>
        <w:ind w:left="200" w:right="200"/>
      </w:pPr>
      <w:r>
        <w:rPr>
          <w:rFonts w:ascii="Times New Roman" w:cs="Times New Roman" w:eastAsia="Times New Roman" w:hAnsi="Times New Roman"/>
          <w:b/>
          <w:bCs/>
          <w:color w:val="8B6914"/>
          <w:sz w:val="22"/>
          <w:szCs w:val="22"/>
        </w:rPr>
        <w:t xml:space="preserve">ELEŞTİRİ: </w:t>
      </w:r>
      <w:r>
        <w:rPr>
          <w:rFonts w:ascii="Times New Roman" w:cs="Times New Roman" w:eastAsia="Times New Roman" w:hAnsi="Times New Roman"/>
          <w:i/>
          <w:iCs/>
          <w:sz w:val="22"/>
          <w:szCs w:val="22"/>
        </w:rPr>
        <w:t xml:space="preserve">m=1.0 ile hesaplanan Kartal riski 'kesin' görünürken, m=0.50'de risk ihmal edilebilir düzeye inmektedir. m=1.0 sonuçları 'üst sınır tahmini' olarak etiketlenmeli; 'kesin salgın' ifadesi düzeltilmelidir.</w:t>
      </w:r>
    </w:p>
    <w:p>
      <w:pPr>
        <w:spacing w:after="80" w:before="160"/>
      </w:pPr>
      <w:r>
        <w:rPr>
          <w:rFonts w:ascii="Times New Roman" w:cs="Times New Roman" w:eastAsia="Times New Roman" w:hAnsi="Times New Roman"/>
          <w:b/>
          <w:bCs/>
          <w:color w:val="1F4E79"/>
          <w:sz w:val="24"/>
          <w:szCs w:val="24"/>
        </w:rPr>
        <w:t xml:space="preserve">YANIT:</w:t>
      </w:r>
    </w:p>
    <w:p>
      <w:pPr>
        <w:spacing w:after="100" w:before="100" w:line="360"/>
        <w:ind w:firstLine="720"/>
        <w:jc w:val="both"/>
      </w:pPr>
      <w:r>
        <w:rPr>
          <w:rFonts w:ascii="Times New Roman" w:cs="Times New Roman" w:eastAsia="Times New Roman" w:hAnsi="Times New Roman"/>
          <w:sz w:val="24"/>
          <w:szCs w:val="24"/>
        </w:rPr>
        <w:t xml:space="preserve">Bu eleştiri tamamen kabul edilmiştir. LHS-PRCC analizimizin de teyit ettiği üzere, m parametresi modelin en baskın belirsizlik kaynağıdır (PRCC ≈ 0,674). Ross-Macdonald m = 1,0 standardı teorik bir referans noktası olup, Türkiye'de Ae. albopictus için ampirik vektör yoğunluğu verisi bulunmamaktadır.</w:t>
      </w:r>
    </w:p>
    <w:p>
      <w:pPr>
        <w:spacing w:after="100" w:before="100" w:line="360"/>
        <w:ind w:firstLine="720"/>
        <w:jc w:val="both"/>
      </w:pPr>
      <w:r>
        <w:rPr>
          <w:rFonts w:ascii="Times New Roman" w:cs="Times New Roman" w:eastAsia="Times New Roman" w:hAnsi="Times New Roman"/>
          <w:sz w:val="24"/>
          <w:szCs w:val="24"/>
        </w:rPr>
        <w:t xml:space="preserve">Yapılan düzeltmeler: (i) m = 1,0 sonuçları artık 'referans senaryo' yerine 'üst sınır tahmini (upper-bound estimate)' olarak etiketlenmiştir. (ii) 'Kesin salgın' ibaresi tez genelinden kaldırılmış; tüm risk ifadeleri 'koşullu olasılık (m = 1,0 varsayımı altında)' vurgusuyla sunulmuştur. (iii) Beş farklı m senaryosuyla (0,50; 0,80; 1,00; 1,20; 2,00) gerçekleştirilen OAT duyarlılık analizi sonuçları, bulgular bölümünde tornado diyagramı ile birlikte verilmiştir.</w:t>
      </w:r>
    </w:p>
    <w:p>
      <w:pPr>
        <w:spacing w:after="100" w:before="100" w:line="360"/>
        <w:ind w:firstLine="720"/>
        <w:jc w:val="both"/>
      </w:pPr>
      <w:r>
        <w:rPr>
          <w:rFonts w:ascii="Times New Roman" w:cs="Times New Roman" w:eastAsia="Times New Roman" w:hAnsi="Times New Roman"/>
          <w:sz w:val="24"/>
          <w:szCs w:val="24"/>
        </w:rPr>
        <w:t xml:space="preserve">Politika önerileri, m belirsizliği marjı dikkate alınarak ihtiyatlı bir dille yeniden formüle edilmiştir. Kartal için m = 0,50 (Avrupa Ae. albopictus alt sınırı) senaryosunda 50 yıllık kümülatif riskin 1,455×10</w:t>
      </w:r>
      <w:r>
        <w:rPr>
          <w:rFonts w:ascii="Times New Roman" w:cs="Times New Roman" w:eastAsia="Times New Roman" w:hAnsi="Times New Roman"/>
          <w:sz w:val="24"/>
          <w:szCs w:val="24"/>
          <w:vertAlign w:val="superscript"/>
        </w:rPr>
        <w:t xml:space="preserve">−5</w:t>
      </w:r>
      <w:r>
        <w:rPr>
          <w:rFonts w:ascii="Times New Roman" w:cs="Times New Roman" w:eastAsia="Times New Roman" w:hAnsi="Times New Roman"/>
          <w:sz w:val="24"/>
          <w:szCs w:val="24"/>
        </w:rPr>
        <w:t xml:space="preserve"> düzeyine düştüğü açıkça belirtilmiş ve bu aralığın (10</w:t>
      </w:r>
      <w:r>
        <w:rPr>
          <w:rFonts w:ascii="Times New Roman" w:cs="Times New Roman" w:eastAsia="Times New Roman" w:hAnsi="Times New Roman"/>
          <w:sz w:val="24"/>
          <w:szCs w:val="24"/>
          <w:vertAlign w:val="superscript"/>
        </w:rPr>
        <w:t xml:space="preserve">−5</w:t>
      </w:r>
      <w:r>
        <w:rPr>
          <w:rFonts w:ascii="Times New Roman" w:cs="Times New Roman" w:eastAsia="Times New Roman" w:hAnsi="Times New Roman"/>
          <w:sz w:val="24"/>
          <w:szCs w:val="24"/>
        </w:rPr>
        <w:t xml:space="preserve"> – 10</w:t>
      </w:r>
      <w:r>
        <w:rPr>
          <w:rFonts w:ascii="Times New Roman" w:cs="Times New Roman" w:eastAsia="Times New Roman" w:hAnsi="Times New Roman"/>
          <w:sz w:val="24"/>
          <w:szCs w:val="24"/>
          <w:vertAlign w:val="superscript"/>
        </w:rPr>
        <w:t xml:space="preserve">0</w:t>
      </w:r>
      <w:r>
        <w:rPr>
          <w:rFonts w:ascii="Times New Roman" w:cs="Times New Roman" w:eastAsia="Times New Roman" w:hAnsi="Times New Roman"/>
          <w:sz w:val="24"/>
          <w:szCs w:val="24"/>
        </w:rPr>
        <w:t xml:space="preserve">) politika belirsizlik bandı olarak sunulması sağlanmıştır.</w:t>
      </w:r>
    </w:p>
    <w:p>
      <w:pPr>
        <w:pBdr>
          <w:left w:val="single" w:color="4CAF50" w:sz="8"/>
        </w:pBdr>
        <w:shd w:fill="E8F5E9" w:val="clear"/>
        <w:spacing w:after="80" w:before="80"/>
        <w:ind w:left="200" w:right="200"/>
      </w:pPr>
      <w:r>
        <w:rPr>
          <w:rFonts w:ascii="Times New Roman" w:cs="Times New Roman" w:eastAsia="Times New Roman" w:hAnsi="Times New Roman"/>
          <w:b/>
          <w:bCs/>
          <w:color w:val="2E7D32"/>
          <w:sz w:val="22"/>
          <w:szCs w:val="22"/>
        </w:rPr>
        <w:t xml:space="preserve">YAPILAN DEĞİŞİKLİK: </w:t>
      </w:r>
      <w:r>
        <w:rPr>
          <w:rFonts w:ascii="Times New Roman" w:cs="Times New Roman" w:eastAsia="Times New Roman" w:hAnsi="Times New Roman"/>
          <w:sz w:val="22"/>
          <w:szCs w:val="22"/>
        </w:rPr>
        <w:t xml:space="preserve">m=1.0 sonuçları 'üst sınır tahmini' olarak yeniden etiketlenmiş; 'kesin salgın' ifadesi kaldırılmış; politika önerileri belirsizlik marjı ile yumuşatılmıştır.</w:t>
      </w:r>
    </w:p>
    <w:p>
      <w:r>
        <w:br w:type="page"/>
      </w:r>
    </w:p>
    <w:p>
      <w:pPr>
        <w:pStyle w:val="Heading1"/>
        <w:spacing w:after="200" w:before="360"/>
      </w:pPr>
      <w:r>
        <w:rPr>
          <w:rFonts w:ascii="Times New Roman" w:cs="Times New Roman" w:eastAsia="Times New Roman" w:hAnsi="Times New Roman"/>
          <w:b/>
          <w:bCs/>
          <w:color w:val="1F4E79"/>
          <w:sz w:val="28"/>
          <w:szCs w:val="28"/>
        </w:rPr>
        <w:t xml:space="preserve">SORU 5 — İthalat Modelindeki Sorunlar</w:t>
      </w:r>
    </w:p>
    <w:p>
      <w:pPr>
        <w:pBdr>
          <w:left w:val="single" w:color="D4A017" w:sz="12"/>
        </w:pBdr>
        <w:shd w:fill="FFF2CC" w:val="clear"/>
        <w:spacing w:after="100" w:before="200"/>
        <w:ind w:left="200" w:right="200"/>
      </w:pPr>
      <w:r>
        <w:rPr>
          <w:rFonts w:ascii="Times New Roman" w:cs="Times New Roman" w:eastAsia="Times New Roman" w:hAnsi="Times New Roman"/>
          <w:b/>
          <w:bCs/>
          <w:color w:val="8B6914"/>
          <w:sz w:val="22"/>
          <w:szCs w:val="22"/>
        </w:rPr>
        <w:t xml:space="preserve">ELEŞTİRİ: </w:t>
      </w:r>
      <w:r>
        <w:rPr>
          <w:rFonts w:ascii="Times New Roman" w:cs="Times New Roman" w:eastAsia="Times New Roman" w:hAnsi="Times New Roman"/>
          <w:i/>
          <w:iCs/>
          <w:sz w:val="22"/>
          <w:szCs w:val="22"/>
        </w:rPr>
        <w:t xml:space="preserve">(a) η ve ρ parametreleri deterministik nokta tahminler olarak sabitlenmiştir. (b) Küresel ortalama insidans kullanımı epidemiyolojik bir körlüktür; Orijin-Destinasyon matrisleri kullanılmalıdır. (c) Kartal'ın turist dağılımı coğrafi ağırlıklandırılmamıştır.</w:t>
      </w:r>
    </w:p>
    <w:p>
      <w:pPr>
        <w:spacing w:after="80" w:before="160"/>
      </w:pPr>
      <w:r>
        <w:rPr>
          <w:rFonts w:ascii="Times New Roman" w:cs="Times New Roman" w:eastAsia="Times New Roman" w:hAnsi="Times New Roman"/>
          <w:b/>
          <w:bCs/>
          <w:color w:val="1F4E79"/>
          <w:sz w:val="24"/>
          <w:szCs w:val="24"/>
        </w:rPr>
        <w:t xml:space="preserve">YANIT:</w:t>
      </w:r>
    </w:p>
    <w:p>
      <w:pPr>
        <w:spacing w:after="100" w:before="100" w:line="360"/>
        <w:ind w:firstLine="720"/>
        <w:jc w:val="both"/>
      </w:pPr>
      <w:r>
        <w:rPr>
          <w:rFonts w:ascii="Times New Roman" w:cs="Times New Roman" w:eastAsia="Times New Roman" w:hAnsi="Times New Roman"/>
          <w:b/>
          <w:bCs/>
          <w:sz w:val="24"/>
          <w:szCs w:val="24"/>
        </w:rPr>
        <w:t xml:space="preserve">(a) GBD-ağırlıklı modele geçiş ve ρ parametresinin elenmesi: </w:t>
      </w:r>
      <w:r>
        <w:rPr>
          <w:rFonts w:ascii="Times New Roman" w:cs="Times New Roman" w:eastAsia="Times New Roman" w:hAnsi="Times New Roman"/>
          <w:sz w:val="24"/>
          <w:szCs w:val="24"/>
        </w:rPr>
        <w:t xml:space="preserve">Bu eleştiri kabul edilerek ithalat modeli kökten yeniden yapılandırılmıştır. Eski yaklaşımdaki kalibrasyon tabanlı ρ (eksik bildirim düzeltme katsayısı) parametresi tamamen elenmiştir. Yeni model (v3), GBD 2023 ülke-spesifik insidans verilerini doğrudan kullanmaktadır. GBD verileri halihazırda eksik bildirim düzeltmesini bünyesinde barındırdığından (Stanaway ve ark., 2016, </w:t>
      </w:r>
      <w:r>
        <w:rPr>
          <w:rFonts w:ascii="Times New Roman" w:cs="Times New Roman" w:eastAsia="Times New Roman" w:hAnsi="Times New Roman"/>
          <w:i/>
          <w:iCs/>
          <w:sz w:val="24"/>
          <w:szCs w:val="24"/>
        </w:rPr>
        <w:t xml:space="preserve">Lancet Infect Dis</w:t>
      </w:r>
      <w:r>
        <w:rPr>
          <w:rFonts w:ascii="Times New Roman" w:cs="Times New Roman" w:eastAsia="Times New Roman" w:hAnsi="Times New Roman"/>
          <w:sz w:val="24"/>
          <w:szCs w:val="24"/>
        </w:rPr>
        <w:t xml:space="preserve">), ayrı bir ρ parametresine gerek kalmamıştır.</w:t>
      </w:r>
    </w:p>
    <w:p>
      <w:pPr>
        <w:spacing w:after="100" w:before="100" w:line="360"/>
        <w:ind w:firstLine="720"/>
        <w:jc w:val="both"/>
      </w:pPr>
      <w:r>
        <w:rPr>
          <w:rFonts w:ascii="Times New Roman" w:cs="Times New Roman" w:eastAsia="Times New Roman" w:hAnsi="Times New Roman"/>
          <w:b/>
          <w:bCs/>
          <w:sz w:val="24"/>
          <w:szCs w:val="24"/>
        </w:rPr>
        <w:t xml:space="preserve">(b) Orijin-Destinasyon matrisi: </w:t>
      </w:r>
      <w:r>
        <w:rPr>
          <w:rFonts w:ascii="Times New Roman" w:cs="Times New Roman" w:eastAsia="Times New Roman" w:hAnsi="Times New Roman"/>
          <w:sz w:val="24"/>
          <w:szCs w:val="24"/>
        </w:rPr>
        <w:t xml:space="preserve">Eleştirideki 'küresel ortalama insidans' kritiği doğrudur ve bu sorun önceki versiyonda mevcuttu. Yeni modelde Liebig ve ark. (2019, </w:t>
      </w:r>
      <w:r>
        <w:rPr>
          <w:rFonts w:ascii="Times New Roman" w:cs="Times New Roman" w:eastAsia="Times New Roman" w:hAnsi="Times New Roman"/>
          <w:i/>
          <w:iCs/>
          <w:sz w:val="24"/>
          <w:szCs w:val="24"/>
        </w:rPr>
        <w:t xml:space="preserve">PLoS ONE</w:t>
      </w:r>
      <w:r>
        <w:rPr>
          <w:rFonts w:ascii="Times New Roman" w:cs="Times New Roman" w:eastAsia="Times New Roman" w:hAnsi="Times New Roman"/>
          <w:sz w:val="24"/>
          <w:szCs w:val="24"/>
        </w:rPr>
        <w:t xml:space="preserve">) metodolojisi takip edilerek ülke-spesifik ağırlıklı ithalat olasılığı hesaplanmıştır: π</w:t>
      </w:r>
      <w:r>
        <w:rPr>
          <w:rFonts w:ascii="Times New Roman" w:cs="Times New Roman" w:eastAsia="Times New Roman" w:hAnsi="Times New Roman"/>
          <w:sz w:val="24"/>
          <w:szCs w:val="24"/>
          <w:vertAlign w:val="subscript"/>
        </w:rPr>
        <w:t xml:space="preserve">weighted</w:t>
      </w:r>
      <w:r>
        <w:rPr>
          <w:rFonts w:ascii="Times New Roman" w:cs="Times New Roman" w:eastAsia="Times New Roman" w:hAnsi="Times New Roman"/>
          <w:sz w:val="24"/>
          <w:szCs w:val="24"/>
        </w:rPr>
        <w:t xml:space="preserve">(y,m) = Σ</w:t>
      </w:r>
      <w:r>
        <w:rPr>
          <w:rFonts w:ascii="Times New Roman" w:cs="Times New Roman" w:eastAsia="Times New Roman" w:hAnsi="Times New Roman"/>
          <w:sz w:val="24"/>
          <w:szCs w:val="24"/>
          <w:vertAlign w:val="subscript"/>
        </w:rPr>
        <w:t xml:space="preserve">c</w:t>
      </w:r>
      <w:r>
        <w:rPr>
          <w:rFonts w:ascii="Times New Roman" w:cs="Times New Roman" w:eastAsia="Times New Roman" w:hAnsi="Times New Roman"/>
          <w:sz w:val="24"/>
          <w:szCs w:val="24"/>
        </w:rPr>
        <w:t xml:space="preserve">[w</w:t>
      </w:r>
      <w:r>
        <w:rPr>
          <w:rFonts w:ascii="Times New Roman" w:cs="Times New Roman" w:eastAsia="Times New Roman" w:hAnsi="Times New Roman"/>
          <w:sz w:val="24"/>
          <w:szCs w:val="24"/>
          <w:vertAlign w:val="subscript"/>
        </w:rPr>
        <w:t xml:space="preserve">c</w:t>
      </w:r>
      <w:r>
        <w:rPr>
          <w:rFonts w:ascii="Times New Roman" w:cs="Times New Roman" w:eastAsia="Times New Roman" w:hAnsi="Times New Roman"/>
          <w:sz w:val="24"/>
          <w:szCs w:val="24"/>
        </w:rPr>
        <w:t xml:space="preserve"> · (1 − exp(−γ</w:t>
      </w:r>
      <w:r>
        <w:rPr>
          <w:rFonts w:ascii="Times New Roman" w:cs="Times New Roman" w:eastAsia="Times New Roman" w:hAnsi="Times New Roman"/>
          <w:sz w:val="24"/>
          <w:szCs w:val="24"/>
          <w:vertAlign w:val="subscript"/>
        </w:rPr>
        <w:t xml:space="preserve">GBD,c</w:t>
      </w:r>
      <w:r>
        <w:rPr>
          <w:rFonts w:ascii="Times New Roman" w:cs="Times New Roman" w:eastAsia="Times New Roman" w:hAnsi="Times New Roman"/>
          <w:sz w:val="24"/>
          <w:szCs w:val="24"/>
        </w:rPr>
        <w:t xml:space="preserve"> · d/365))]. Burada w</w:t>
      </w:r>
      <w:r>
        <w:rPr>
          <w:rFonts w:ascii="Times New Roman" w:cs="Times New Roman" w:eastAsia="Times New Roman" w:hAnsi="Times New Roman"/>
          <w:sz w:val="24"/>
          <w:szCs w:val="24"/>
          <w:vertAlign w:val="subscript"/>
        </w:rPr>
        <w:t xml:space="preserve">c</w:t>
      </w:r>
      <w:r>
        <w:rPr>
          <w:rFonts w:ascii="Times New Roman" w:cs="Times New Roman" w:eastAsia="Times New Roman" w:hAnsi="Times New Roman"/>
          <w:sz w:val="24"/>
          <w:szCs w:val="24"/>
        </w:rPr>
        <w:t xml:space="preserve"> Kültür ve Turizm Bakanlığı turist varış istatistiklerinden hesaplanan ülke ağırlığı, γ</w:t>
      </w:r>
      <w:r>
        <w:rPr>
          <w:rFonts w:ascii="Times New Roman" w:cs="Times New Roman" w:eastAsia="Times New Roman" w:hAnsi="Times New Roman"/>
          <w:sz w:val="24"/>
          <w:szCs w:val="24"/>
          <w:vertAlign w:val="subscript"/>
        </w:rPr>
        <w:t xml:space="preserve">GBD,c</w:t>
      </w:r>
      <w:r>
        <w:rPr>
          <w:rFonts w:ascii="Times New Roman" w:cs="Times New Roman" w:eastAsia="Times New Roman" w:hAnsi="Times New Roman"/>
          <w:sz w:val="24"/>
          <w:szCs w:val="24"/>
        </w:rPr>
        <w:t xml:space="preserve"> ise GBD 2023 ülke-spesifik yıllık insidans oranıdır. Almanya'dan gelen turistin riski ile Güneydoğu Asya'dan gelenin riski artık farklı ağırlıklarla modele yansımaktadır.</w:t>
      </w:r>
    </w:p>
    <w:p>
      <w:pPr>
        <w:spacing w:after="100" w:before="100" w:line="360"/>
        <w:ind w:firstLine="720"/>
        <w:jc w:val="both"/>
      </w:pPr>
      <w:r>
        <w:rPr>
          <w:rFonts w:ascii="Times New Roman" w:cs="Times New Roman" w:eastAsia="Times New Roman" w:hAnsi="Times New Roman"/>
          <w:b/>
          <w:bCs/>
          <w:sz w:val="24"/>
          <w:szCs w:val="24"/>
        </w:rPr>
        <w:t xml:space="preserve">(c) İlçe bazında coğrafi ağırlıklandırma: </w:t>
      </w:r>
      <w:r>
        <w:rPr>
          <w:rFonts w:ascii="Times New Roman" w:cs="Times New Roman" w:eastAsia="Times New Roman" w:hAnsi="Times New Roman"/>
          <w:sz w:val="24"/>
          <w:szCs w:val="24"/>
        </w:rPr>
        <w:t xml:space="preserve">Kartal'ın turist dağılımı konusundaki eleştiri haklıdır. Yeni modelde ilçe bazında yabancı turist varış verisi (TÜİK 2022 ilçe düzeyinde konaklama istatistikleri — gelis_yabanci sütunu) kullanılarak V</w:t>
      </w:r>
      <w:r>
        <w:rPr>
          <w:rFonts w:ascii="Times New Roman" w:cs="Times New Roman" w:eastAsia="Times New Roman" w:hAnsi="Times New Roman"/>
          <w:sz w:val="24"/>
          <w:szCs w:val="24"/>
          <w:vertAlign w:val="subscript"/>
        </w:rPr>
        <w:t xml:space="preserve">TR</w:t>
      </w:r>
      <w:r>
        <w:rPr>
          <w:rFonts w:ascii="Times New Roman" w:cs="Times New Roman" w:eastAsia="Times New Roman" w:hAnsi="Times New Roman"/>
          <w:sz w:val="24"/>
          <w:szCs w:val="24"/>
        </w:rPr>
        <w:t xml:space="preserve"> ağırlıkları hesaplanmıştır. Eski versiyondaki nüfus × doluluk oranı vekili (proxy) terk edilmiştir. Bu düzeltme Kartal ve Zonguldak'ın ithalat baskısını 100-500 kat düşürmüştür. Mevcut sonuçlarda Kartal'ın 50 yıllık Λ</w:t>
      </w:r>
      <w:r>
        <w:rPr>
          <w:rFonts w:ascii="Times New Roman" w:cs="Times New Roman" w:eastAsia="Times New Roman" w:hAnsi="Times New Roman"/>
          <w:sz w:val="24"/>
          <w:szCs w:val="24"/>
          <w:vertAlign w:val="subscript"/>
        </w:rPr>
        <w:t xml:space="preserve">ithalat</w:t>
      </w:r>
      <w:r>
        <w:rPr>
          <w:rFonts w:ascii="Times New Roman" w:cs="Times New Roman" w:eastAsia="Times New Roman" w:hAnsi="Times New Roman"/>
          <w:sz w:val="24"/>
          <w:szCs w:val="24"/>
        </w:rPr>
        <w:t xml:space="preserve"> değeri 203–258 aralığına (senaryoya göre) düşmüş olup, eski '16.934 ithal vaka' öngörüsü geçerliliğini yitirmiştir.</w:t>
      </w:r>
    </w:p>
    <w:p>
      <w:pPr>
        <w:spacing w:after="100" w:before="100" w:line="360"/>
        <w:ind w:firstLine="720"/>
        <w:jc w:val="both"/>
      </w:pPr>
      <w:r>
        <w:rPr>
          <w:rFonts w:ascii="Times New Roman" w:cs="Times New Roman" w:eastAsia="Times New Roman" w:hAnsi="Times New Roman"/>
          <w:b/>
          <w:bCs/>
          <w:sz w:val="24"/>
          <w:szCs w:val="24"/>
        </w:rPr>
        <w:t xml:space="preserve">(d) η duyarlılık analizi: </w:t>
      </w:r>
      <w:r>
        <w:rPr>
          <w:rFonts w:ascii="Times New Roman" w:cs="Times New Roman" w:eastAsia="Times New Roman" w:hAnsi="Times New Roman"/>
          <w:sz w:val="24"/>
          <w:szCs w:val="24"/>
        </w:rPr>
        <w:t xml:space="preserve">η parametresi (viremi fraksiyonu = 0,25) hâlâ deterministik olmakla birlikte, üç düzeyde (0,15; 0,25; 0,33) duyarlılık analizi yapılmış ve sonuçlar tablolaştırılmıştır. η'nın tam stokastik (Bayesyen prior) işlenmesi gelecek çalışma olarak not edilmiştir.</w:t>
      </w:r>
    </w:p>
    <w:p>
      <w:pPr>
        <w:spacing w:after="100" w:before="100" w:line="360"/>
        <w:ind w:firstLine="720"/>
        <w:jc w:val="both"/>
      </w:pPr>
      <w:r>
        <w:rPr>
          <w:rFonts w:ascii="Times New Roman" w:cs="Times New Roman" w:eastAsia="Times New Roman" w:hAnsi="Times New Roman"/>
          <w:b/>
          <w:bCs/>
          <w:sz w:val="24"/>
          <w:szCs w:val="24"/>
        </w:rPr>
        <w:t xml:space="preserve">(e) Mevsimsel çarpan düzeltmesi: </w:t>
      </w:r>
      <w:r>
        <w:rPr>
          <w:rFonts w:ascii="Times New Roman" w:cs="Times New Roman" w:eastAsia="Times New Roman" w:hAnsi="Times New Roman"/>
          <w:sz w:val="24"/>
          <w:szCs w:val="24"/>
        </w:rPr>
        <w:t xml:space="preserve">Mevsimsel çarpan S</w:t>
      </w:r>
      <w:r>
        <w:rPr>
          <w:rFonts w:ascii="Times New Roman" w:cs="Times New Roman" w:eastAsia="Times New Roman" w:hAnsi="Times New Roman"/>
          <w:sz w:val="24"/>
          <w:szCs w:val="24"/>
          <w:vertAlign w:val="subscript"/>
        </w:rPr>
        <w:t xml:space="preserve">m</w:t>
      </w:r>
      <w:r>
        <w:rPr>
          <w:rFonts w:ascii="Times New Roman" w:cs="Times New Roman" w:eastAsia="Times New Roman" w:hAnsi="Times New Roman"/>
          <w:sz w:val="24"/>
          <w:szCs w:val="24"/>
        </w:rPr>
        <w:t xml:space="preserve">, kavramsal olarak yanlış konumda olan γ</w:t>
      </w:r>
      <w:r>
        <w:rPr>
          <w:rFonts w:ascii="Times New Roman" w:cs="Times New Roman" w:eastAsia="Times New Roman" w:hAnsi="Times New Roman"/>
          <w:sz w:val="24"/>
          <w:szCs w:val="24"/>
          <w:vertAlign w:val="subscript"/>
        </w:rPr>
        <w:t xml:space="preserve">GBD</w:t>
      </w:r>
      <w:r>
        <w:rPr>
          <w:rFonts w:ascii="Times New Roman" w:cs="Times New Roman" w:eastAsia="Times New Roman" w:hAnsi="Times New Roman"/>
          <w:sz w:val="24"/>
          <w:szCs w:val="24"/>
        </w:rPr>
        <w:t xml:space="preserve"> üzerinden V</w:t>
      </w:r>
      <w:r>
        <w:rPr>
          <w:rFonts w:ascii="Times New Roman" w:cs="Times New Roman" w:eastAsia="Times New Roman" w:hAnsi="Times New Roman"/>
          <w:sz w:val="24"/>
          <w:szCs w:val="24"/>
          <w:vertAlign w:val="subscript"/>
        </w:rPr>
        <w:t xml:space="preserve">in</w:t>
      </w:r>
      <w:r>
        <w:rPr>
          <w:rFonts w:ascii="Times New Roman" w:cs="Times New Roman" w:eastAsia="Times New Roman" w:hAnsi="Times New Roman"/>
          <w:sz w:val="24"/>
          <w:szCs w:val="24"/>
        </w:rPr>
        <w:t xml:space="preserve"> (seyahat hacmi) üzerine taşınmıştır. Kaynak: YIGM konaklama doluluk oranı yerine TÜİK/EGM aylık yolcu çıkış sayıları kullanılmıştır. Eski ×12 ölçekleme hatası giderilmiştir.</w:t>
      </w:r>
    </w:p>
    <w:p>
      <w:pPr>
        <w:pBdr>
          <w:left w:val="single" w:color="4CAF50" w:sz="8"/>
        </w:pBdr>
        <w:shd w:fill="E8F5E9" w:val="clear"/>
        <w:spacing w:after="80" w:before="80"/>
        <w:ind w:left="200" w:right="200"/>
      </w:pPr>
      <w:r>
        <w:rPr>
          <w:rFonts w:ascii="Times New Roman" w:cs="Times New Roman" w:eastAsia="Times New Roman" w:hAnsi="Times New Roman"/>
          <w:b/>
          <w:bCs/>
          <w:color w:val="2E7D32"/>
          <w:sz w:val="22"/>
          <w:szCs w:val="22"/>
        </w:rPr>
        <w:t xml:space="preserve">YAPILAN DEĞİŞİKLİK: </w:t>
      </w:r>
      <w:r>
        <w:rPr>
          <w:rFonts w:ascii="Times New Roman" w:cs="Times New Roman" w:eastAsia="Times New Roman" w:hAnsi="Times New Roman"/>
          <w:sz w:val="22"/>
          <w:szCs w:val="22"/>
        </w:rPr>
        <w:t xml:space="preserve">İthalat modeli v3'e yükseltilmiş: GBD-ağırlıklı, ülke-spesifik O-D matrisi, TÜİK ilçe düzeyinde yabancı turist verisi, S_m düzeltmesi ve η duyarlılığı eklenmiştir. ρ parametresi elenmiştir.</w:t>
      </w:r>
    </w:p>
    <w:p>
      <w:pPr>
        <w:pStyle w:val="Heading1"/>
        <w:spacing w:after="200" w:before="360"/>
      </w:pPr>
      <w:r>
        <w:rPr>
          <w:rFonts w:ascii="Times New Roman" w:cs="Times New Roman" w:eastAsia="Times New Roman" w:hAnsi="Times New Roman"/>
          <w:b/>
          <w:bCs/>
          <w:color w:val="1F4E79"/>
          <w:sz w:val="28"/>
          <w:szCs w:val="28"/>
        </w:rPr>
        <w:t xml:space="preserve">SORU 6 — Mekânsal Otokorelasyon (Moran's I)</w:t>
      </w:r>
    </w:p>
    <w:p>
      <w:pPr>
        <w:pBdr>
          <w:left w:val="single" w:color="D4A017" w:sz="12"/>
        </w:pBdr>
        <w:shd w:fill="FFF2CC" w:val="clear"/>
        <w:spacing w:after="100" w:before="200"/>
        <w:ind w:left="200" w:right="200"/>
      </w:pPr>
      <w:r>
        <w:rPr>
          <w:rFonts w:ascii="Times New Roman" w:cs="Times New Roman" w:eastAsia="Times New Roman" w:hAnsi="Times New Roman"/>
          <w:b/>
          <w:bCs/>
          <w:color w:val="8B6914"/>
          <w:sz w:val="22"/>
          <w:szCs w:val="22"/>
        </w:rPr>
        <w:t xml:space="preserve">ELEŞTİRİ: </w:t>
      </w:r>
      <w:r>
        <w:rPr>
          <w:rFonts w:ascii="Times New Roman" w:cs="Times New Roman" w:eastAsia="Times New Roman" w:hAnsi="Times New Roman"/>
          <w:i/>
          <w:iCs/>
          <w:sz w:val="22"/>
          <w:szCs w:val="22"/>
        </w:rPr>
        <w:t xml:space="preserve">N=5 ile mekânsal kümelenme testinin istatistiksel gücü neredeyse sıfırdır. 'Rastgele dağılım' yorumu Tip II hatasını göz ardı etmektedir.</w:t>
      </w:r>
    </w:p>
    <w:p>
      <w:pPr>
        <w:spacing w:after="80" w:before="160"/>
      </w:pPr>
      <w:r>
        <w:rPr>
          <w:rFonts w:ascii="Times New Roman" w:cs="Times New Roman" w:eastAsia="Times New Roman" w:hAnsi="Times New Roman"/>
          <w:b/>
          <w:bCs/>
          <w:color w:val="1F4E79"/>
          <w:sz w:val="24"/>
          <w:szCs w:val="24"/>
        </w:rPr>
        <w:t xml:space="preserve">YANIT:</w:t>
      </w:r>
    </w:p>
    <w:p>
      <w:pPr>
        <w:spacing w:after="100" w:before="100" w:line="360"/>
        <w:ind w:firstLine="720"/>
        <w:jc w:val="both"/>
      </w:pPr>
      <w:r>
        <w:rPr>
          <w:rFonts w:ascii="Times New Roman" w:cs="Times New Roman" w:eastAsia="Times New Roman" w:hAnsi="Times New Roman"/>
          <w:sz w:val="24"/>
          <w:szCs w:val="24"/>
        </w:rPr>
        <w:t xml:space="preserve">Bu eleştiri kabul edilmiştir. Moran's I sonucu artık şu şekilde yeniden yorumlanmıştır: 'N = 5 gözlem noktası ile mekânsal otokorelasyon testinin istatistiksel gücü çok düşüktür. Bu sonuç, kesin mekânsal bağımsızlık kanıtı olarak değil, yalnızca mevcut verilerle anlamlı mekânsal örüntü tespit edilemediği şeklinde yorumlanmalıdır.' Bulgular tablosuna bu uyarı notu eklenmiştir.</w:t>
      </w:r>
    </w:p>
    <w:p>
      <w:pPr>
        <w:pBdr>
          <w:left w:val="single" w:color="4CAF50" w:sz="8"/>
        </w:pBdr>
        <w:shd w:fill="E8F5E9" w:val="clear"/>
        <w:spacing w:after="80" w:before="80"/>
        <w:ind w:left="200" w:right="200"/>
      </w:pPr>
      <w:r>
        <w:rPr>
          <w:rFonts w:ascii="Times New Roman" w:cs="Times New Roman" w:eastAsia="Times New Roman" w:hAnsi="Times New Roman"/>
          <w:b/>
          <w:bCs/>
          <w:color w:val="2E7D32"/>
          <w:sz w:val="22"/>
          <w:szCs w:val="22"/>
        </w:rPr>
        <w:t xml:space="preserve">YAPILAN DEĞİŞİKLİK: </w:t>
      </w:r>
      <w:r>
        <w:rPr>
          <w:rFonts w:ascii="Times New Roman" w:cs="Times New Roman" w:eastAsia="Times New Roman" w:hAnsi="Times New Roman"/>
          <w:sz w:val="22"/>
          <w:szCs w:val="22"/>
        </w:rPr>
        <w:t xml:space="preserve">Moran's I yorumu 'testin gücü yetersiz — sonuç kesin mekânsal bağımsızlık kanıtı değildir' şeklinde düzeltilmiştir. Tablo altına açık uyarı notu eklenmiştir.</w:t>
      </w:r>
    </w:p>
    <w:p>
      <w:pPr>
        <w:pStyle w:val="Heading1"/>
        <w:spacing w:after="200" w:before="360"/>
      </w:pPr>
      <w:r>
        <w:rPr>
          <w:rFonts w:ascii="Times New Roman" w:cs="Times New Roman" w:eastAsia="Times New Roman" w:hAnsi="Times New Roman"/>
          <w:b/>
          <w:bCs/>
          <w:color w:val="1F4E79"/>
          <w:sz w:val="28"/>
          <w:szCs w:val="28"/>
        </w:rPr>
        <w:t xml:space="preserve">SORU 7 — Vektör Kontrol ve Müdahale Senaryolarının Eksikliği</w:t>
      </w:r>
    </w:p>
    <w:p>
      <w:pPr>
        <w:pBdr>
          <w:left w:val="single" w:color="D4A017" w:sz="12"/>
        </w:pBdr>
        <w:shd w:fill="FFF2CC" w:val="clear"/>
        <w:spacing w:after="100" w:before="200"/>
        <w:ind w:left="200" w:right="200"/>
      </w:pPr>
      <w:r>
        <w:rPr>
          <w:rFonts w:ascii="Times New Roman" w:cs="Times New Roman" w:eastAsia="Times New Roman" w:hAnsi="Times New Roman"/>
          <w:b/>
          <w:bCs/>
          <w:color w:val="8B6914"/>
          <w:sz w:val="22"/>
          <w:szCs w:val="22"/>
        </w:rPr>
        <w:t xml:space="preserve">ELEŞTİRİ: </w:t>
      </w:r>
      <w:r>
        <w:rPr>
          <w:rFonts w:ascii="Times New Roman" w:cs="Times New Roman" w:eastAsia="Times New Roman" w:hAnsi="Times New Roman"/>
          <w:i/>
          <w:iCs/>
          <w:sz w:val="22"/>
          <w:szCs w:val="22"/>
        </w:rPr>
        <w:t xml:space="preserve">Model, vektör kontrol müdahalelerinin risk üzerindeki etkisini hiç modellememiştir. Halk sağlığı perspektifinden en büyük pratik eksikliktir.</w:t>
      </w:r>
    </w:p>
    <w:p>
      <w:pPr>
        <w:spacing w:after="80" w:before="160"/>
      </w:pPr>
      <w:r>
        <w:rPr>
          <w:rFonts w:ascii="Times New Roman" w:cs="Times New Roman" w:eastAsia="Times New Roman" w:hAnsi="Times New Roman"/>
          <w:b/>
          <w:bCs/>
          <w:color w:val="1F4E79"/>
          <w:sz w:val="24"/>
          <w:szCs w:val="24"/>
        </w:rPr>
        <w:t xml:space="preserve">YANIT:</w:t>
      </w:r>
    </w:p>
    <w:p>
      <w:pPr>
        <w:spacing w:after="100" w:before="100" w:line="360"/>
        <w:ind w:firstLine="720"/>
        <w:jc w:val="both"/>
      </w:pPr>
      <w:r>
        <w:rPr>
          <w:rFonts w:ascii="Times New Roman" w:cs="Times New Roman" w:eastAsia="Times New Roman" w:hAnsi="Times New Roman"/>
          <w:sz w:val="24"/>
          <w:szCs w:val="24"/>
        </w:rPr>
        <w:t xml:space="preserve">Bu sınırlılık kabul edilmektedir. Model, kıvılcım fazına (spark phase) odaklanan bir erken uyarı aracı olarak tasarlanmış olup, müdahale sonrası deterministik salgın dinamiklerini (tam SIR/SEIR) kapsamına almamaktadır. Ancak m parametresi üzerinden dolaylı müdahale senaryoları mevcuttur: m = 0,50 (etkin larvasit programı), m = 0,80 (erken kolonizasyon / kısmi kontrol), m = 1,20 (yetersiz kontrol) ve m = 2,00 (kontrol başarısızlığı). Bu senaryolar OAT duyarlılık analizinde sunulmuştur.</w:t>
      </w:r>
    </w:p>
    <w:p>
      <w:pPr>
        <w:spacing w:after="100" w:before="100" w:line="360"/>
        <w:ind w:firstLine="720"/>
        <w:jc w:val="both"/>
      </w:pPr>
      <w:r>
        <w:rPr>
          <w:rFonts w:ascii="Times New Roman" w:cs="Times New Roman" w:eastAsia="Times New Roman" w:hAnsi="Times New Roman"/>
          <w:sz w:val="24"/>
          <w:szCs w:val="24"/>
        </w:rPr>
        <w:t xml:space="preserve">Tartışma bölümüne eklenen politika yorumlama tablosunda, η (giriş noktası kontrolleri — havalimanı taraması, DSÖ IHR uygulamaları) ve m (yerel vektör kontrol kapasitesi — larvasit, çevre düzenlemesi, Wolbachia) şeklinde iki farklı müdahale alanı tanımlanmıştır. Bu çerçevede model, 'hangi müdahale nerede en etkilidir' sorusuna yol gösterici bir çerçeve sunmaktadır: yüksek Λ</w:t>
      </w:r>
      <w:r>
        <w:rPr>
          <w:rFonts w:ascii="Times New Roman" w:cs="Times New Roman" w:eastAsia="Times New Roman" w:hAnsi="Times New Roman"/>
          <w:sz w:val="24"/>
          <w:szCs w:val="24"/>
          <w:vertAlign w:val="subscript"/>
        </w:rPr>
        <w:t xml:space="preserve">ithalat</w:t>
      </w:r>
      <w:r>
        <w:rPr>
          <w:rFonts w:ascii="Times New Roman" w:cs="Times New Roman" w:eastAsia="Times New Roman" w:hAnsi="Times New Roman"/>
          <w:sz w:val="24"/>
          <w:szCs w:val="24"/>
        </w:rPr>
        <w:t xml:space="preserve"> ama düşük R₀ ilçelerinde (Fethiye) η müdahaleleri, düşük Λ ama yüksek R₀ ilçelerinde (Hopa) ise m müdahaleleri önceliklidir.</w:t>
      </w:r>
    </w:p>
    <w:p>
      <w:pPr>
        <w:pBdr>
          <w:left w:val="single" w:color="4CAF50" w:sz="8"/>
        </w:pBdr>
        <w:shd w:fill="E8F5E9" w:val="clear"/>
        <w:spacing w:after="80" w:before="80"/>
        <w:ind w:left="200" w:right="200"/>
      </w:pPr>
      <w:r>
        <w:rPr>
          <w:rFonts w:ascii="Times New Roman" w:cs="Times New Roman" w:eastAsia="Times New Roman" w:hAnsi="Times New Roman"/>
          <w:b/>
          <w:bCs/>
          <w:color w:val="2E7D32"/>
          <w:sz w:val="22"/>
          <w:szCs w:val="22"/>
        </w:rPr>
        <w:t xml:space="preserve">YAPILAN DEĞİŞİKLİK: </w:t>
      </w:r>
      <w:r>
        <w:rPr>
          <w:rFonts w:ascii="Times New Roman" w:cs="Times New Roman" w:eastAsia="Times New Roman" w:hAnsi="Times New Roman"/>
          <w:sz w:val="22"/>
          <w:szCs w:val="22"/>
        </w:rPr>
        <w:t xml:space="preserve">Tartışmaya η vs m müdahale alanı ayrımı ve politika yorumlama tablosu eklenmiştir. Müdahale modellenmemesi sınırlılık olarak açıkça belirtilmiştir.</w:t>
      </w:r>
    </w:p>
    <w:p>
      <w:pPr>
        <w:pStyle w:val="Heading1"/>
        <w:spacing w:after="200" w:before="360"/>
      </w:pPr>
      <w:r>
        <w:rPr>
          <w:rFonts w:ascii="Times New Roman" w:cs="Times New Roman" w:eastAsia="Times New Roman" w:hAnsi="Times New Roman"/>
          <w:b/>
          <w:bCs/>
          <w:color w:val="1F4E79"/>
          <w:sz w:val="28"/>
          <w:szCs w:val="28"/>
        </w:rPr>
        <w:t xml:space="preserve">SORU 8 — Tür Kompetans Cezası (Species Competence Penalty)</w:t>
      </w:r>
    </w:p>
    <w:p>
      <w:pPr>
        <w:pBdr>
          <w:left w:val="single" w:color="D4A017" w:sz="12"/>
        </w:pBdr>
        <w:shd w:fill="FFF2CC" w:val="clear"/>
        <w:spacing w:after="100" w:before="200"/>
        <w:ind w:left="200" w:right="200"/>
      </w:pPr>
      <w:r>
        <w:rPr>
          <w:rFonts w:ascii="Times New Roman" w:cs="Times New Roman" w:eastAsia="Times New Roman" w:hAnsi="Times New Roman"/>
          <w:b/>
          <w:bCs/>
          <w:color w:val="8B6914"/>
          <w:sz w:val="22"/>
          <w:szCs w:val="22"/>
        </w:rPr>
        <w:t xml:space="preserve">ELEŞTİRİ: </w:t>
      </w:r>
      <w:r>
        <w:rPr>
          <w:rFonts w:ascii="Times New Roman" w:cs="Times New Roman" w:eastAsia="Times New Roman" w:hAnsi="Times New Roman"/>
          <w:i/>
          <w:iCs/>
          <w:sz w:val="22"/>
          <w:szCs w:val="22"/>
        </w:rPr>
        <w:t xml:space="preserve">Ae. albopictus'un %4,5 transmisyon verimliliğine karşın modelde β_vh her iki tür için eşit (0,30) bırakılmıştır. Kartal'ın risk sıralaması etkilenir mi?</w:t>
      </w:r>
    </w:p>
    <w:p>
      <w:pPr>
        <w:spacing w:after="80" w:before="160"/>
      </w:pPr>
      <w:r>
        <w:rPr>
          <w:rFonts w:ascii="Times New Roman" w:cs="Times New Roman" w:eastAsia="Times New Roman" w:hAnsi="Times New Roman"/>
          <w:b/>
          <w:bCs/>
          <w:color w:val="1F4E79"/>
          <w:sz w:val="24"/>
          <w:szCs w:val="24"/>
        </w:rPr>
        <w:t xml:space="preserve">YANIT:</w:t>
      </w:r>
    </w:p>
    <w:p>
      <w:pPr>
        <w:spacing w:after="100" w:before="100" w:line="360"/>
        <w:ind w:firstLine="720"/>
        <w:jc w:val="both"/>
      </w:pPr>
      <w:r>
        <w:rPr>
          <w:rFonts w:ascii="Times New Roman" w:cs="Times New Roman" w:eastAsia="Times New Roman" w:hAnsi="Times New Roman"/>
          <w:sz w:val="24"/>
          <w:szCs w:val="24"/>
        </w:rPr>
        <w:t xml:space="preserve">Bu eleştiri önemli bir noktayı vurgulamaktadır. Tez modelinde β</w:t>
      </w:r>
      <w:r>
        <w:rPr>
          <w:rFonts w:ascii="Times New Roman" w:cs="Times New Roman" w:eastAsia="Times New Roman" w:hAnsi="Times New Roman"/>
          <w:sz w:val="24"/>
          <w:szCs w:val="24"/>
          <w:vertAlign w:val="subscript"/>
        </w:rPr>
        <w:t xml:space="preserve">vh</w:t>
      </w:r>
      <w:r>
        <w:rPr>
          <w:rFonts w:ascii="Times New Roman" w:cs="Times New Roman" w:eastAsia="Times New Roman" w:hAnsi="Times New Roman"/>
          <w:sz w:val="24"/>
          <w:szCs w:val="24"/>
        </w:rPr>
        <w:t xml:space="preserve"> = 0,30 her iki tür için standart değer olarak kullanılmıştır. Ancak β</w:t>
      </w:r>
      <w:r>
        <w:rPr>
          <w:rFonts w:ascii="Times New Roman" w:cs="Times New Roman" w:eastAsia="Times New Roman" w:hAnsi="Times New Roman"/>
          <w:sz w:val="24"/>
          <w:szCs w:val="24"/>
          <w:vertAlign w:val="subscript"/>
        </w:rPr>
        <w:t xml:space="preserve">vh</w:t>
      </w:r>
      <w:r>
        <w:rPr>
          <w:rFonts w:ascii="Times New Roman" w:cs="Times New Roman" w:eastAsia="Times New Roman" w:hAnsi="Times New Roman"/>
          <w:sz w:val="24"/>
          <w:szCs w:val="24"/>
        </w:rPr>
        <w:t xml:space="preserve"> 'ısırma başına bulaş olasılığı' ile 'tükürük bezi transmisyon verimliliği (TE)' farklı kavramlardır. Laboratuvar koşullarında ölçülen %4,5 TE değeri, tam enfeksiyon döngüsünün (midgut enfeksiyonu → diseminasyon → tükürük bezi kaçışı) sonucudur ve doğrudan β</w:t>
      </w:r>
      <w:r>
        <w:rPr>
          <w:rFonts w:ascii="Times New Roman" w:cs="Times New Roman" w:eastAsia="Times New Roman" w:hAnsi="Times New Roman"/>
          <w:sz w:val="24"/>
          <w:szCs w:val="24"/>
          <w:vertAlign w:val="subscript"/>
        </w:rPr>
        <w:t xml:space="preserve">vh</w:t>
      </w:r>
      <w:r>
        <w:rPr>
          <w:rFonts w:ascii="Times New Roman" w:cs="Times New Roman" w:eastAsia="Times New Roman" w:hAnsi="Times New Roman"/>
          <w:sz w:val="24"/>
          <w:szCs w:val="24"/>
        </w:rPr>
        <w:t xml:space="preserve"> değerine eşitlenemez.</w:t>
      </w:r>
    </w:p>
    <w:p>
      <w:pPr>
        <w:spacing w:after="100" w:before="100" w:line="360"/>
        <w:ind w:firstLine="720"/>
        <w:jc w:val="both"/>
      </w:pPr>
      <w:r>
        <w:rPr>
          <w:rFonts w:ascii="Times New Roman" w:cs="Times New Roman" w:eastAsia="Times New Roman" w:hAnsi="Times New Roman"/>
          <w:sz w:val="24"/>
          <w:szCs w:val="24"/>
        </w:rPr>
        <w:t xml:space="preserve">Bununla birlikte, eleştirinin özü haklıdır: Ae. albopictus baskın ilçelerde β</w:t>
      </w:r>
      <w:r>
        <w:rPr>
          <w:rFonts w:ascii="Times New Roman" w:cs="Times New Roman" w:eastAsia="Times New Roman" w:hAnsi="Times New Roman"/>
          <w:sz w:val="24"/>
          <w:szCs w:val="24"/>
          <w:vertAlign w:val="subscript"/>
        </w:rPr>
        <w:t xml:space="preserve">vh</w:t>
      </w:r>
      <w:r>
        <w:rPr>
          <w:rFonts w:ascii="Times New Roman" w:cs="Times New Roman" w:eastAsia="Times New Roman" w:hAnsi="Times New Roman"/>
          <w:sz w:val="24"/>
          <w:szCs w:val="24"/>
        </w:rPr>
        <w:t xml:space="preserve"> değerinin düşürülmesi gerekebilir. Bu nedenle OAT duyarlılık analizinde β</w:t>
      </w:r>
      <w:r>
        <w:rPr>
          <w:rFonts w:ascii="Times New Roman" w:cs="Times New Roman" w:eastAsia="Times New Roman" w:hAnsi="Times New Roman"/>
          <w:sz w:val="24"/>
          <w:szCs w:val="24"/>
          <w:vertAlign w:val="subscript"/>
        </w:rPr>
        <w:t xml:space="preserve">vh</w:t>
      </w:r>
      <w:r>
        <w:rPr>
          <w:rFonts w:ascii="Times New Roman" w:cs="Times New Roman" w:eastAsia="Times New Roman" w:hAnsi="Times New Roman"/>
          <w:sz w:val="24"/>
          <w:szCs w:val="24"/>
        </w:rPr>
        <w:t xml:space="preserve"> = 0,24 (−%20) ve β</w:t>
      </w:r>
      <w:r>
        <w:rPr>
          <w:rFonts w:ascii="Times New Roman" w:cs="Times New Roman" w:eastAsia="Times New Roman" w:hAnsi="Times New Roman"/>
          <w:sz w:val="24"/>
          <w:szCs w:val="24"/>
          <w:vertAlign w:val="subscript"/>
        </w:rPr>
        <w:t xml:space="preserve">vh</w:t>
      </w:r>
      <w:r>
        <w:rPr>
          <w:rFonts w:ascii="Times New Roman" w:cs="Times New Roman" w:eastAsia="Times New Roman" w:hAnsi="Times New Roman"/>
          <w:sz w:val="24"/>
          <w:szCs w:val="24"/>
        </w:rPr>
        <w:t xml:space="preserve"> = 0,36 (+%20) senaryoları test edilmiştir. β</w:t>
      </w:r>
      <w:r>
        <w:rPr>
          <w:rFonts w:ascii="Times New Roman" w:cs="Times New Roman" w:eastAsia="Times New Roman" w:hAnsi="Times New Roman"/>
          <w:sz w:val="24"/>
          <w:szCs w:val="24"/>
          <w:vertAlign w:val="subscript"/>
        </w:rPr>
        <w:t xml:space="preserve">vh</w:t>
      </w:r>
      <w:r>
        <w:rPr>
          <w:rFonts w:ascii="Times New Roman" w:cs="Times New Roman" w:eastAsia="Times New Roman" w:hAnsi="Times New Roman"/>
          <w:sz w:val="24"/>
          <w:szCs w:val="24"/>
        </w:rPr>
        <w:t xml:space="preserve"> = 0,24 altında Kartal'ın riski azalmakla birlikte ilçe sıralaması değişmemektedir — Kartal hâlâ en yüksek riskli ilçedir. Bunun nedeni, Kartal'ın yüksek ithalat baskısı (Λ = 213) ve uzun bulaş sezonunun (7,4 ay) β</w:t>
      </w:r>
      <w:r>
        <w:rPr>
          <w:rFonts w:ascii="Times New Roman" w:cs="Times New Roman" w:eastAsia="Times New Roman" w:hAnsi="Times New Roman"/>
          <w:sz w:val="24"/>
          <w:szCs w:val="24"/>
          <w:vertAlign w:val="subscript"/>
        </w:rPr>
        <w:t xml:space="preserve">vh</w:t>
      </w:r>
      <w:r>
        <w:rPr>
          <w:rFonts w:ascii="Times New Roman" w:cs="Times New Roman" w:eastAsia="Times New Roman" w:hAnsi="Times New Roman"/>
          <w:sz w:val="24"/>
          <w:szCs w:val="24"/>
        </w:rPr>
        <w:t xml:space="preserve"> düşüşünü kısmen telafi etmesidir.</w:t>
      </w:r>
    </w:p>
    <w:p>
      <w:pPr>
        <w:spacing w:after="100" w:before="100" w:line="360"/>
        <w:ind w:firstLine="720"/>
        <w:jc w:val="both"/>
      </w:pPr>
      <w:r>
        <w:rPr>
          <w:rFonts w:ascii="Times New Roman" w:cs="Times New Roman" w:eastAsia="Times New Roman" w:hAnsi="Times New Roman"/>
          <w:sz w:val="24"/>
          <w:szCs w:val="24"/>
        </w:rPr>
        <w:t xml:space="preserve">Güncel literatür, Ae. albopictus'un DENV için vektör kompetansının daha önce düşünüldüğünden yüksek olabileceğini göstermektedir. İtalya'da yapılan deneysel enfeksiyonlarda (Viruses, 2024) yerel Ae. albopictus popülasyonlarının DENV-1'i bulaştırabildiği doğrulanmıştır. Tunus çalışmasında (Vega-Rúa ve ark., 2020) TE = %8,3 bildirilmiştir. Bu değerler, %4,5 alt sınırının coğrafi ve popülasyona bağlı olarak değişkenlik gösterdiğini ortaya koymaktadır.</w:t>
      </w:r>
    </w:p>
    <w:p>
      <w:pPr>
        <w:spacing w:after="100" w:before="100" w:line="360"/>
        <w:ind w:firstLine="720"/>
        <w:jc w:val="both"/>
      </w:pPr>
      <w:r>
        <w:rPr>
          <w:rFonts w:ascii="Times New Roman" w:cs="Times New Roman" w:eastAsia="Times New Roman" w:hAnsi="Times New Roman"/>
          <w:sz w:val="24"/>
          <w:szCs w:val="24"/>
        </w:rPr>
        <w:t xml:space="preserve">Tartışma bölümünde bu konu 'tür-spesifik β</w:t>
      </w:r>
      <w:r>
        <w:rPr>
          <w:rFonts w:ascii="Times New Roman" w:cs="Times New Roman" w:eastAsia="Times New Roman" w:hAnsi="Times New Roman"/>
          <w:sz w:val="24"/>
          <w:szCs w:val="24"/>
          <w:vertAlign w:val="subscript"/>
        </w:rPr>
        <w:t xml:space="preserve">vh</w:t>
      </w:r>
      <w:r>
        <w:rPr>
          <w:rFonts w:ascii="Times New Roman" w:cs="Times New Roman" w:eastAsia="Times New Roman" w:hAnsi="Times New Roman"/>
          <w:sz w:val="24"/>
          <w:szCs w:val="24"/>
        </w:rPr>
        <w:t xml:space="preserve"> düzeltmesi yapılmamasının potansiyel etkisi' başlığı altında açıkça ele alınmış ve gelecek çalışmalarda populasyon-spesifik TE verilerine dayanan düzeltme önerilmiştir.</w:t>
      </w:r>
    </w:p>
    <w:p>
      <w:pPr>
        <w:pBdr>
          <w:left w:val="single" w:color="4CAF50" w:sz="8"/>
        </w:pBdr>
        <w:shd w:fill="E8F5E9" w:val="clear"/>
        <w:spacing w:after="80" w:before="80"/>
        <w:ind w:left="200" w:right="200"/>
      </w:pPr>
      <w:r>
        <w:rPr>
          <w:rFonts w:ascii="Times New Roman" w:cs="Times New Roman" w:eastAsia="Times New Roman" w:hAnsi="Times New Roman"/>
          <w:b/>
          <w:bCs/>
          <w:color w:val="2E7D32"/>
          <w:sz w:val="22"/>
          <w:szCs w:val="22"/>
        </w:rPr>
        <w:t xml:space="preserve">YAPILAN DEĞİŞİKLİK: </w:t>
      </w:r>
      <w:r>
        <w:rPr>
          <w:rFonts w:ascii="Times New Roman" w:cs="Times New Roman" w:eastAsia="Times New Roman" w:hAnsi="Times New Roman"/>
          <w:sz w:val="22"/>
          <w:szCs w:val="22"/>
        </w:rPr>
        <w:t xml:space="preserve">β_vh ±%20 duyarlılık analizi sonuçları sunulmuş; sıralama değişmediği gösterilmiş; tür-spesifik kompetans sınırlılık olarak tartışılmıştır.</w:t>
      </w:r>
    </w:p>
    <w:p>
      <w:pPr>
        <w:pStyle w:val="Heading1"/>
        <w:spacing w:after="200" w:before="360"/>
      </w:pPr>
      <w:r>
        <w:rPr>
          <w:rFonts w:ascii="Times New Roman" w:cs="Times New Roman" w:eastAsia="Times New Roman" w:hAnsi="Times New Roman"/>
          <w:b/>
          <w:bCs/>
          <w:color w:val="1F4E79"/>
          <w:sz w:val="28"/>
          <w:szCs w:val="28"/>
        </w:rPr>
        <w:t xml:space="preserve">SORU 9 — Kışlama Mekanizmasının (Overwintering) Yokluğu</w:t>
      </w:r>
    </w:p>
    <w:p>
      <w:pPr>
        <w:pBdr>
          <w:left w:val="single" w:color="D4A017" w:sz="12"/>
        </w:pBdr>
        <w:shd w:fill="FFF2CC" w:val="clear"/>
        <w:spacing w:after="100" w:before="200"/>
        <w:ind w:left="200" w:right="200"/>
      </w:pPr>
      <w:r>
        <w:rPr>
          <w:rFonts w:ascii="Times New Roman" w:cs="Times New Roman" w:eastAsia="Times New Roman" w:hAnsi="Times New Roman"/>
          <w:b/>
          <w:bCs/>
          <w:color w:val="8B6914"/>
          <w:sz w:val="22"/>
          <w:szCs w:val="22"/>
        </w:rPr>
        <w:t xml:space="preserve">ELEŞTİRİ: </w:t>
      </w:r>
      <w:r>
        <w:rPr>
          <w:rFonts w:ascii="Times New Roman" w:cs="Times New Roman" w:eastAsia="Times New Roman" w:hAnsi="Times New Roman"/>
          <w:i/>
          <w:iCs/>
          <w:sz w:val="22"/>
          <w:szCs w:val="22"/>
        </w:rPr>
        <w:t xml:space="preserve">Kış aylarında λ_local = 0 olmasına rağmen overwintering modele dahil edilmemiştir. Bu durum 'yerleşme' kavramının ekolojik geçerliliğini etkilemektedir.</w:t>
      </w:r>
    </w:p>
    <w:p>
      <w:pPr>
        <w:spacing w:after="80" w:before="160"/>
      </w:pPr>
      <w:r>
        <w:rPr>
          <w:rFonts w:ascii="Times New Roman" w:cs="Times New Roman" w:eastAsia="Times New Roman" w:hAnsi="Times New Roman"/>
          <w:b/>
          <w:bCs/>
          <w:color w:val="1F4E79"/>
          <w:sz w:val="24"/>
          <w:szCs w:val="24"/>
        </w:rPr>
        <w:t xml:space="preserve">YANIT:</w:t>
      </w:r>
    </w:p>
    <w:p>
      <w:pPr>
        <w:spacing w:after="100" w:before="100" w:line="360"/>
        <w:ind w:firstLine="720"/>
        <w:jc w:val="both"/>
      </w:pPr>
      <w:r>
        <w:rPr>
          <w:rFonts w:ascii="Times New Roman" w:cs="Times New Roman" w:eastAsia="Times New Roman" w:hAnsi="Times New Roman"/>
          <w:sz w:val="24"/>
          <w:szCs w:val="24"/>
        </w:rPr>
        <w:t xml:space="preserve">Bu eleştiri kabul edilmiştir ve Soru 2'deki terminolojik düzeltme ile doğrudan ilişkilidir. Modelimiz tek sezonluk kıvılcım fazı sürecini temsil etmektedir; ardışık sezonlar arasında köprü kuran kışlama mekanizması (diyapoz yumurta sağkalımı, vertikal bulaş) dahil edilmemiştir. Bu nedenle 'yerleşme' yerine 'otokton salgın riski' terminolojisi benimsenmiştir (bkz. Soru 2).</w:t>
      </w:r>
    </w:p>
    <w:p>
      <w:pPr>
        <w:spacing w:after="100" w:before="100" w:line="360"/>
        <w:ind w:firstLine="720"/>
        <w:jc w:val="both"/>
      </w:pPr>
      <w:r>
        <w:rPr>
          <w:rFonts w:ascii="Times New Roman" w:cs="Times New Roman" w:eastAsia="Times New Roman" w:hAnsi="Times New Roman"/>
          <w:sz w:val="24"/>
          <w:szCs w:val="24"/>
        </w:rPr>
        <w:t xml:space="preserve">Bununla birlikte, genel bilgiler kısmına Ae. albopictus'un transovaryal bulaş kapasitesi eklenmiştir. Ae. albopictus yumurtalarının %11,1 vertikal bulaş oranı (Pereira-dos-Santos ve ark., 2021, </w:t>
      </w:r>
      <w:r>
        <w:rPr>
          <w:rFonts w:ascii="Times New Roman" w:cs="Times New Roman" w:eastAsia="Times New Roman" w:hAnsi="Times New Roman"/>
          <w:i/>
          <w:iCs/>
          <w:sz w:val="24"/>
          <w:szCs w:val="24"/>
        </w:rPr>
        <w:t xml:space="preserve">Insects</w:t>
      </w:r>
      <w:r>
        <w:rPr>
          <w:rFonts w:ascii="Times New Roman" w:cs="Times New Roman" w:eastAsia="Times New Roman" w:hAnsi="Times New Roman"/>
          <w:sz w:val="24"/>
          <w:szCs w:val="24"/>
        </w:rPr>
        <w:t xml:space="preserve">) ve diyapoz yoluyla kışı atlatma kapasitesi, gelecek nesil modellerin çok-sezonlu yapıya genişletilmesinde kritik bir bileşen olacaktır. Bu konu hem sınırlılıklar hem de gelecek araştırma önerileri bölümünde ele alınmıştır.</w:t>
      </w:r>
    </w:p>
    <w:p>
      <w:pPr>
        <w:pBdr>
          <w:left w:val="single" w:color="4CAF50" w:sz="8"/>
        </w:pBdr>
        <w:shd w:fill="E8F5E9" w:val="clear"/>
        <w:spacing w:after="80" w:before="80"/>
        <w:ind w:left="200" w:right="200"/>
      </w:pPr>
      <w:r>
        <w:rPr>
          <w:rFonts w:ascii="Times New Roman" w:cs="Times New Roman" w:eastAsia="Times New Roman" w:hAnsi="Times New Roman"/>
          <w:b/>
          <w:bCs/>
          <w:color w:val="2E7D32"/>
          <w:sz w:val="22"/>
          <w:szCs w:val="22"/>
        </w:rPr>
        <w:t xml:space="preserve">YAPILAN DEĞİŞİKLİK: </w:t>
      </w:r>
      <w:r>
        <w:rPr>
          <w:rFonts w:ascii="Times New Roman" w:cs="Times New Roman" w:eastAsia="Times New Roman" w:hAnsi="Times New Roman"/>
          <w:sz w:val="22"/>
          <w:szCs w:val="22"/>
        </w:rPr>
        <w:t xml:space="preserve">Terminoloji düzeltilmiş; transovaryal bulaş bilgisi eklenmiş; çok-sezonlu model genişletmesi gelecek çalışma olarak önerilmiştir.</w:t>
      </w:r>
    </w:p>
    <w:p>
      <w:pPr>
        <w:pStyle w:val="Heading1"/>
        <w:spacing w:after="200" w:before="360"/>
      </w:pPr>
      <w:r>
        <w:rPr>
          <w:rFonts w:ascii="Times New Roman" w:cs="Times New Roman" w:eastAsia="Times New Roman" w:hAnsi="Times New Roman"/>
          <w:b/>
          <w:bCs/>
          <w:color w:val="1F4E79"/>
          <w:sz w:val="28"/>
          <w:szCs w:val="28"/>
        </w:rPr>
        <w:t xml:space="preserve">SORU 10 — R₀ Hesaplamasında Jensen Eşitsizliği</w:t>
      </w:r>
    </w:p>
    <w:p>
      <w:pPr>
        <w:pBdr>
          <w:left w:val="single" w:color="D4A017" w:sz="12"/>
        </w:pBdr>
        <w:shd w:fill="FFF2CC" w:val="clear"/>
        <w:spacing w:after="100" w:before="200"/>
        <w:ind w:left="200" w:right="200"/>
      </w:pPr>
      <w:r>
        <w:rPr>
          <w:rFonts w:ascii="Times New Roman" w:cs="Times New Roman" w:eastAsia="Times New Roman" w:hAnsi="Times New Roman"/>
          <w:b/>
          <w:bCs/>
          <w:color w:val="8B6914"/>
          <w:sz w:val="22"/>
          <w:szCs w:val="22"/>
        </w:rPr>
        <w:t xml:space="preserve">ELEŞTİRİ: </w:t>
      </w:r>
      <w:r>
        <w:rPr>
          <w:rFonts w:ascii="Times New Roman" w:cs="Times New Roman" w:eastAsia="Times New Roman" w:hAnsi="Times New Roman"/>
          <w:i/>
          <w:iCs/>
          <w:sz w:val="22"/>
          <w:szCs w:val="22"/>
        </w:rPr>
        <w:t xml:space="preserve">Aylık ortalama değerlerle hesaplanan R₀, günlük varyasyonla hesaplanan R₀'dan Jensen eşitsizliği nedeniyle sistematik olarak sapabilir. Bu sapma değerlendirildi mi?</w:t>
      </w:r>
    </w:p>
    <w:p>
      <w:pPr>
        <w:spacing w:after="80" w:before="160"/>
      </w:pPr>
      <w:r>
        <w:rPr>
          <w:rFonts w:ascii="Times New Roman" w:cs="Times New Roman" w:eastAsia="Times New Roman" w:hAnsi="Times New Roman"/>
          <w:b/>
          <w:bCs/>
          <w:color w:val="1F4E79"/>
          <w:sz w:val="24"/>
          <w:szCs w:val="24"/>
        </w:rPr>
        <w:t xml:space="preserve">YANIT:</w:t>
      </w:r>
    </w:p>
    <w:p>
      <w:pPr>
        <w:spacing w:after="100" w:before="100" w:line="360"/>
        <w:ind w:firstLine="720"/>
        <w:jc w:val="both"/>
      </w:pPr>
      <w:r>
        <w:rPr>
          <w:rFonts w:ascii="Times New Roman" w:cs="Times New Roman" w:eastAsia="Times New Roman" w:hAnsi="Times New Roman"/>
          <w:sz w:val="24"/>
          <w:szCs w:val="24"/>
        </w:rPr>
        <w:t xml:space="preserve">Bu eleştiri metodolojik olarak doğru ve çalışmamızın merkezinde yer alan bir konuya temas etmektedir. Jensen eşitsizliği düzeltmesi, modelin tasarımında baştan dikkate alınmıştır. Spesifik olarak:</w:t>
      </w:r>
    </w:p>
    <w:p>
      <w:pPr>
        <w:spacing w:after="100" w:before="100" w:line="360"/>
        <w:ind w:firstLine="720"/>
        <w:jc w:val="both"/>
      </w:pPr>
      <w:r>
        <w:rPr>
          <w:rFonts w:ascii="Times New Roman" w:cs="Times New Roman" w:eastAsia="Times New Roman" w:hAnsi="Times New Roman"/>
          <w:b/>
          <w:bCs/>
          <w:sz w:val="24"/>
          <w:szCs w:val="24"/>
        </w:rPr>
        <w:t xml:space="preserve">EIP heterojenliği düzeltmesi: </w:t>
      </w:r>
      <w:r>
        <w:rPr>
          <w:rFonts w:ascii="Times New Roman" w:cs="Times New Roman" w:eastAsia="Times New Roman" w:hAnsi="Times New Roman"/>
          <w:sz w:val="24"/>
          <w:szCs w:val="24"/>
        </w:rPr>
        <w:t xml:space="preserve">Dışsal kuluçka dönemi (EIP) için iç içe Monte Carlo (nested MC) yaklaşımı uygulanmıştır. İç döngü (n = 2.000) her ay-ilçe kombinasyonu için log-normal EIP dağılımından örnekler çekerek E[P</w:t>
      </w:r>
      <w:r>
        <w:rPr>
          <w:rFonts w:ascii="Times New Roman" w:cs="Times New Roman" w:eastAsia="Times New Roman" w:hAnsi="Times New Roman"/>
          <w:sz w:val="24"/>
          <w:szCs w:val="24"/>
          <w:vertAlign w:val="subscript"/>
        </w:rPr>
        <w:t xml:space="preserve">est</w:t>
      </w:r>
      <w:r>
        <w:rPr>
          <w:rFonts w:ascii="Times New Roman" w:cs="Times New Roman" w:eastAsia="Times New Roman" w:hAnsi="Times New Roman"/>
          <w:sz w:val="24"/>
          <w:szCs w:val="24"/>
        </w:rPr>
        <w:t xml:space="preserve">(EIP)] ≠ P</w:t>
      </w:r>
      <w:r>
        <w:rPr>
          <w:rFonts w:ascii="Times New Roman" w:cs="Times New Roman" w:eastAsia="Times New Roman" w:hAnsi="Times New Roman"/>
          <w:sz w:val="24"/>
          <w:szCs w:val="24"/>
          <w:vertAlign w:val="subscript"/>
        </w:rPr>
        <w:t xml:space="preserve">est</w:t>
      </w:r>
      <w:r>
        <w:rPr>
          <w:rFonts w:ascii="Times New Roman" w:cs="Times New Roman" w:eastAsia="Times New Roman" w:hAnsi="Times New Roman"/>
          <w:sz w:val="24"/>
          <w:szCs w:val="24"/>
        </w:rPr>
        <w:t xml:space="preserve">(E[EIP]) düzeltmesini sağlar. Dış döngü (n = 1.000) parametrik belirsizliği kapsar. Brand ve ark. (2019, </w:t>
      </w:r>
      <w:r>
        <w:rPr>
          <w:rFonts w:ascii="Times New Roman" w:cs="Times New Roman" w:eastAsia="Times New Roman" w:hAnsi="Times New Roman"/>
          <w:i/>
          <w:iCs/>
          <w:sz w:val="24"/>
          <w:szCs w:val="24"/>
        </w:rPr>
        <w:t xml:space="preserve">Epidemics</w:t>
      </w:r>
      <w:r>
        <w:rPr>
          <w:rFonts w:ascii="Times New Roman" w:cs="Times New Roman" w:eastAsia="Times New Roman" w:hAnsi="Times New Roman"/>
          <w:sz w:val="24"/>
          <w:szCs w:val="24"/>
        </w:rPr>
        <w:t xml:space="preserve">) bu yaklaşımın zorunluluğunu stokastik EIP bağlamında göstermiştir.</w:t>
      </w:r>
    </w:p>
    <w:p>
      <w:pPr>
        <w:spacing w:after="100" w:before="100" w:line="360"/>
        <w:ind w:firstLine="720"/>
        <w:jc w:val="both"/>
      </w:pPr>
      <w:r>
        <w:rPr>
          <w:rFonts w:ascii="Times New Roman" w:cs="Times New Roman" w:eastAsia="Times New Roman" w:hAnsi="Times New Roman"/>
          <w:b/>
          <w:bCs/>
          <w:sz w:val="24"/>
          <w:szCs w:val="24"/>
        </w:rPr>
        <w:t xml:space="preserve">Aylık ortalama sıcaklık meselesi: </w:t>
      </w:r>
      <w:r>
        <w:rPr>
          <w:rFonts w:ascii="Times New Roman" w:cs="Times New Roman" w:eastAsia="Times New Roman" w:hAnsi="Times New Roman"/>
          <w:sz w:val="24"/>
          <w:szCs w:val="24"/>
        </w:rPr>
        <w:t xml:space="preserve">Eleştiride vurgulanan gün-içi sıcaklık varyasyonu konusu haklıdır. Brière eğrileri konkav fonksiyonlar olduğundan, Jensen eşitsizliği gereği E[a(T)] &lt; a(E[T]) ilişkisi geçerlidir — aylık ortalamalarla hesaplanan R₀, günlük değerlere kıyasla potansiyel olarak yukarı yönlü sapabilir. Ancak CMIP6 aylık çözünürlüklü verilerle çalışılması, daha yüksek zamansal çözünürlüğe erişimi sınırlandırmıştır. Bu sapma yönü ve potansiyel büyüklüğü tartışma bölümünde açıkça ele alınmıştır.</w:t>
      </w:r>
    </w:p>
    <w:p>
      <w:pPr>
        <w:pBdr>
          <w:left w:val="single" w:color="4CAF50" w:sz="8"/>
        </w:pBdr>
        <w:shd w:fill="E8F5E9" w:val="clear"/>
        <w:spacing w:after="80" w:before="80"/>
        <w:ind w:left="200" w:right="200"/>
      </w:pPr>
      <w:r>
        <w:rPr>
          <w:rFonts w:ascii="Times New Roman" w:cs="Times New Roman" w:eastAsia="Times New Roman" w:hAnsi="Times New Roman"/>
          <w:b/>
          <w:bCs/>
          <w:color w:val="2E7D32"/>
          <w:sz w:val="22"/>
          <w:szCs w:val="22"/>
        </w:rPr>
        <w:t xml:space="preserve">YAPILAN DEĞİŞİKLİK: </w:t>
      </w:r>
      <w:r>
        <w:rPr>
          <w:rFonts w:ascii="Times New Roman" w:cs="Times New Roman" w:eastAsia="Times New Roman" w:hAnsi="Times New Roman"/>
          <w:sz w:val="22"/>
          <w:szCs w:val="22"/>
        </w:rPr>
        <w:t xml:space="preserve">İç içe MC ile EIP Jensen düzeltmesi uygulanmış; aylık ortalama sıcaklık sınırlılığı ve Jensen sapma yönü tartışmada belirtilmiştir.</w:t>
      </w:r>
    </w:p>
    <w:p>
      <w:pPr>
        <w:pStyle w:val="Heading1"/>
        <w:spacing w:after="200" w:before="360"/>
      </w:pPr>
      <w:r>
        <w:rPr>
          <w:rFonts w:ascii="Times New Roman" w:cs="Times New Roman" w:eastAsia="Times New Roman" w:hAnsi="Times New Roman"/>
          <w:b/>
          <w:bCs/>
          <w:color w:val="1F4E79"/>
          <w:sz w:val="28"/>
          <w:szCs w:val="28"/>
        </w:rPr>
        <w:t xml:space="preserve">SORU 11 — Regresyon Tablosundaki %3f Hatası</w:t>
      </w:r>
    </w:p>
    <w:p>
      <w:pPr>
        <w:pBdr>
          <w:left w:val="single" w:color="D4A017" w:sz="12"/>
        </w:pBdr>
        <w:shd w:fill="FFF2CC" w:val="clear"/>
        <w:spacing w:after="100" w:before="200"/>
        <w:ind w:left="200" w:right="200"/>
      </w:pPr>
      <w:r>
        <w:rPr>
          <w:rFonts w:ascii="Times New Roman" w:cs="Times New Roman" w:eastAsia="Times New Roman" w:hAnsi="Times New Roman"/>
          <w:b/>
          <w:bCs/>
          <w:color w:val="8B6914"/>
          <w:sz w:val="22"/>
          <w:szCs w:val="22"/>
        </w:rPr>
        <w:t xml:space="preserve">ELEŞTİRİ: </w:t>
      </w:r>
      <w:r>
        <w:rPr>
          <w:rFonts w:ascii="Times New Roman" w:cs="Times New Roman" w:eastAsia="Times New Roman" w:hAnsi="Times New Roman"/>
          <w:i/>
          <w:iCs/>
          <w:sz w:val="22"/>
          <w:szCs w:val="22"/>
        </w:rPr>
        <w:t xml:space="preserve">Tablo 22'de R² değerlerinin yerine '%3f' format placeholder'ı bırakılmıştır. R kodunda bu tablo gerçekten otomatik mi yoksa manuel mi üretilmiştir?</w:t>
      </w:r>
    </w:p>
    <w:p>
      <w:pPr>
        <w:spacing w:after="80" w:before="160"/>
      </w:pPr>
      <w:r>
        <w:rPr>
          <w:rFonts w:ascii="Times New Roman" w:cs="Times New Roman" w:eastAsia="Times New Roman" w:hAnsi="Times New Roman"/>
          <w:b/>
          <w:bCs/>
          <w:color w:val="1F4E79"/>
          <w:sz w:val="24"/>
          <w:szCs w:val="24"/>
        </w:rPr>
        <w:t xml:space="preserve">YANIT:</w:t>
      </w:r>
    </w:p>
    <w:p>
      <w:pPr>
        <w:spacing w:after="100" w:before="100" w:line="360"/>
        <w:ind w:firstLine="720"/>
        <w:jc w:val="both"/>
      </w:pPr>
      <w:r>
        <w:rPr>
          <w:rFonts w:ascii="Times New Roman" w:cs="Times New Roman" w:eastAsia="Times New Roman" w:hAnsi="Times New Roman"/>
          <w:sz w:val="24"/>
          <w:szCs w:val="24"/>
        </w:rPr>
        <w:t xml:space="preserve">Bu hata tamamen kabul edilmiş ve düzeltilmiştir. Sorunun kök nedeni, R Markdown inline kodunda sprintf('%3f', ...) formatının hatalı kullanımıydı. Doğru format '%.3f' olmalıydı. Tüm Rmd tabloları şimdi dinamik olarak flextable paketi ile üretilmekte; sabit kodlanmış (hardcoded) istatistik bulunmamaktadır. Mevcut çıktılarda bu hata giderilmiştir ve tüm tablo değerleri çalıştırma zamanında (runtime) hesaplanmaktadır.</w:t>
      </w:r>
    </w:p>
    <w:p>
      <w:pPr>
        <w:pBdr>
          <w:left w:val="single" w:color="4CAF50" w:sz="8"/>
        </w:pBdr>
        <w:shd w:fill="E8F5E9" w:val="clear"/>
        <w:spacing w:after="80" w:before="80"/>
        <w:ind w:left="200" w:right="200"/>
      </w:pPr>
      <w:r>
        <w:rPr>
          <w:rFonts w:ascii="Times New Roman" w:cs="Times New Roman" w:eastAsia="Times New Roman" w:hAnsi="Times New Roman"/>
          <w:b/>
          <w:bCs/>
          <w:color w:val="2E7D32"/>
          <w:sz w:val="22"/>
          <w:szCs w:val="22"/>
        </w:rPr>
        <w:t xml:space="preserve">YAPILAN DEĞİŞİKLİK: </w:t>
      </w:r>
      <w:r>
        <w:rPr>
          <w:rFonts w:ascii="Times New Roman" w:cs="Times New Roman" w:eastAsia="Times New Roman" w:hAnsi="Times New Roman"/>
          <w:sz w:val="22"/>
          <w:szCs w:val="22"/>
        </w:rPr>
        <w:t xml:space="preserve">Format hatası düzeltilmiş; tüm tablolar flextable ile dinamik olarak üretilmektedir.</w:t>
      </w:r>
    </w:p>
    <w:p>
      <w:pPr>
        <w:pStyle w:val="Heading1"/>
        <w:spacing w:after="200" w:before="360"/>
      </w:pPr>
      <w:r>
        <w:rPr>
          <w:rFonts w:ascii="Times New Roman" w:cs="Times New Roman" w:eastAsia="Times New Roman" w:hAnsi="Times New Roman"/>
          <w:b/>
          <w:bCs/>
          <w:color w:val="1F4E79"/>
          <w:sz w:val="28"/>
          <w:szCs w:val="28"/>
        </w:rPr>
        <w:t xml:space="preserve">SORU 12 — 'Eylemsizlik Senaryosu' (Do-Nothing) Etiketlemesi</w:t>
      </w:r>
    </w:p>
    <w:p>
      <w:pPr>
        <w:pBdr>
          <w:left w:val="single" w:color="D4A017" w:sz="12"/>
        </w:pBdr>
        <w:shd w:fill="FFF2CC" w:val="clear"/>
        <w:spacing w:after="100" w:before="200"/>
        <w:ind w:left="200" w:right="200"/>
      </w:pPr>
      <w:r>
        <w:rPr>
          <w:rFonts w:ascii="Times New Roman" w:cs="Times New Roman" w:eastAsia="Times New Roman" w:hAnsi="Times New Roman"/>
          <w:b/>
          <w:bCs/>
          <w:color w:val="8B6914"/>
          <w:sz w:val="22"/>
          <w:szCs w:val="22"/>
        </w:rPr>
        <w:t xml:space="preserve">ELEŞTİRİ: </w:t>
      </w:r>
      <w:r>
        <w:rPr>
          <w:rFonts w:ascii="Times New Roman" w:cs="Times New Roman" w:eastAsia="Times New Roman" w:hAnsi="Times New Roman"/>
          <w:i/>
          <w:iCs/>
          <w:sz w:val="22"/>
          <w:szCs w:val="22"/>
        </w:rPr>
        <w:t xml:space="preserve">Model 2025–2075 boyunca aşı, Wolbachia, sürü bağışıklığı ve vektör kontrol iyileşmelerini hiçe saymaktadır. Model bir 'tahmin' mi yoksa 'eylemsizlik senaryosu' mudur?</w:t>
      </w:r>
    </w:p>
    <w:p>
      <w:pPr>
        <w:spacing w:after="80" w:before="160"/>
      </w:pPr>
      <w:r>
        <w:rPr>
          <w:rFonts w:ascii="Times New Roman" w:cs="Times New Roman" w:eastAsia="Times New Roman" w:hAnsi="Times New Roman"/>
          <w:b/>
          <w:bCs/>
          <w:color w:val="1F4E79"/>
          <w:sz w:val="24"/>
          <w:szCs w:val="24"/>
        </w:rPr>
        <w:t xml:space="preserve">YANIT:</w:t>
      </w:r>
    </w:p>
    <w:p>
      <w:pPr>
        <w:spacing w:after="100" w:before="100" w:line="360"/>
        <w:ind w:firstLine="720"/>
        <w:jc w:val="both"/>
      </w:pPr>
      <w:r>
        <w:rPr>
          <w:rFonts w:ascii="Times New Roman" w:cs="Times New Roman" w:eastAsia="Times New Roman" w:hAnsi="Times New Roman"/>
          <w:sz w:val="24"/>
          <w:szCs w:val="24"/>
        </w:rPr>
        <w:t xml:space="preserve">Bu eleştiri kabul edilmiştir. Model, tanım itibarıyla bir 'eylemsizlik senaryosu' (do-nothing / status quo scenario) olup, mevcut vektör kontrol kapasitesinin 50 yıl boyunca değişmediğini, aşı programlarının uygulanmadığını ve sürü bağışıklığının gelişmediğini varsaymaktadır. Bu çerçeveleme artık şu bölümlere açıkça yansıtılmıştır:</w:t>
      </w:r>
    </w:p>
    <w:p>
      <w:pPr>
        <w:spacing w:after="100" w:before="100" w:line="360"/>
        <w:ind w:firstLine="720"/>
        <w:jc w:val="both"/>
      </w:pPr>
      <w:r>
        <w:rPr>
          <w:rFonts w:ascii="Times New Roman" w:cs="Times New Roman" w:eastAsia="Times New Roman" w:hAnsi="Times New Roman"/>
          <w:sz w:val="24"/>
          <w:szCs w:val="24"/>
        </w:rPr>
        <w:t xml:space="preserve">(i) Tez özetinde modelin 'eylemsizlik koşullarında en kötü senaryo projeksiyonu' niteliği vurgulanmıştır. (ii) Bulgular bölümünde tüm risk tabloları 'status quo (mevcut müdahale kapasitesi, aşısız, Wolbachia programsız)' başlığı altında sunulmaktadır. (iii) Tartışma bölümünde Dengvaxia, Qdenga (TAK-003) ve Wolbachia (World Mosquito Program) gelişmelerinin modele dahil edilmemesinin kısıtları tartışılmıştır.</w:t>
      </w:r>
    </w:p>
    <w:p>
      <w:pPr>
        <w:spacing w:after="100" w:before="100" w:line="360"/>
        <w:ind w:firstLine="720"/>
        <w:jc w:val="both"/>
      </w:pPr>
      <w:r>
        <w:rPr>
          <w:rFonts w:ascii="Times New Roman" w:cs="Times New Roman" w:eastAsia="Times New Roman" w:hAnsi="Times New Roman"/>
          <w:sz w:val="24"/>
          <w:szCs w:val="24"/>
        </w:rPr>
        <w:t xml:space="preserve">Model çıktıları 'tahmin (forecast)' değil 'projeksiyon (projection)' olarak terminolojik tutarlılıkla sunulmuştur. Bu ayrım, iklim bilimlerindeki standart uygulama ile uyumludur: projeksiyonlar belirli varsayımlar altında koşullu senaryolardır.</w:t>
      </w:r>
    </w:p>
    <w:p>
      <w:pPr>
        <w:pBdr>
          <w:left w:val="single" w:color="4CAF50" w:sz="8"/>
        </w:pBdr>
        <w:shd w:fill="E8F5E9" w:val="clear"/>
        <w:spacing w:after="80" w:before="80"/>
        <w:ind w:left="200" w:right="200"/>
      </w:pPr>
      <w:r>
        <w:rPr>
          <w:rFonts w:ascii="Times New Roman" w:cs="Times New Roman" w:eastAsia="Times New Roman" w:hAnsi="Times New Roman"/>
          <w:b/>
          <w:bCs/>
          <w:color w:val="2E7D32"/>
          <w:sz w:val="22"/>
          <w:szCs w:val="22"/>
        </w:rPr>
        <w:t xml:space="preserve">YAPILAN DEĞİŞİKLİK: </w:t>
      </w:r>
      <w:r>
        <w:rPr>
          <w:rFonts w:ascii="Times New Roman" w:cs="Times New Roman" w:eastAsia="Times New Roman" w:hAnsi="Times New Roman"/>
          <w:sz w:val="22"/>
          <w:szCs w:val="22"/>
        </w:rPr>
        <w:t xml:space="preserve">Model 'eylemsizlik senaryosu' olarak etiketlenmiş; 'tahmin' yerine 'projeksiyon' terminolojisi benimsenmiştir.</w:t>
      </w:r>
    </w:p>
    <w:p>
      <w:pPr>
        <w:pStyle w:val="Heading1"/>
        <w:spacing w:after="200" w:before="360"/>
      </w:pPr>
      <w:r>
        <w:rPr>
          <w:rFonts w:ascii="Times New Roman" w:cs="Times New Roman" w:eastAsia="Times New Roman" w:hAnsi="Times New Roman"/>
          <w:b/>
          <w:bCs/>
          <w:color w:val="1F4E79"/>
          <w:sz w:val="28"/>
          <w:szCs w:val="28"/>
        </w:rPr>
        <w:t xml:space="preserve">SORU 13 — ERA5/CMIP6 Bias Correction ve UHI</w:t>
      </w:r>
    </w:p>
    <w:p>
      <w:pPr>
        <w:pBdr>
          <w:left w:val="single" w:color="D4A017" w:sz="12"/>
        </w:pBdr>
        <w:shd w:fill="FFF2CC" w:val="clear"/>
        <w:spacing w:after="100" w:before="200"/>
        <w:ind w:left="200" w:right="200"/>
      </w:pPr>
      <w:r>
        <w:rPr>
          <w:rFonts w:ascii="Times New Roman" w:cs="Times New Roman" w:eastAsia="Times New Roman" w:hAnsi="Times New Roman"/>
          <w:b/>
          <w:bCs/>
          <w:color w:val="8B6914"/>
          <w:sz w:val="22"/>
          <w:szCs w:val="22"/>
        </w:rPr>
        <w:t xml:space="preserve">ELEŞTİRİ: </w:t>
      </w:r>
      <w:r>
        <w:rPr>
          <w:rFonts w:ascii="Times New Roman" w:cs="Times New Roman" w:eastAsia="Times New Roman" w:hAnsi="Times New Roman"/>
          <w:i/>
          <w:iCs/>
          <w:sz w:val="22"/>
          <w:szCs w:val="22"/>
        </w:rPr>
        <w:t xml:space="preserve">ERA5'ten CMIP6'ya geçişte hangi bias-correction yöntemi uygulandı? UHI etkisi nasıl yakalanabilir?</w:t>
      </w:r>
    </w:p>
    <w:p>
      <w:pPr>
        <w:spacing w:after="80" w:before="160"/>
      </w:pPr>
      <w:r>
        <w:rPr>
          <w:rFonts w:ascii="Times New Roman" w:cs="Times New Roman" w:eastAsia="Times New Roman" w:hAnsi="Times New Roman"/>
          <w:b/>
          <w:bCs/>
          <w:color w:val="1F4E79"/>
          <w:sz w:val="24"/>
          <w:szCs w:val="24"/>
        </w:rPr>
        <w:t xml:space="preserve">YANIT:</w:t>
      </w:r>
    </w:p>
    <w:p>
      <w:pPr>
        <w:spacing w:after="100" w:before="100" w:line="360"/>
        <w:ind w:firstLine="720"/>
        <w:jc w:val="both"/>
      </w:pPr>
      <w:r>
        <w:rPr>
          <w:rFonts w:ascii="Times New Roman" w:cs="Times New Roman" w:eastAsia="Times New Roman" w:hAnsi="Times New Roman"/>
          <w:sz w:val="24"/>
          <w:szCs w:val="24"/>
        </w:rPr>
        <w:t xml:space="preserve">Bias-correction yöntemi olarak Monthly Delta Method (additive for temperature, multiplicative for precipitation, additive bounded for humidity) uygulanmıştır. Referans olarak ERA5-Land 1981–2014 dönemi kullanılmış; historik CMIP6 (CNRM-CM6-1-HR) aynı dönem ile karşılaştırılarak ay-ilçe bazında düzeltme faktörleri hesaplanmıştır. Bu yöntem, Bagcaci ve ark. (2021, </w:t>
      </w:r>
      <w:r>
        <w:rPr>
          <w:rFonts w:ascii="Times New Roman" w:cs="Times New Roman" w:eastAsia="Times New Roman" w:hAnsi="Times New Roman"/>
          <w:i/>
          <w:iCs/>
          <w:sz w:val="24"/>
          <w:szCs w:val="24"/>
        </w:rPr>
        <w:t xml:space="preserve">Atmospheric Research</w:t>
      </w:r>
      <w:r>
        <w:rPr>
          <w:rFonts w:ascii="Times New Roman" w:cs="Times New Roman" w:eastAsia="Times New Roman" w:hAnsi="Times New Roman"/>
          <w:sz w:val="24"/>
          <w:szCs w:val="24"/>
        </w:rPr>
        <w:t xml:space="preserve">) tarafından Türkiye üzerinde CMIP6 için doğrulanmıştır.</w:t>
      </w:r>
    </w:p>
    <w:p>
      <w:pPr>
        <w:spacing w:after="100" w:before="100" w:line="360"/>
        <w:ind w:firstLine="720"/>
        <w:jc w:val="both"/>
      </w:pPr>
      <w:r>
        <w:rPr>
          <w:rFonts w:ascii="Times New Roman" w:cs="Times New Roman" w:eastAsia="Times New Roman" w:hAnsi="Times New Roman"/>
          <w:sz w:val="24"/>
          <w:szCs w:val="24"/>
        </w:rPr>
        <w:t xml:space="preserve">Üç senaryonun (SSP1-2.6, SSP2-4.5, SSP5-8.5) eklenmesiyle CNRM-CM6-1-HR modeli her üç senaryo için ortak iklim modeli olarak kullanılmıştır. Delta-mapping yöntemi </w:t>
      </w:r>
      <w:r>
        <w:rPr>
          <w:rFonts w:ascii="Times New Roman" w:cs="Times New Roman" w:eastAsia="Times New Roman" w:hAnsi="Times New Roman"/>
          <w:i/>
          <w:iCs/>
          <w:sz w:val="24"/>
          <w:szCs w:val="24"/>
        </w:rPr>
        <w:t xml:space="preserve">build_bias_correction.R</w:t>
      </w:r>
      <w:r>
        <w:rPr>
          <w:rFonts w:ascii="Times New Roman" w:cs="Times New Roman" w:eastAsia="Times New Roman" w:hAnsi="Times New Roman"/>
          <w:sz w:val="24"/>
          <w:szCs w:val="24"/>
        </w:rPr>
        <w:t xml:space="preserve"> scripti içinde tam olarak dokümante edilmiştir.</w:t>
      </w:r>
    </w:p>
    <w:p>
      <w:pPr>
        <w:spacing w:after="100" w:before="100" w:line="360"/>
        <w:ind w:firstLine="720"/>
        <w:jc w:val="both"/>
      </w:pPr>
      <w:r>
        <w:rPr>
          <w:rFonts w:ascii="Times New Roman" w:cs="Times New Roman" w:eastAsia="Times New Roman" w:hAnsi="Times New Roman"/>
          <w:sz w:val="24"/>
          <w:szCs w:val="24"/>
        </w:rPr>
        <w:t xml:space="preserve">UHI etkisi konusunda eleştiri haklıdır: ~12 km çözünürlüklü CMIP6 verisi kentsel ısı adasını yakalayamaz. Bu durum, Kartal gibi yoğun kentsel alanlarda gece sıcaklıklarının 2–4°C düşük tahmin edilmesi ve dolayısıyla EIP survival'ının hafife alınması anlamına gelebilir — yani model Kartal'ın riskini potansiyel olarak eksik tahmin etmektedir. Bu sınırlılık tartışma bölümünde açıkça belirtilmiş ve gelecek çalışmalarda kentsel mikro-iklim verilerinin (şehir ölçekli hava istasyonları veya downscaling) entegrasyonu önerilmiştir.</w:t>
      </w:r>
    </w:p>
    <w:p>
      <w:pPr>
        <w:pBdr>
          <w:left w:val="single" w:color="4CAF50" w:sz="8"/>
        </w:pBdr>
        <w:shd w:fill="E8F5E9" w:val="clear"/>
        <w:spacing w:after="80" w:before="80"/>
        <w:ind w:left="200" w:right="200"/>
      </w:pPr>
      <w:r>
        <w:rPr>
          <w:rFonts w:ascii="Times New Roman" w:cs="Times New Roman" w:eastAsia="Times New Roman" w:hAnsi="Times New Roman"/>
          <w:b/>
          <w:bCs/>
          <w:color w:val="2E7D32"/>
          <w:sz w:val="22"/>
          <w:szCs w:val="22"/>
        </w:rPr>
        <w:t xml:space="preserve">YAPILAN DEĞİŞİKLİK: </w:t>
      </w:r>
      <w:r>
        <w:rPr>
          <w:rFonts w:ascii="Times New Roman" w:cs="Times New Roman" w:eastAsia="Times New Roman" w:hAnsi="Times New Roman"/>
          <w:sz w:val="22"/>
          <w:szCs w:val="22"/>
        </w:rPr>
        <w:t xml:space="preserve">Delta-mapping bias correction uygulanmış ve metodoloji bölümünde detaylıca açıklanmıştır. UHI sınırlılığı tartışmada belirtilmiştir.</w:t>
      </w:r>
    </w:p>
    <w:p>
      <w:r>
        <w:br w:type="page"/>
      </w:r>
    </w:p>
    <w:p>
      <w:pPr>
        <w:pStyle w:val="Heading1"/>
        <w:spacing w:after="200" w:before="360"/>
      </w:pPr>
      <w:r>
        <w:rPr>
          <w:rFonts w:ascii="Times New Roman" w:cs="Times New Roman" w:eastAsia="Times New Roman" w:hAnsi="Times New Roman"/>
          <w:b/>
          <w:bCs/>
          <w:color w:val="1F4E79"/>
          <w:sz w:val="28"/>
          <w:szCs w:val="28"/>
        </w:rPr>
        <w:t xml:space="preserve">TEZ BÖLÜMLERİNE YÖNELİK ELEŞTİRİLER</w:t>
      </w:r>
    </w:p>
    <w:p>
      <w:pPr>
        <w:pStyle w:val="Heading2"/>
        <w:spacing w:after="160" w:before="280"/>
      </w:pPr>
      <w:r>
        <w:rPr>
          <w:rFonts w:ascii="Times New Roman" w:cs="Times New Roman" w:eastAsia="Times New Roman" w:hAnsi="Times New Roman"/>
          <w:b/>
          <w:bCs/>
          <w:color w:val="2E75B6"/>
          <w:sz w:val="26"/>
          <w:szCs w:val="26"/>
        </w:rPr>
        <w:t xml:space="preserve">Giriş ve Yardımcı Hipotezler</w:t>
      </w:r>
    </w:p>
    <w:p>
      <w:pPr>
        <w:spacing w:after="100" w:before="100" w:line="360"/>
        <w:ind w:firstLine="720"/>
        <w:jc w:val="both"/>
      </w:pPr>
      <w:r>
        <w:rPr>
          <w:rFonts w:ascii="Times New Roman" w:cs="Times New Roman" w:eastAsia="Times New Roman" w:hAnsi="Times New Roman"/>
          <w:sz w:val="24"/>
          <w:szCs w:val="24"/>
        </w:rPr>
        <w:t xml:space="preserve">Eleştiri kabul edilmiştir. Yardımcı hipotezler şu şekilde revize edilmiştir: (i) 'Kıyı ve güney bölgelerde...' sezgisel beklentisi kaldırılmıştır. (ii) 'İthalat baskısı, otokton major salgın için bağımsız bir risk bileşenidir' hipotezi eklenmiştir. (iii) İlk hipoteze vektör/insan popülasyonu parametresi bağlamı eklenmiştir. Tüm hipotezler kantitatif ve falsifiye edilebilir formda yeniden yazılmıştır.</w:t>
      </w:r>
    </w:p>
    <w:p>
      <w:pPr>
        <w:pStyle w:val="Heading2"/>
        <w:spacing w:after="160" w:before="280"/>
      </w:pPr>
      <w:r>
        <w:rPr>
          <w:rFonts w:ascii="Times New Roman" w:cs="Times New Roman" w:eastAsia="Times New Roman" w:hAnsi="Times New Roman"/>
          <w:b/>
          <w:bCs/>
          <w:color w:val="2E75B6"/>
          <w:sz w:val="26"/>
          <w:szCs w:val="26"/>
        </w:rPr>
        <w:t xml:space="preserve">Genel Bilgiler Bölümü</w:t>
      </w:r>
    </w:p>
    <w:p>
      <w:pPr>
        <w:spacing w:after="100" w:before="100" w:line="360"/>
        <w:ind w:firstLine="720"/>
        <w:jc w:val="both"/>
      </w:pPr>
      <w:r>
        <w:rPr>
          <w:rFonts w:ascii="Times New Roman" w:cs="Times New Roman" w:eastAsia="Times New Roman" w:hAnsi="Times New Roman"/>
          <w:sz w:val="24"/>
          <w:szCs w:val="24"/>
        </w:rPr>
        <w:t xml:space="preserve">Eleştiri kabul edilmiştir. Genel bilgiler bölümü ~35 sayfadan ~20 sayfaya yoğunlaştırılmıştır. Tekrarlar, bağlamdan kopuk şekiller ve aşırı detaylı SEIR/ANN/Bayesyen genel tanıtımları çıkarılmış; doğrudan CTMC doğum-ölüm sürecinin seçim gerekçesine odaklanılmıştır. Tür kompetans cezası tartışması bu bölüme entegre edilmiştir.</w:t>
      </w:r>
    </w:p>
    <w:p>
      <w:pPr>
        <w:pStyle w:val="Heading2"/>
        <w:spacing w:after="160" w:before="280"/>
      </w:pPr>
      <w:r>
        <w:rPr>
          <w:rFonts w:ascii="Times New Roman" w:cs="Times New Roman" w:eastAsia="Times New Roman" w:hAnsi="Times New Roman"/>
          <w:b/>
          <w:bCs/>
          <w:color w:val="2E75B6"/>
          <w:sz w:val="26"/>
          <w:szCs w:val="26"/>
        </w:rPr>
        <w:t xml:space="preserve">Tartışma Bölümü</w:t>
      </w:r>
    </w:p>
    <w:p>
      <w:pPr>
        <w:spacing w:after="100" w:before="100" w:line="360"/>
        <w:ind w:firstLine="720"/>
        <w:jc w:val="both"/>
      </w:pPr>
      <w:r>
        <w:rPr>
          <w:rFonts w:ascii="Times New Roman" w:cs="Times New Roman" w:eastAsia="Times New Roman" w:hAnsi="Times New Roman"/>
          <w:sz w:val="24"/>
          <w:szCs w:val="24"/>
        </w:rPr>
        <w:t xml:space="preserve">Eleştiri kabul edilmiştir. Tartışma bölümü ~30 sayfadan ~22 sayfaya yoğunlaştırılmıştır. Tekrar eden risk hiyerarşisi ve termal belirleyici paragrafları birleştirilmiştir. 'Operasyonel kullanıma uygunluk' iddiası, somut bir validasyon çerçevesi sunulmadan geri çekilmiş; 'potansiyel erken uyarı çerçevesi' olarak yeniden ifade edilmiştir.</w:t>
      </w:r>
    </w:p>
    <w:p>
      <w:pPr>
        <w:pStyle w:val="Heading2"/>
        <w:spacing w:after="160" w:before="280"/>
      </w:pPr>
      <w:r>
        <w:rPr>
          <w:rFonts w:ascii="Times New Roman" w:cs="Times New Roman" w:eastAsia="Times New Roman" w:hAnsi="Times New Roman"/>
          <w:b/>
          <w:bCs/>
          <w:color w:val="2E75B6"/>
          <w:sz w:val="26"/>
          <w:szCs w:val="26"/>
        </w:rPr>
        <w:t xml:space="preserve">Sonuç Bölümü</w:t>
      </w:r>
    </w:p>
    <w:p>
      <w:pPr>
        <w:spacing w:after="100" w:before="100" w:line="360"/>
        <w:ind w:firstLine="720"/>
        <w:jc w:val="both"/>
      </w:pPr>
      <w:r>
        <w:rPr>
          <w:rFonts w:ascii="Times New Roman" w:cs="Times New Roman" w:eastAsia="Times New Roman" w:hAnsi="Times New Roman"/>
          <w:sz w:val="24"/>
          <w:szCs w:val="24"/>
        </w:rPr>
        <w:t xml:space="preserve">Eleştiri kabul edilmiştir. Tek paragraflık sonuç bölümü, 2–3 sayfalık yapılandırılmış bir bölüme genişletilmiştir. Temel bulgular, politika çıkarımları, metodolojik katkılar, sınırlılıklar ve gelecek araştırma önerileri madde madde sunulmaktadır.</w:t>
      </w:r>
    </w:p>
    <w:p>
      <w:pPr>
        <w:pStyle w:val="Heading2"/>
        <w:spacing w:after="160" w:before="280"/>
      </w:pPr>
      <w:r>
        <w:rPr>
          <w:rFonts w:ascii="Times New Roman" w:cs="Times New Roman" w:eastAsia="Times New Roman" w:hAnsi="Times New Roman"/>
          <w:b/>
          <w:bCs/>
          <w:color w:val="2E75B6"/>
          <w:sz w:val="26"/>
          <w:szCs w:val="26"/>
        </w:rPr>
        <w:t xml:space="preserve">Terminoloji: Beliren/Dirilen</w:t>
      </w:r>
    </w:p>
    <w:p>
      <w:pPr>
        <w:spacing w:after="100" w:before="100" w:line="360"/>
        <w:ind w:firstLine="720"/>
        <w:jc w:val="both"/>
      </w:pPr>
      <w:r>
        <w:rPr>
          <w:rFonts w:ascii="Times New Roman" w:cs="Times New Roman" w:eastAsia="Times New Roman" w:hAnsi="Times New Roman"/>
          <w:sz w:val="24"/>
          <w:szCs w:val="24"/>
        </w:rPr>
        <w:t xml:space="preserve">Eleştiri kabul edilmiştir. 'Dirilen' ifadesi, 'yeniden önem kazanan (re-emerging)' ile değiştirilmiştir. 'Beliren (emerging)' ifadesi korunmuştur.</w:t>
      </w:r>
    </w:p>
    <w:p>
      <w:pPr>
        <w:pStyle w:val="Heading2"/>
        <w:spacing w:after="160" w:before="280"/>
      </w:pPr>
      <w:r>
        <w:rPr>
          <w:rFonts w:ascii="Times New Roman" w:cs="Times New Roman" w:eastAsia="Times New Roman" w:hAnsi="Times New Roman"/>
          <w:b/>
          <w:bCs/>
          <w:color w:val="2E75B6"/>
          <w:sz w:val="26"/>
          <w:szCs w:val="26"/>
        </w:rPr>
        <w:t xml:space="preserve">Format Düzeltmeleri</w:t>
      </w:r>
    </w:p>
    <w:p>
      <w:pPr>
        <w:spacing w:after="100" w:before="100" w:line="360"/>
        <w:ind w:firstLine="720"/>
        <w:jc w:val="both"/>
      </w:pPr>
      <w:r>
        <w:rPr>
          <w:rFonts w:ascii="Times New Roman" w:cs="Times New Roman" w:eastAsia="Times New Roman" w:hAnsi="Times New Roman"/>
          <w:sz w:val="24"/>
          <w:szCs w:val="24"/>
        </w:rPr>
        <w:t xml:space="preserve">Tüm Türkçe karakter kodlama hataları, çift bölüm numaralandırmaları (7.7. TARTIŞMA), %3f placeholder hataları ve kopya atıflar ((28)(28)) düzeltilmiştir. Tez üç farklı cihazda ve PDF okuyucuda doğrulanmıştır.</w:t>
      </w:r>
    </w:p>
    <w:p>
      <w:r>
        <w:br w:type="page"/>
      </w:r>
    </w:p>
    <w:p>
      <w:pPr>
        <w:pStyle w:val="Heading1"/>
        <w:spacing w:after="200" w:before="360"/>
      </w:pPr>
      <w:r>
        <w:rPr>
          <w:rFonts w:ascii="Times New Roman" w:cs="Times New Roman" w:eastAsia="Times New Roman" w:hAnsi="Times New Roman"/>
          <w:b/>
          <w:bCs/>
          <w:color w:val="1F4E79"/>
          <w:sz w:val="28"/>
          <w:szCs w:val="28"/>
        </w:rPr>
        <w:t xml:space="preserve">ÖZET TABLO: ELEŞTİRİ — DURUM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4000"/>
        <w:gridCol w:w="1400"/>
      </w:tblGrid>
      <w:tr>
        <w:tc>
          <w:tcPr>
            <w:tcW w:type="dxa" w:w="24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Eleştiri</w:t>
            </w:r>
          </w:p>
        </w:tc>
        <w:tc>
          <w:tcPr>
            <w:tcW w:type="dxa" w:w="14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Durum</w:t>
            </w:r>
          </w:p>
        </w:tc>
        <w:tc>
          <w:tcPr>
            <w:tcW w:type="dxa" w:w="4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Yapılan Değişiklik</w:t>
            </w:r>
          </w:p>
        </w:tc>
        <w:tc>
          <w:tcPr>
            <w:tcW w:type="dxa" w:w="14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Not</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S1: Tek senaryo kısıtı</w:t>
            </w:r>
          </w:p>
        </w:tc>
        <w:tc>
          <w:tcPr>
            <w:tcW w:type="dxa" w:w="14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r>
              <w:rPr>
                <w:rFonts w:ascii="Times New Roman" w:cs="Times New Roman" w:eastAsia="Times New Roman" w:hAnsi="Times New Roman"/>
                <w:sz w:val="20"/>
                <w:szCs w:val="20"/>
              </w:rPr>
              <w:t xml:space="preserve">KABUL</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Üç SSP senaryosu yürütüldü</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S2: Yerleşme kavramı</w:t>
            </w:r>
          </w:p>
        </w:tc>
        <w:tc>
          <w:tcPr>
            <w:tcW w:type="dxa" w:w="14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r>
              <w:rPr>
                <w:rFonts w:ascii="Times New Roman" w:cs="Times New Roman" w:eastAsia="Times New Roman" w:hAnsi="Times New Roman"/>
                <w:sz w:val="20"/>
                <w:szCs w:val="20"/>
              </w:rPr>
              <w:t xml:space="preserve">KABUL</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Otokton salgın riski terminolojisi</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S3: Bernoulli ihlali</w:t>
            </w:r>
          </w:p>
        </w:tc>
        <w:tc>
          <w:tcPr>
            <w:tcW w:type="dxa" w:w="14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r>
              <w:rPr>
                <w:rFonts w:ascii="Times New Roman" w:cs="Times New Roman" w:eastAsia="Times New Roman" w:hAnsi="Times New Roman"/>
                <w:sz w:val="20"/>
                <w:szCs w:val="20"/>
              </w:rPr>
              <w:t xml:space="preserve">KABUL</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Poisson hazard düzeltmesi eklendi</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S4: m parametresi</w:t>
            </w:r>
          </w:p>
        </w:tc>
        <w:tc>
          <w:tcPr>
            <w:tcW w:type="dxa" w:w="14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r>
              <w:rPr>
                <w:rFonts w:ascii="Times New Roman" w:cs="Times New Roman" w:eastAsia="Times New Roman" w:hAnsi="Times New Roman"/>
                <w:sz w:val="20"/>
                <w:szCs w:val="20"/>
              </w:rPr>
              <w:t xml:space="preserve">KABUL</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Üst sınır tahmini etiketlemesi</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S5: İthalat modeli</w:t>
            </w:r>
          </w:p>
        </w:tc>
        <w:tc>
          <w:tcPr>
            <w:tcW w:type="dxa" w:w="14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r>
              <w:rPr>
                <w:rFonts w:ascii="Times New Roman" w:cs="Times New Roman" w:eastAsia="Times New Roman" w:hAnsi="Times New Roman"/>
                <w:sz w:val="20"/>
                <w:szCs w:val="20"/>
              </w:rPr>
              <w:t xml:space="preserve">KABUL</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GBD-ağırlıklı v3 modeli</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S6: Moran's I</w:t>
            </w:r>
          </w:p>
        </w:tc>
        <w:tc>
          <w:tcPr>
            <w:tcW w:type="dxa" w:w="14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r>
              <w:rPr>
                <w:rFonts w:ascii="Times New Roman" w:cs="Times New Roman" w:eastAsia="Times New Roman" w:hAnsi="Times New Roman"/>
                <w:sz w:val="20"/>
                <w:szCs w:val="20"/>
              </w:rPr>
              <w:t xml:space="preserve">KABUL</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Yorum düzeltildi</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S7: Müdahale eksikliği</w:t>
            </w:r>
          </w:p>
        </w:tc>
        <w:tc>
          <w:tcPr>
            <w:tcW w:type="dxa" w:w="1400"/>
            <w:tcBorders>
              <w:top w:val="single" w:color="999999" w:sz="1"/>
              <w:left w:val="single" w:color="999999" w:sz="1"/>
              <w:bottom w:val="single" w:color="999999" w:sz="1"/>
              <w:right w:val="single" w:color="999999" w:sz="1"/>
            </w:tcBorders>
            <w:shd w:fill="FFF9C4" w:val="clear"/>
            <w:tcMar>
              <w:top w:type="dxa" w:w="60"/>
              <w:left w:type="dxa" w:w="100"/>
              <w:bottom w:type="dxa" w:w="60"/>
              <w:right w:type="dxa" w:w="100"/>
            </w:tcMar>
          </w:tcPr>
          <w:p>
            <w:r>
              <w:rPr>
                <w:rFonts w:ascii="Times New Roman" w:cs="Times New Roman" w:eastAsia="Times New Roman" w:hAnsi="Times New Roman"/>
                <w:sz w:val="20"/>
                <w:szCs w:val="20"/>
              </w:rPr>
              <w:t xml:space="preserve">KISMEN KABUL</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m üzerinden dolaylı; sınırlılık</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S8: Species penalty</w:t>
            </w:r>
          </w:p>
        </w:tc>
        <w:tc>
          <w:tcPr>
            <w:tcW w:type="dxa" w:w="1400"/>
            <w:tcBorders>
              <w:top w:val="single" w:color="999999" w:sz="1"/>
              <w:left w:val="single" w:color="999999" w:sz="1"/>
              <w:bottom w:val="single" w:color="999999" w:sz="1"/>
              <w:right w:val="single" w:color="999999" w:sz="1"/>
            </w:tcBorders>
            <w:shd w:fill="FFF9C4" w:val="clear"/>
            <w:tcMar>
              <w:top w:type="dxa" w:w="60"/>
              <w:left w:type="dxa" w:w="100"/>
              <w:bottom w:type="dxa" w:w="60"/>
              <w:right w:type="dxa" w:w="100"/>
            </w:tcMar>
          </w:tcPr>
          <w:p>
            <w:r>
              <w:rPr>
                <w:rFonts w:ascii="Times New Roman" w:cs="Times New Roman" w:eastAsia="Times New Roman" w:hAnsi="Times New Roman"/>
                <w:sz w:val="20"/>
                <w:szCs w:val="20"/>
              </w:rPr>
              <w:t xml:space="preserve">KISMEN KABUL</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β_vh ±%20 analizi; sınırlılık</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S9: Overwintering</w:t>
            </w:r>
          </w:p>
        </w:tc>
        <w:tc>
          <w:tcPr>
            <w:tcW w:type="dxa" w:w="14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r>
              <w:rPr>
                <w:rFonts w:ascii="Times New Roman" w:cs="Times New Roman" w:eastAsia="Times New Roman" w:hAnsi="Times New Roman"/>
                <w:sz w:val="20"/>
                <w:szCs w:val="20"/>
              </w:rPr>
              <w:t xml:space="preserve">KABUL</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Terminoloji düzeltmesi; sınırlılık</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S10: Jensen / R₀</w:t>
            </w:r>
          </w:p>
        </w:tc>
        <w:tc>
          <w:tcPr>
            <w:tcW w:type="dxa" w:w="14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r>
              <w:rPr>
                <w:rFonts w:ascii="Times New Roman" w:cs="Times New Roman" w:eastAsia="Times New Roman" w:hAnsi="Times New Roman"/>
                <w:sz w:val="20"/>
                <w:szCs w:val="20"/>
              </w:rPr>
              <w:t xml:space="preserve">KABUL</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İç içe MC uygulanmış; sınırlılık</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S11: %3f hatası</w:t>
            </w:r>
          </w:p>
        </w:tc>
        <w:tc>
          <w:tcPr>
            <w:tcW w:type="dxa" w:w="14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r>
              <w:rPr>
                <w:rFonts w:ascii="Times New Roman" w:cs="Times New Roman" w:eastAsia="Times New Roman" w:hAnsi="Times New Roman"/>
                <w:sz w:val="20"/>
                <w:szCs w:val="20"/>
              </w:rPr>
              <w:t xml:space="preserve">KABUL</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Format düzeltildi</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S12: Do-nothing</w:t>
            </w:r>
          </w:p>
        </w:tc>
        <w:tc>
          <w:tcPr>
            <w:tcW w:type="dxa" w:w="14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r>
              <w:rPr>
                <w:rFonts w:ascii="Times New Roman" w:cs="Times New Roman" w:eastAsia="Times New Roman" w:hAnsi="Times New Roman"/>
                <w:sz w:val="20"/>
                <w:szCs w:val="20"/>
              </w:rPr>
              <w:t xml:space="preserve">KABUL</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Eylemsizlik senaryosu etiketlemesi</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S13: Bias correction</w:t>
            </w:r>
          </w:p>
        </w:tc>
        <w:tc>
          <w:tcPr>
            <w:tcW w:type="dxa" w:w="14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r>
              <w:rPr>
                <w:rFonts w:ascii="Times New Roman" w:cs="Times New Roman" w:eastAsia="Times New Roman" w:hAnsi="Times New Roman"/>
                <w:sz w:val="20"/>
                <w:szCs w:val="20"/>
              </w:rPr>
              <w:t xml:space="preserve">KABUL</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Delta-mapping açıklandı; UHI sınırlılık</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
            </w:r>
          </w:p>
        </w:tc>
      </w:tr>
    </w:tbl>
    <w:p>
      <w:pPr>
        <w:spacing w:after="100" w:before="100" w:line="360"/>
        <w:jc w:val="both"/>
      </w:pPr>
      <w:r>
        <w:rPr>
          <w:rFonts w:ascii="Times New Roman" w:cs="Times New Roman" w:eastAsia="Times New Roman" w:hAnsi="Times New Roman"/>
          <w:b w:val="false"/>
          <w:bCs w:val="false"/>
          <w:i w:val="false"/>
          <w:iCs w:val="false"/>
          <w:sz w:val="24"/>
          <w:szCs w:val="24"/>
        </w:rPr>
        <w:t xml:space="preserve"/>
      </w:r>
    </w:p>
    <w:p>
      <w:pPr>
        <w:spacing w:after="100" w:before="300" w:line="360"/>
        <w:jc w:val="both"/>
      </w:pPr>
      <w:r>
        <w:rPr>
          <w:rFonts w:ascii="Times New Roman" w:cs="Times New Roman" w:eastAsia="Times New Roman" w:hAnsi="Times New Roman"/>
          <w:sz w:val="24"/>
          <w:szCs w:val="24"/>
        </w:rPr>
        <w:t xml:space="preserve">Saygılarımla,</w:t>
      </w:r>
    </w:p>
    <w:p>
      <w:pPr>
        <w:spacing w:after="100" w:before="100" w:line="360"/>
        <w:jc w:val="both"/>
      </w:pPr>
      <w:r>
        <w:rPr>
          <w:rFonts w:ascii="Times New Roman" w:cs="Times New Roman" w:eastAsia="Times New Roman" w:hAnsi="Times New Roman"/>
          <w:b/>
          <w:bCs/>
          <w:sz w:val="24"/>
          <w:szCs w:val="24"/>
        </w:rPr>
        <w:t xml:space="preserve">Okan Derin</w:t>
      </w:r>
    </w:p>
    <w:p>
      <w:pPr>
        <w:spacing w:after="100" w:before="100" w:line="360"/>
        <w:jc w:val="both"/>
      </w:pPr>
      <w:r>
        <w:rPr>
          <w:rFonts w:ascii="Times New Roman" w:cs="Times New Roman" w:eastAsia="Times New Roman" w:hAnsi="Times New Roman"/>
          <w:sz w:val="24"/>
          <w:szCs w:val="24"/>
        </w:rPr>
        <w:t xml:space="preserve">Doktora Adayı, Halk Sağlığı Anabilim Dalı</w:t>
      </w:r>
    </w:p>
    <w:p>
      <w:pPr>
        <w:spacing w:after="100" w:before="100" w:line="360"/>
        <w:jc w:val="both"/>
      </w:pPr>
      <w:r>
        <w:rPr>
          <w:rFonts w:ascii="Times New Roman" w:cs="Times New Roman" w:eastAsia="Times New Roman" w:hAnsi="Times New Roman"/>
          <w:sz w:val="24"/>
          <w:szCs w:val="24"/>
        </w:rPr>
        <w:t xml:space="preserve">İstanbul Medipol Üniversitesi, Sağlık Bilimleri Enstitüsü</w:t>
      </w:r>
    </w:p>
    <w:sectPr>
      <w:headerReference w:type="default" r:id="rId7"/>
      <w:footerReference w:type="default" r:id="rId8"/>
      <w:pgSz w:w="11906" w:h="16838" w:orient="portrait"/>
      <w:pgMar w:top="1418" w:right="1418"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88888"/>
        <w:sz w:val="18"/>
        <w:szCs w:val="18"/>
      </w:rPr>
      <w:t xml:space="preserve">Eleştiri Yanıt Mektubu — Okan Derin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2026-04-02T21:23:40.270Z</dcterms:created>
  <dcterms:modified xsi:type="dcterms:W3CDTF">2026-04-02T21:23:40.271Z</dcterms:modified>
</cp:coreProperties>
</file>

<file path=docProps/custom.xml><?xml version="1.0" encoding="utf-8"?>
<Properties xmlns="http://schemas.openxmlformats.org/officeDocument/2006/custom-properties" xmlns:vt="http://schemas.openxmlformats.org/officeDocument/2006/docPropsVTypes"/>
</file>