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2001"/>
        <w:gridCol w:w="4037"/>
      </w:tblGrid>
      <w:tr>
        <w:trPr>
          <w:trHeight w:val="64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İlçe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Λ_ithalat (50 yıl)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Yorum</w:t>
            </w:r>
          </w:p>
        </w:tc>
      </w:tr>
      <w:tr>
        <w:trPr>
          <w:trHeight w:val="64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Kartal (İstanbul)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228.7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Yüksek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Fethiye (Muğla)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Orta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Hopa (Artvin)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Düşük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Zonguldak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Çok düşük (&lt; 1 beklenen vaka/50 yıl)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Eğirdir (Isparta)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Çok düşük (&lt; 1 beklenen vaka/50 yıl)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2026-07-13T01:43:52Z</dcterms:modified>
  <cp:category/>
</cp:coreProperties>
</file>