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64"/>
        <w:gridCol w:w="2001"/>
        <w:gridCol w:w="4037"/>
      </w:tblGrid>
      <w:tr>
        <w:trPr>
          <w:trHeight w:val="64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İlçe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Λ_ithalat (50 yıl)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Yorum</w:t>
            </w:r>
          </w:p>
        </w:tc>
      </w:tr>
      <w:tr>
        <w:trPr>
          <w:trHeight w:val="64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Kartal (İstanbul)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239.1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Yüksek ithalat baskısı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Fethiye (Muğla)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Orta ithalat baskısı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Hopa (Artvin)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Düşük ithalat baskısı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Zonguldak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Çok düşük (&lt; 1 beklenen vaka/50 yıl)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Eğirdir (Isparta)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Çok düşük (&lt; 1 beklenen vaka/50 yıl)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2026-07-19T21:27:49Z</dcterms:modified>
  <cp:category/>
</cp:coreProperties>
</file>