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2001"/>
        <w:gridCol w:w="4037"/>
      </w:tblGrid>
      <w:tr>
        <w:trPr>
          <w:trHeight w:val="64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İlçe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Λ_ithalat (50 yıl)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Yorum</w:t>
            </w:r>
          </w:p>
        </w:tc>
      </w:tr>
      <w:tr>
        <w:trPr>
          <w:trHeight w:val="64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Kartal (İstanbul)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289.6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Yüksek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Fethiye (Muğla)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Orta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Hopa (Artvin)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Düşük ithalat baskısı</w:t>
            </w:r>
          </w:p>
        </w:tc>
      </w:tr>
      <w:tr>
        <w:trPr>
          <w:trHeight w:val="617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Zonguldak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Çok düşük (&lt; 1 beklenen vaka/50 yıl)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Eğirdir (Isparta)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Çok düşük (&lt; 1 beklenen vaka/50 yıl)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2026-07-13T01:45:05Z</dcterms:modified>
  <cp:category/>
</cp:coreProperties>
</file>