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r3vg6i6nej0c" w:id="0"/>
      <w:bookmarkEnd w:id="0"/>
      <w:r w:rsidDel="00000000" w:rsidR="00000000" w:rsidRPr="00000000">
        <w:rPr>
          <w:rtl w:val="0"/>
        </w:rPr>
        <w:t xml:space="preserve">Documentation analytique</w:t>
      </w:r>
    </w:p>
    <w:p w:rsidR="00000000" w:rsidDel="00000000" w:rsidP="00000000" w:rsidRDefault="00000000" w:rsidRPr="00000000" w14:paraId="00000002">
      <w:pPr>
        <w:pStyle w:val="Heading2"/>
        <w:rPr/>
      </w:pPr>
      <w:bookmarkStart w:colFirst="0" w:colLast="0" w:name="_ovkmnhpwbawq" w:id="1"/>
      <w:bookmarkEnd w:id="1"/>
      <w:r w:rsidDel="00000000" w:rsidR="00000000" w:rsidRPr="00000000">
        <w:rPr>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L'objectif principal de notre tableau de bord n'est pas de faire de l'esthétisme, mais du </w:t>
      </w:r>
      <w:r w:rsidDel="00000000" w:rsidR="00000000" w:rsidRPr="00000000">
        <w:rPr>
          <w:b w:val="1"/>
          <w:bCs w:val="1"/>
          <w:rtl w:val="0"/>
        </w:rPr>
        <w:t xml:space="preserve">Management Visuel</w:t>
      </w:r>
      <w:r w:rsidDel="00000000" w:rsidR="00000000" w:rsidRPr="00000000">
        <w:rPr>
          <w:rtl w:val="0"/>
        </w:rPr>
        <w:t xml:space="preserve">. Un utilisateur (qu'il soit chef d'atelier ou logisticien) doit pouvoir comprendre la santé de sa ligne de production en un seul coup d'œil, sans avoir à lire des tableaux de chiffres compliqués.</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Le tableau de bord T'Elefan est organisé en 3 pages distinctes (</w:t>
      </w:r>
      <w:r w:rsidDel="00000000" w:rsidR="00000000" w:rsidRPr="00000000">
        <w:rPr>
          <w:rFonts w:ascii="Roboto Mono" w:cs="Roboto Mono" w:eastAsia="Roboto Mono" w:hAnsi="Roboto Mono"/>
          <w:color w:val="188038"/>
          <w:rtl w:val="0"/>
        </w:rPr>
        <w:t xml:space="preserve">qualite.html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performance.html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robotino.html</w:t>
      </w:r>
      <w:r w:rsidDel="00000000" w:rsidR="00000000" w:rsidRPr="00000000">
        <w:rPr>
          <w:rtl w:val="0"/>
        </w:rPr>
        <w:t xml:space="preserve">). Cette séparation permet de répondre simplement aux demandes du cahier des charges sans surcharger l'écran de l'utilisateur.</w:t>
      </w:r>
    </w:p>
    <w:p w:rsidR="00000000" w:rsidDel="00000000" w:rsidP="00000000" w:rsidRDefault="00000000" w:rsidRPr="00000000" w14:paraId="00000005">
      <w:pPr>
        <w:pStyle w:val="Heading2"/>
        <w:spacing w:after="240" w:before="240" w:lineRule="auto"/>
        <w:rPr/>
      </w:pPr>
      <w:bookmarkStart w:colFirst="0" w:colLast="0" w:name="_nk7s74e784tn" w:id="2"/>
      <w:bookmarkEnd w:id="2"/>
      <w:r w:rsidDel="00000000" w:rsidR="00000000" w:rsidRPr="00000000">
        <w:rPr>
          <w:rtl w:val="0"/>
        </w:rPr>
        <w:t xml:space="preserve">2. Présentation des indicateurs et justification des choix</w:t>
      </w:r>
    </w:p>
    <w:p w:rsidR="00000000" w:rsidDel="00000000" w:rsidP="00000000" w:rsidRDefault="00000000" w:rsidRPr="00000000" w14:paraId="00000006">
      <w:pPr>
        <w:pStyle w:val="Heading3"/>
        <w:numPr>
          <w:ilvl w:val="0"/>
          <w:numId w:val="5"/>
        </w:numPr>
        <w:spacing w:after="0" w:afterAutospacing="0"/>
        <w:ind w:left="1440" w:hanging="360"/>
      </w:pPr>
      <w:bookmarkStart w:colFirst="0" w:colLast="0" w:name="_7p5u1ehg9fw9" w:id="3"/>
      <w:bookmarkEnd w:id="3"/>
      <w:r w:rsidDel="00000000" w:rsidR="00000000" w:rsidRPr="00000000">
        <w:rPr>
          <w:rtl w:val="0"/>
        </w:rPr>
        <w:t xml:space="preserve">Page Qualité et Maintenance</w:t>
      </w:r>
    </w:p>
    <w:p w:rsidR="00000000" w:rsidDel="00000000" w:rsidP="00000000" w:rsidRDefault="00000000" w:rsidRPr="00000000" w14:paraId="00000007">
      <w:pPr>
        <w:pStyle w:val="Heading4"/>
        <w:numPr>
          <w:ilvl w:val="0"/>
          <w:numId w:val="6"/>
        </w:numPr>
        <w:spacing w:before="0" w:beforeAutospacing="0"/>
        <w:ind w:left="1440" w:hanging="360"/>
        <w:rPr/>
      </w:pPr>
      <w:bookmarkStart w:colFirst="0" w:colLast="0" w:name="_fwr4rew3u1xq" w:id="4"/>
      <w:bookmarkEnd w:id="4"/>
      <w:r w:rsidDel="00000000" w:rsidR="00000000" w:rsidRPr="00000000">
        <w:rPr>
          <w:rtl w:val="0"/>
        </w:rPr>
        <w:t xml:space="preserve">Statut du Taux d'Arrêt (Pannes)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Le choix visuel et les couleurs :</w:t>
      </w:r>
      <w:r w:rsidDel="00000000" w:rsidR="00000000" w:rsidRPr="00000000">
        <w:rPr>
          <w:rtl w:val="0"/>
        </w:rPr>
        <w:t xml:space="preserve"> Pour cet indicateur, nous avons opté pour une carte affichant un chiffre clé très lisible (KPI) associé à un code couleur dynamique de type "feu tricolore", basé sur des seuils de tolérance précis. Si le taux de panne est inférieur à 5 %, la jauge s'affiche en </w:t>
      </w:r>
      <w:r w:rsidDel="00000000" w:rsidR="00000000" w:rsidRPr="00000000">
        <w:rPr>
          <w:b w:val="1"/>
          <w:bCs w:val="1"/>
          <w:rtl w:val="0"/>
        </w:rPr>
        <w:t xml:space="preserve">vert (Optimal)</w:t>
      </w:r>
      <w:r w:rsidDel="00000000" w:rsidR="00000000" w:rsidRPr="00000000">
        <w:rPr>
          <w:rtl w:val="0"/>
        </w:rPr>
        <w:t xml:space="preserve">, signalant un fonctionnement sain de la ligne. S'il se situe entre 5 % et 10 %, il passe en </w:t>
      </w:r>
      <w:r w:rsidDel="00000000" w:rsidR="00000000" w:rsidRPr="00000000">
        <w:rPr>
          <w:b w:val="1"/>
          <w:bCs w:val="1"/>
          <w:rtl w:val="0"/>
        </w:rPr>
        <w:t xml:space="preserve">orange (Attention)</w:t>
      </w:r>
      <w:r w:rsidDel="00000000" w:rsidR="00000000" w:rsidRPr="00000000">
        <w:rPr>
          <w:rtl w:val="0"/>
        </w:rPr>
        <w:t xml:space="preserve"> pour suggérer une maintenance préventive. Enfin, s'il dépasse le seuil critique de 10 %, l'indicateur vire au </w:t>
      </w:r>
      <w:r w:rsidDel="00000000" w:rsidR="00000000" w:rsidRPr="00000000">
        <w:rPr>
          <w:b w:val="1"/>
          <w:bCs w:val="1"/>
          <w:rtl w:val="0"/>
        </w:rPr>
        <w:t xml:space="preserve">rouge (Critique)</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L'apport pour l'utilisateur :</w:t>
      </w:r>
      <w:r w:rsidDel="00000000" w:rsidR="00000000" w:rsidRPr="00000000">
        <w:rPr>
          <w:rtl w:val="0"/>
        </w:rPr>
        <w:t xml:space="preserve"> L'objectif est l'efficacité visuelle immédiate. En traduisant un pourcentage abstrait par une couleur familière, le responsable de production ou de maintenance sait en moins de trois secondes s'il doit intervenir. S'il voit du rouge, le sentiment d'urgence est déclenché : il comprend instantanément que la ligne passe trop de temps à l'arrêt et qu'une action corrective est requise sans délai.</w:t>
      </w:r>
    </w:p>
    <w:p w:rsidR="00000000" w:rsidDel="00000000" w:rsidP="00000000" w:rsidRDefault="00000000" w:rsidRPr="00000000" w14:paraId="0000000A">
      <w:pPr>
        <w:pStyle w:val="Heading4"/>
        <w:numPr>
          <w:ilvl w:val="0"/>
          <w:numId w:val="6"/>
        </w:numPr>
        <w:ind w:left="1440" w:hanging="360"/>
        <w:rPr/>
      </w:pPr>
      <w:bookmarkStart w:colFirst="0" w:colLast="0" w:name="_ei1lbr3uk4re" w:id="5"/>
      <w:bookmarkEnd w:id="5"/>
      <w:r w:rsidDel="00000000" w:rsidR="00000000" w:rsidRPr="00000000">
        <w:rPr>
          <w:rtl w:val="0"/>
        </w:rPr>
        <w:t xml:space="preserve">Diagramme de Pareto (Analyse des Erreurs)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Le choix visuel :</w:t>
      </w:r>
      <w:r w:rsidDel="00000000" w:rsidR="00000000" w:rsidRPr="00000000">
        <w:rPr>
          <w:rtl w:val="0"/>
        </w:rPr>
        <w:t xml:space="preserve"> Nous avons choisi un graphique combinant des barres verticales (histogramme) et une courbe (pourcentage cumulé). La grande force de ce visuel est son tri automatique : les erreurs sont toujours classées de la plus fréquente (à gauche) à la moins fréquente (à droite).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L'apport pour l'utilisateur :</w:t>
      </w:r>
      <w:r w:rsidDel="00000000" w:rsidR="00000000" w:rsidRPr="00000000">
        <w:rPr>
          <w:rtl w:val="0"/>
        </w:rPr>
        <w:t xml:space="preserve"> Face à une ligne automatisée qui peut générer des dizaines de petits codes d'erreurs différents, un technicien ou un responsable qualité peut vite se disperser. Ce graphique applique visuellement la fameuse loi des 80/20. L'utilisateur n'a pas besoin d'analyser un tableau de chiffres complexe : son œil est naturellement attiré par </w:t>
      </w:r>
      <w:r w:rsidDel="00000000" w:rsidR="00000000" w:rsidRPr="00000000">
        <w:rPr>
          <w:b w:val="1"/>
          <w:bCs w:val="1"/>
          <w:rtl w:val="0"/>
        </w:rPr>
        <w:t xml:space="preserve">la plus grande barre située tout à gauche</w:t>
      </w:r>
      <w:r w:rsidDel="00000000" w:rsidR="00000000" w:rsidRPr="00000000">
        <w:rPr>
          <w:rtl w:val="0"/>
        </w:rPr>
        <w:t xml:space="preserve">. Il sait instantanément que c'est </w:t>
      </w:r>
      <w:r w:rsidDel="00000000" w:rsidR="00000000" w:rsidRPr="00000000">
        <w:rPr>
          <w:i w:val="1"/>
          <w:iCs w:val="1"/>
          <w:rtl w:val="0"/>
        </w:rPr>
        <w:t xml:space="preserve">ce défaut précis</w:t>
      </w:r>
      <w:r w:rsidDel="00000000" w:rsidR="00000000" w:rsidRPr="00000000">
        <w:rPr>
          <w:rtl w:val="0"/>
        </w:rPr>
        <w:t xml:space="preserve"> qu'il doit régler en priorité absolue pour relancer la productivité de l'usine, évitant ainsi de perdre du temps sur des micro-arrêts sans impact.</w:t>
      </w:r>
    </w:p>
    <w:p w:rsidR="00000000" w:rsidDel="00000000" w:rsidP="00000000" w:rsidRDefault="00000000" w:rsidRPr="00000000" w14:paraId="0000000D">
      <w:pPr>
        <w:pStyle w:val="Heading4"/>
        <w:numPr>
          <w:ilvl w:val="0"/>
          <w:numId w:val="6"/>
        </w:numPr>
        <w:spacing w:after="240" w:before="240" w:lineRule="auto"/>
        <w:ind w:left="1440" w:hanging="360"/>
        <w:rPr/>
      </w:pPr>
      <w:bookmarkStart w:colFirst="0" w:colLast="0" w:name="_sgcff0m2zri8" w:id="6"/>
      <w:bookmarkEnd w:id="6"/>
      <w:r w:rsidDel="00000000" w:rsidR="00000000" w:rsidRPr="00000000">
        <w:rPr>
          <w:rtl w:val="0"/>
        </w:rPr>
        <w:t xml:space="preserve">Consommation Électrique (W) / Consommation Air (L/min)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Le choix visuel :</w:t>
      </w:r>
      <w:r w:rsidDel="00000000" w:rsidR="00000000" w:rsidRPr="00000000">
        <w:rPr>
          <w:rtl w:val="0"/>
        </w:rPr>
        <w:t xml:space="preserve"> Pour représenter la consommation d'énergie, nous avons opté pour un graphique en nuage de points (scatter plot). L'axe horizontal liste les différentes machines de la ligne (Stations), tandis que l'axe vertical affiche le volume consommé. Ce format permet de placer des points précis représentant la consommation totale pour chaque machine, en distinguant l'électricité et l'air comprimé.</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L'apport pour l'utilisateur :</w:t>
      </w:r>
      <w:r w:rsidDel="00000000" w:rsidR="00000000" w:rsidRPr="00000000">
        <w:rPr>
          <w:rtl w:val="0"/>
        </w:rPr>
        <w:t xml:space="preserve"> L'œil humain est naturellement attiré par ce qui sort de la norme. Grâce à cette disposition en nuage de points, le Responsable HSE ou la Maintenance n'a pas besoin d'éplucher des tableaux de chiffres. Si un point se détache très nettement vers le haut par rapport au reste du groupe, il identifie instantanément une anomalie (une "valeur aberrante"). Cela signale immédiatement qu'une machine spécifique surconsomme de manière anormale, ce qui indique très souvent une fuite d'air silencieuse ou un composant mécanique qui force. L'utilisateur sait donc exactement </w:t>
      </w:r>
      <w:r w:rsidDel="00000000" w:rsidR="00000000" w:rsidRPr="00000000">
        <w:rPr>
          <w:b w:val="1"/>
          <w:bCs w:val="1"/>
          <w:rtl w:val="0"/>
        </w:rPr>
        <w:t xml:space="preserve">quelle station</w:t>
      </w:r>
      <w:r w:rsidDel="00000000" w:rsidR="00000000" w:rsidRPr="00000000">
        <w:rPr>
          <w:rtl w:val="0"/>
        </w:rPr>
        <w:t xml:space="preserve"> cibler pour son diagnostic, permettant une maintenance anticipée avant la panne.</w:t>
      </w:r>
    </w:p>
    <w:p w:rsidR="00000000" w:rsidDel="00000000" w:rsidP="00000000" w:rsidRDefault="00000000" w:rsidRPr="00000000" w14:paraId="00000010">
      <w:pPr>
        <w:pStyle w:val="Heading3"/>
        <w:ind w:firstLine="720"/>
        <w:rPr/>
      </w:pPr>
      <w:bookmarkStart w:colFirst="0" w:colLast="0" w:name="_to799henau4y" w:id="7"/>
      <w:bookmarkEnd w:id="7"/>
      <w:r w:rsidDel="00000000" w:rsidR="00000000" w:rsidRPr="00000000">
        <w:rPr>
          <w:rtl w:val="0"/>
        </w:rPr>
        <w:t xml:space="preserve">B. Page Performance</w:t>
      </w:r>
    </w:p>
    <w:p w:rsidR="00000000" w:rsidDel="00000000" w:rsidP="00000000" w:rsidRDefault="00000000" w:rsidRPr="00000000" w14:paraId="00000011">
      <w:pPr>
        <w:pStyle w:val="Heading4"/>
        <w:numPr>
          <w:ilvl w:val="0"/>
          <w:numId w:val="1"/>
        </w:numPr>
        <w:ind w:left="1440" w:hanging="360"/>
        <w:rPr/>
      </w:pPr>
      <w:bookmarkStart w:colFirst="0" w:colLast="0" w:name="_sh8h6tor1odj" w:id="8"/>
      <w:bookmarkEnd w:id="8"/>
      <w:r w:rsidDel="00000000" w:rsidR="00000000" w:rsidRPr="00000000">
        <w:rPr>
          <w:rtl w:val="0"/>
        </w:rPr>
        <w:t xml:space="preserve">Synthèse des Performances (TRS, Rotation de Stock, Obstacles)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Le choix visuel :</w:t>
      </w:r>
      <w:r w:rsidDel="00000000" w:rsidR="00000000" w:rsidRPr="00000000">
        <w:rPr>
          <w:rtl w:val="0"/>
        </w:rPr>
        <w:t xml:space="preserve"> Pour cette vue d'ensemble, nous avons opté pour un regroupement de trois cartes de synthèse affichant les indicateurs clés (KPI) en très gros caractères. L'information est épurée au maximum. La première carte, dédiée au Taux de Rendement Synthétique (TRS), intègre en complément une barre de progression dynamique en arrière-plan, qui se remplit en fonction du score obtenu.</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L'apport pour l'utilisateur :</w:t>
      </w:r>
      <w:r w:rsidDel="00000000" w:rsidR="00000000" w:rsidRPr="00000000">
        <w:rPr>
          <w:rtl w:val="0"/>
        </w:rPr>
        <w:t xml:space="preserve"> Ce format offre un point de situation instantané, idéal pour le Management Visuel quotidien. Le Responsable de Production ou des Méthodes n'a pas à chercher l'information au milieu d'un tableau complexe. La barre de progression du TRS est particulièrement pertinente : elle matérialise physiquement la distance qui sépare l'usine de son objectif de 70 % de rendement. En un coup d'œil, l'utilisateur valide l'état de santé global (cadence de production, fluidité des stocks et fluidité du robot). Si les chiffres sont en deçà des attentes, il est intuitivement invité à scroller vers le bas pour consulter les graphiques détaillés et trouver la source du problème.</w:t>
      </w:r>
    </w:p>
    <w:p w:rsidR="00000000" w:rsidDel="00000000" w:rsidP="00000000" w:rsidRDefault="00000000" w:rsidRPr="00000000" w14:paraId="00000014">
      <w:pPr>
        <w:pStyle w:val="Heading4"/>
        <w:numPr>
          <w:ilvl w:val="0"/>
          <w:numId w:val="1"/>
        </w:numPr>
        <w:ind w:left="1440" w:hanging="360"/>
        <w:rPr/>
      </w:pPr>
      <w:bookmarkStart w:colFirst="0" w:colLast="0" w:name="_w976pu9au6a7" w:id="9"/>
      <w:bookmarkEnd w:id="9"/>
      <w:r w:rsidDel="00000000" w:rsidR="00000000" w:rsidRPr="00000000">
        <w:rPr>
          <w:rtl w:val="0"/>
        </w:rPr>
        <w:t xml:space="preserve">Évolution du TRS (Taux de Rendement Synthétique)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Le choix visuel :</w:t>
      </w:r>
      <w:r w:rsidDel="00000000" w:rsidR="00000000" w:rsidRPr="00000000">
        <w:rPr>
          <w:rtl w:val="0"/>
        </w:rPr>
        <w:t xml:space="preserve"> Pour suivre la performance globale dans le temps, nous avons opté pour un graphique en courbe (ligne de tendance). L'axe horizontal représente la chronologie (les jours ou les périodes de production), et l'axe vertical affiche le score du TRS en pourcentage. Ce format large et étiré permet de visualiser un historique continu, mettant en évidence les variations de l'efficacité de la ligne Festo sur la durée.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L'apport pour l'utilisateur :</w:t>
      </w:r>
      <w:r w:rsidDel="00000000" w:rsidR="00000000" w:rsidRPr="00000000">
        <w:rPr>
          <w:rtl w:val="0"/>
        </w:rPr>
        <w:t xml:space="preserve"> Ce graphique permet au Responsable de Production ou d'Amélioration Continue de dépasser la simple vision "à l'instant T" donnée par les KPI du haut de page. En observant l'allure de la courbe, l'utilisateur identifie immédiatement les tendances de fond. Une ligne qui monte progressivement lui prouve que les récentes actions correctives (réglages, maintenance) ont porté leurs fruits. À l'inverse, une courbe qui chute ou qui présente de fortes variations en "dents de scie" signale une instabilité chronique du processus. L'utilisateur peut ainsi repérer les jours exacts où la performance a baissé et chercher à comprendre ce qui s'est passé (un changement de série difficile, un manque de pièces), afin d'éviter que le problème ne se reproduise.</w:t>
      </w:r>
    </w:p>
    <w:p w:rsidR="00000000" w:rsidDel="00000000" w:rsidP="00000000" w:rsidRDefault="00000000" w:rsidRPr="00000000" w14:paraId="00000017">
      <w:pPr>
        <w:pStyle w:val="Heading4"/>
        <w:numPr>
          <w:ilvl w:val="0"/>
          <w:numId w:val="1"/>
        </w:numPr>
        <w:ind w:left="1440" w:hanging="360"/>
        <w:rPr/>
      </w:pPr>
      <w:bookmarkStart w:colFirst="0" w:colLast="0" w:name="_geu67m83nekv" w:id="10"/>
      <w:bookmarkEnd w:id="10"/>
      <w:r w:rsidDel="00000000" w:rsidR="00000000" w:rsidRPr="00000000">
        <w:rPr>
          <w:rtl w:val="0"/>
        </w:rPr>
        <w:t xml:space="preserve">Lead Time (Jours par étape)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Le choix visuel :</w:t>
      </w:r>
      <w:r w:rsidDel="00000000" w:rsidR="00000000" w:rsidRPr="00000000">
        <w:rPr>
          <w:rtl w:val="0"/>
        </w:rPr>
        <w:t xml:space="preserve"> Pour visualiser le temps de traversée des produits (le Lead Time), nous avons choisi un diagramme en barres (histogramme). L'axe détaille chaque grande étape chronologique du processus de fabrication, tandis que la taille de chaque barre représente la durée moyenne passée à cette étape, exprimée en jours.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L'apport pour l'utilisateur :</w:t>
      </w:r>
      <w:r w:rsidDel="00000000" w:rsidR="00000000" w:rsidRPr="00000000">
        <w:rPr>
          <w:rtl w:val="0"/>
        </w:rPr>
        <w:t xml:space="preserve"> Le respect des délais de livraison est le défi principal de la Supply Chain. Ce graphique permet au responsable de repérer instantanément le "goulot d'étranglement" de l'usine. L'utilisateur n'a pas besoin de calculer les temps de passage dans la base de données : si une barre est anormalement longue par rapport aux autres, il sait que c'est à cet endroit précis que les pièces s'accumulent ou que le processus ralentit. Il peut alors cibler ses efforts d'optimisation (réorganiser le poste de travail, fluidifier l'approvisionnement) spécifiquement sur cette étape bloquante, ce qui aura pour effet d'accélérer toute la chaîne et de réduire le délai global pour le client final.</w:t>
      </w:r>
    </w:p>
    <w:p w:rsidR="00000000" w:rsidDel="00000000" w:rsidP="00000000" w:rsidRDefault="00000000" w:rsidRPr="00000000" w14:paraId="0000001A">
      <w:pPr>
        <w:pStyle w:val="Heading3"/>
        <w:ind w:firstLine="720"/>
        <w:rPr/>
      </w:pPr>
      <w:bookmarkStart w:colFirst="0" w:colLast="0" w:name="_rg6iwbwrdywp" w:id="11"/>
      <w:bookmarkEnd w:id="11"/>
      <w:r w:rsidDel="00000000" w:rsidR="00000000" w:rsidRPr="00000000">
        <w:rPr>
          <w:rtl w:val="0"/>
        </w:rPr>
        <w:t xml:space="preserve">C. Page Robotino</w:t>
      </w:r>
    </w:p>
    <w:p w:rsidR="00000000" w:rsidDel="00000000" w:rsidP="00000000" w:rsidRDefault="00000000" w:rsidRPr="00000000" w14:paraId="0000001B">
      <w:pPr>
        <w:pStyle w:val="Heading4"/>
        <w:numPr>
          <w:ilvl w:val="0"/>
          <w:numId w:val="4"/>
        </w:numPr>
        <w:ind w:left="1440" w:hanging="360"/>
        <w:rPr/>
      </w:pPr>
      <w:bookmarkStart w:colFirst="0" w:colLast="0" w:name="_qxhivxpcu0qu" w:id="12"/>
      <w:bookmarkEnd w:id="12"/>
      <w:r w:rsidDel="00000000" w:rsidR="00000000" w:rsidRPr="00000000">
        <w:rPr>
          <w:rtl w:val="0"/>
        </w:rPr>
        <w:t xml:space="preserve">Robotino</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Le choix visuel :</w:t>
      </w:r>
      <w:r w:rsidDel="00000000" w:rsidR="00000000" w:rsidRPr="00000000">
        <w:rPr>
          <w:rtl w:val="0"/>
        </w:rPr>
        <w:t xml:space="preserve"> Nous avons regroupé les trois indicateurs vitaux du robot sous forme de "cartes" de synthèse (KPI) placées tout en haut de l'écran. Chaque carte affiche sa valeur clé en très gros caractères, accompagnée d'une "sparkline" (une mini-courbe de tendance très épurée) en arrière-plan. La particularité de cet affichage est l'intégration de champs de saisie modifiables directement dans les cartes (ex: réglage du seuil critique ou de l'autonomie théorique).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L'apport pour l'utilisateur :</w:t>
      </w:r>
      <w:r w:rsidDel="00000000" w:rsidR="00000000" w:rsidRPr="00000000">
        <w:rPr>
          <w:rtl w:val="0"/>
        </w:rPr>
        <w:t xml:space="preserve"> Ce format offre un condensé d'informations extrêmement rapide à lire pour le responsable logistique. Le gros chiffre donne l'état à l'instant T, tandis que la mini-courbe permet de comprendre la dynamique (la batterie est-elle stable ou en chute libre ?) sans avoir à chercher dans un graphique complexe. L'ajout des champs de saisie interactifs est un atout d'assistance majeur : l'utilisateur n'est pas passif. Si le robot vieillit et que sa capacité réelle diminue, le logisticien peut ajuster lui-même le calcul d'autonomie. Le tableau de bord se met alors à jour en temps réel pour refléter la réalité du terrain, offrant un outil flexible et durable.</w:t>
      </w:r>
    </w:p>
    <w:p w:rsidR="00000000" w:rsidDel="00000000" w:rsidP="00000000" w:rsidRDefault="00000000" w:rsidRPr="00000000" w14:paraId="0000001E">
      <w:pPr>
        <w:pStyle w:val="Heading4"/>
        <w:numPr>
          <w:ilvl w:val="0"/>
          <w:numId w:val="4"/>
        </w:numPr>
        <w:ind w:left="1440" w:hanging="360"/>
        <w:rPr/>
      </w:pPr>
      <w:bookmarkStart w:colFirst="0" w:colLast="0" w:name="_q18t5qr18im0" w:id="13"/>
      <w:bookmarkEnd w:id="13"/>
      <w:r w:rsidDel="00000000" w:rsidR="00000000" w:rsidRPr="00000000">
        <w:rPr>
          <w:rtl w:val="0"/>
        </w:rPr>
        <w:t xml:space="preserve">Batterie &amp; autonomie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Le choix visuel :</w:t>
      </w:r>
      <w:r w:rsidDel="00000000" w:rsidR="00000000" w:rsidRPr="00000000">
        <w:rPr>
          <w:rtl w:val="0"/>
        </w:rPr>
        <w:t xml:space="preserve"> Pour analyser le comportement énergétique du robot sur la durée, nous avons opté pour un graphique en courbe de tendance temporelle affiché en format large. L'axe horizontal représente le temps, tandis que l'axe vertical trace l'évolution du niveau de la batterie. Ce graphique interactif intègre une fonctionnalité de zoom ainsi qu'un bouton d'affichage en plein écran pour isoler visuellement les données.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L'apport pour l'utilisateur :</w:t>
      </w:r>
      <w:r w:rsidDel="00000000" w:rsidR="00000000" w:rsidRPr="00000000">
        <w:rPr>
          <w:rtl w:val="0"/>
        </w:rPr>
        <w:t xml:space="preserve"> Alors que les indicateurs du haut donnent une vision en temps réel, cette courbe retrace l'historique complet de l'activité du robot. L'utilisateur n'a pas besoin de lire des journaux de données complexes : il visualise directement le rythme de travail de la machine. Les phases descendantes de la courbe montrent la vitesse de décharge pendant une mission, et les phases montantes illustrent le temps de recharge. Si la pente de la ligne descendante devient de plus en plus abrupte au fil des semaines, le responsable maintenance comprend immédiatement que la batterie s'use et perd de sa capacité. La fonction plein écran prend alors tout son sens : elle lui permet de zoomer sur un cycle précis pour confirmer son diagnostic de défaillance, sans être distrait par le reste du tableau de bord.</w:t>
      </w:r>
    </w:p>
    <w:p w:rsidR="00000000" w:rsidDel="00000000" w:rsidP="00000000" w:rsidRDefault="00000000" w:rsidRPr="00000000" w14:paraId="00000022">
      <w:pPr>
        <w:pStyle w:val="Heading4"/>
        <w:numPr>
          <w:ilvl w:val="0"/>
          <w:numId w:val="4"/>
        </w:numPr>
        <w:ind w:left="1440" w:hanging="360"/>
        <w:rPr/>
      </w:pPr>
      <w:bookmarkStart w:colFirst="0" w:colLast="0" w:name="_3etey18on8v0" w:id="14"/>
      <w:bookmarkEnd w:id="14"/>
      <w:r w:rsidDel="00000000" w:rsidR="00000000" w:rsidRPr="00000000">
        <w:rPr>
          <w:rtl w:val="0"/>
        </w:rPr>
        <w:t xml:space="preserve">Cycles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Le choix visuel :</w:t>
      </w:r>
      <w:r w:rsidDel="00000000" w:rsidR="00000000" w:rsidRPr="00000000">
        <w:rPr>
          <w:rtl w:val="0"/>
        </w:rPr>
        <w:t xml:space="preserve"> Pour analyser les performances spécifiques à chaque trajet, nous avons utilisé un diagramme en barres (histogramme). Chaque colonne représente un cycle de travail du robot, segmentée visuellement pour séparer le temps passé à se déplacer et le temps passé à se recharger. Ce graphique est accompagné d'une liste textuelle défilante qui affiche les données précises des tout derniers cycles effectués.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L'apport pour l'utilisateur :</w:t>
      </w:r>
      <w:r w:rsidDel="00000000" w:rsidR="00000000" w:rsidRPr="00000000">
        <w:rPr>
          <w:rtl w:val="0"/>
        </w:rPr>
        <w:t xml:space="preserve"> Ce visuel permet au responsable logistique ou maintenance d'évaluer directement l'efficacité et la rentabilité du robot. Idéalement, l'AGV doit passer beaucoup plus de temps à transporter des pièces qu'à rester branché. Si l'utilisateur remarque sur l'histogramme qu'une barre de recharge devient soudainement plus grande que la barre de déplacement, il détecte immédiatement une perte de rendement. La liste défilante située juste à côté lui permet alors de retrouver instantanément les chiffres exacts de ce cycle précis. Il peut ainsi vérifier si l'anomalie vient d'un trajet exceptionnellement lourd ou d'un problème matériel, sans jamais avoir besoin d'ouvrir la base de données.</w:t>
      </w:r>
    </w:p>
    <w:p w:rsidR="00000000" w:rsidDel="00000000" w:rsidP="00000000" w:rsidRDefault="00000000" w:rsidRPr="00000000" w14:paraId="00000025">
      <w:pPr>
        <w:pStyle w:val="Heading2"/>
        <w:keepNext w:val="0"/>
        <w:keepLines w:val="0"/>
        <w:spacing w:before="280" w:lineRule="auto"/>
        <w:rPr/>
      </w:pPr>
      <w:bookmarkStart w:colFirst="0" w:colLast="0" w:name="_abc8r4a3livu" w:id="15"/>
      <w:bookmarkEnd w:id="15"/>
      <w:r w:rsidDel="00000000" w:rsidR="00000000" w:rsidRPr="00000000">
        <w:rPr>
          <w:rtl w:val="0"/>
        </w:rPr>
        <w:t xml:space="preserve">3. Modélisation et découvertes dans les données mises à disposition</w:t>
      </w:r>
    </w:p>
    <w:p w:rsidR="00000000" w:rsidDel="00000000" w:rsidP="00000000" w:rsidRDefault="00000000" w:rsidRPr="00000000" w14:paraId="00000026">
      <w:pPr>
        <w:spacing w:after="240" w:before="240" w:lineRule="auto"/>
        <w:rPr/>
      </w:pPr>
      <w:r w:rsidDel="00000000" w:rsidR="00000000" w:rsidRPr="00000000">
        <w:rPr>
          <w:rtl w:val="0"/>
        </w:rPr>
        <w:t xml:space="preserve">L'élaboration de ce tableau de bord a nécessité une phase d'exploration et de structuration importante des données sources (MariaDB et fichiers CSV).</w:t>
      </w:r>
    </w:p>
    <w:p w:rsidR="00000000" w:rsidDel="00000000" w:rsidP="00000000" w:rsidRDefault="00000000" w:rsidRPr="00000000" w14:paraId="00000027">
      <w:pPr>
        <w:pStyle w:val="Heading3"/>
        <w:keepNext w:val="0"/>
        <w:keepLines w:val="0"/>
        <w:spacing w:after="40" w:before="240" w:lineRule="auto"/>
        <w:rPr/>
      </w:pPr>
      <w:bookmarkStart w:colFirst="0" w:colLast="0" w:name="_gdg255pjdiys" w:id="16"/>
      <w:bookmarkEnd w:id="16"/>
      <w:r w:rsidDel="00000000" w:rsidR="00000000" w:rsidRPr="00000000">
        <w:rPr>
          <w:rtl w:val="0"/>
        </w:rPr>
        <w:t xml:space="preserve">3.1. Construction autonome du Dictionnaire des données</w:t>
      </w:r>
    </w:p>
    <w:p w:rsidR="00000000" w:rsidDel="00000000" w:rsidP="00000000" w:rsidRDefault="00000000" w:rsidRPr="00000000" w14:paraId="00000028">
      <w:pPr>
        <w:spacing w:after="240" w:before="240" w:lineRule="auto"/>
        <w:rPr/>
      </w:pPr>
      <w:r w:rsidDel="00000000" w:rsidR="00000000" w:rsidRPr="00000000">
        <w:rPr>
          <w:rtl w:val="0"/>
        </w:rPr>
        <w:t xml:space="preserve">Face à la complexité de la base de données de production (Festo MES4), et </w:t>
      </w:r>
      <w:r w:rsidDel="00000000" w:rsidR="00000000" w:rsidRPr="00000000">
        <w:rPr>
          <w:b w:val="1"/>
          <w:bCs w:val="1"/>
          <w:rtl w:val="0"/>
        </w:rPr>
        <w:t xml:space="preserve">sans l'appui technique des équipes métiers QLIO</w:t>
      </w:r>
      <w:r w:rsidDel="00000000" w:rsidR="00000000" w:rsidRPr="00000000">
        <w:rPr>
          <w:rtl w:val="0"/>
        </w:rPr>
        <w:t xml:space="preserve">, nous avons dû réaliser un travail de rétro-ingénierie complet pour comprendre les flux d'informations. Nous avons ainsi construit notre propre </w:t>
      </w:r>
      <w:r w:rsidDel="00000000" w:rsidR="00000000" w:rsidRPr="00000000">
        <w:rPr>
          <w:b w:val="1"/>
          <w:bCs w:val="1"/>
          <w:rtl w:val="0"/>
        </w:rPr>
        <w:t xml:space="preserve">Dictionnaire des données</w:t>
      </w:r>
      <w:r w:rsidDel="00000000" w:rsidR="00000000" w:rsidRPr="00000000">
        <w:rPr>
          <w:rtl w:val="0"/>
        </w:rPr>
        <w:t xml:space="preserve">. Ce travail nous a permis d'identifier les tables critiques :</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tblorder</w:t>
      </w:r>
      <w:r w:rsidDel="00000000" w:rsidR="00000000" w:rsidRPr="00000000">
        <w:rPr>
          <w:b w:val="1"/>
          <w:bCs w:val="1"/>
          <w:rtl w:val="0"/>
        </w:rPr>
        <w:t xml:space="preserve"> et </w:t>
      </w:r>
      <w:r w:rsidDel="00000000" w:rsidR="00000000" w:rsidRPr="00000000">
        <w:rPr>
          <w:rFonts w:ascii="Roboto Mono" w:cs="Roboto Mono" w:eastAsia="Roboto Mono" w:hAnsi="Roboto Mono"/>
          <w:b w:val="1"/>
          <w:bCs w:val="1"/>
          <w:color w:val="188038"/>
          <w:rtl w:val="0"/>
        </w:rPr>
        <w:t xml:space="preserve">tblorderpos</w:t>
      </w:r>
      <w:r w:rsidDel="00000000" w:rsidR="00000000" w:rsidRPr="00000000">
        <w:rPr>
          <w:rtl w:val="0"/>
        </w:rPr>
        <w:t xml:space="preserve"> : Essentielles pour tracer l'avancement des commandes et calculer les dates prévues vs réelles (Lead Time).</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tbloperation</w:t>
      </w:r>
      <w:r w:rsidDel="00000000" w:rsidR="00000000" w:rsidRPr="00000000">
        <w:rPr>
          <w:b w:val="1"/>
          <w:bCs w:val="1"/>
          <w:rtl w:val="0"/>
        </w:rPr>
        <w:t xml:space="preserve"> et </w:t>
      </w:r>
      <w:r w:rsidDel="00000000" w:rsidR="00000000" w:rsidRPr="00000000">
        <w:rPr>
          <w:rFonts w:ascii="Roboto Mono" w:cs="Roboto Mono" w:eastAsia="Roboto Mono" w:hAnsi="Roboto Mono"/>
          <w:b w:val="1"/>
          <w:bCs w:val="1"/>
          <w:color w:val="188038"/>
          <w:rtl w:val="0"/>
        </w:rPr>
        <w:t xml:space="preserve">tblpartsreport</w:t>
      </w:r>
      <w:r w:rsidDel="00000000" w:rsidR="00000000" w:rsidRPr="00000000">
        <w:rPr>
          <w:rtl w:val="0"/>
        </w:rPr>
        <w:t xml:space="preserve"> : Centrales pour identifier les goulots d'étranglement (via la journalisation des passages machines) et calculer le Taux de Rendement Synthétique (TRS).</w:t>
      </w:r>
    </w:p>
    <w:p w:rsidR="00000000" w:rsidDel="00000000" w:rsidP="00000000" w:rsidRDefault="00000000" w:rsidRPr="00000000" w14:paraId="0000002B">
      <w:pPr>
        <w:pStyle w:val="Heading3"/>
        <w:rPr/>
      </w:pPr>
      <w:bookmarkStart w:colFirst="0" w:colLast="0" w:name="_6b44gek06maw" w:id="17"/>
      <w:bookmarkEnd w:id="17"/>
      <w:r w:rsidDel="00000000" w:rsidR="00000000" w:rsidRPr="00000000">
        <w:rPr>
          <w:rtl w:val="0"/>
        </w:rPr>
        <w:t xml:space="preserve">3.2. Modélisation</w:t>
      </w:r>
    </w:p>
    <w:p w:rsidR="00000000" w:rsidDel="00000000" w:rsidP="00000000" w:rsidRDefault="00000000" w:rsidRPr="00000000" w14:paraId="0000002C">
      <w:pPr>
        <w:spacing w:after="240" w:before="240" w:lineRule="auto"/>
        <w:rPr/>
      </w:pPr>
      <w:r w:rsidDel="00000000" w:rsidR="00000000" w:rsidRPr="00000000">
        <w:rPr>
          <w:rtl w:val="0"/>
        </w:rPr>
        <w:t xml:space="preserve">Plutôt que de produire un Modèle Conceptuel des Données (MCD) massif et illisible calqué sur la base existante, nous avons opté pour une approche moderne orientée "Data Analysis". Comme le démontrent nos scripts SQL (notamment </w:t>
      </w:r>
      <w:r w:rsidDel="00000000" w:rsidR="00000000" w:rsidRPr="00000000">
        <w:rPr>
          <w:rFonts w:ascii="Roboto Mono" w:cs="Roboto Mono" w:eastAsia="Roboto Mono" w:hAnsi="Roboto Mono"/>
          <w:color w:val="188038"/>
          <w:rtl w:val="0"/>
        </w:rPr>
        <w:t xml:space="preserve">03_script_install_bdd.sql</w:t>
      </w:r>
      <w:r w:rsidDel="00000000" w:rsidR="00000000" w:rsidRPr="00000000">
        <w:rPr>
          <w:rtl w:val="0"/>
        </w:rPr>
        <w:t xml:space="preserve"> présent sur notre dépôt Git), nous avons construit </w:t>
      </w:r>
      <w:r w:rsidDel="00000000" w:rsidR="00000000" w:rsidRPr="00000000">
        <w:rPr>
          <w:b w:val="1"/>
          <w:bCs w:val="1"/>
          <w:rtl w:val="0"/>
        </w:rPr>
        <w:t xml:space="preserve">une base constituée de vues métier</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Ces vues agissent comme une couche d'abstraction : elles se chargent de faire les jointures complexes et d'agréger les données brutes (comme </w:t>
      </w:r>
      <w:r w:rsidDel="00000000" w:rsidR="00000000" w:rsidRPr="00000000">
        <w:rPr>
          <w:rFonts w:ascii="Roboto Mono" w:cs="Roboto Mono" w:eastAsia="Roboto Mono" w:hAnsi="Roboto Mono"/>
          <w:color w:val="188038"/>
          <w:rtl w:val="0"/>
        </w:rPr>
        <w:t xml:space="preserve">tblorder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tbloperation</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tblpartsreport</w:t>
      </w:r>
      <w:r w:rsidDel="00000000" w:rsidR="00000000" w:rsidRPr="00000000">
        <w:rPr>
          <w:rtl w:val="0"/>
        </w:rPr>
        <w:t xml:space="preserve">) pour les transformer en indicateurs prêts à être consommés par notre application Python/Flask.</w:t>
      </w:r>
    </w:p>
    <w:p w:rsidR="00000000" w:rsidDel="00000000" w:rsidP="00000000" w:rsidRDefault="00000000" w:rsidRPr="00000000" w14:paraId="0000002E">
      <w:pPr>
        <w:spacing w:after="240" w:before="240" w:lineRule="auto"/>
        <w:rPr/>
      </w:pPr>
      <w:r w:rsidDel="00000000" w:rsidR="00000000" w:rsidRPr="00000000">
        <w:rPr>
          <w:rtl w:val="0"/>
        </w:rPr>
        <w:t xml:space="preserve">Par conséquent, notre </w:t>
      </w:r>
      <w:r w:rsidDel="00000000" w:rsidR="00000000" w:rsidRPr="00000000">
        <w:rPr>
          <w:b w:val="1"/>
          <w:bCs w:val="1"/>
          <w:rtl w:val="0"/>
        </w:rPr>
        <w:t xml:space="preserve">Dictionnaire des données tabulaire</w:t>
      </w:r>
      <w:r w:rsidDel="00000000" w:rsidR="00000000" w:rsidRPr="00000000">
        <w:rPr>
          <w:rtl w:val="0"/>
        </w:rPr>
        <w:t xml:space="preserve"> est le document de référence le plus pertinent. Il documente parfaitement cette architecture en liant directement nos vues SQL optimisées aux KPI finaux (TRS, Lead Time, Pareto).</w:t>
      </w:r>
    </w:p>
    <w:p w:rsidR="00000000" w:rsidDel="00000000" w:rsidP="00000000" w:rsidRDefault="00000000" w:rsidRPr="00000000" w14:paraId="0000002F">
      <w:pPr>
        <w:pStyle w:val="Heading3"/>
        <w:rPr/>
      </w:pPr>
      <w:bookmarkStart w:colFirst="0" w:colLast="0" w:name="_ue2pxf9gswm1" w:id="18"/>
      <w:bookmarkEnd w:id="18"/>
      <w:r w:rsidDel="00000000" w:rsidR="00000000" w:rsidRPr="00000000">
        <w:rPr>
          <w:rtl w:val="0"/>
        </w:rPr>
        <w:t xml:space="preserve">3.3 Bilan de la restitution graphique (Respect du cahier des charges)</w:t>
      </w:r>
    </w:p>
    <w:p w:rsidR="00000000" w:rsidDel="00000000" w:rsidP="00000000" w:rsidRDefault="00000000" w:rsidRPr="00000000" w14:paraId="00000030">
      <w:pPr>
        <w:spacing w:after="240" w:before="240" w:lineRule="auto"/>
        <w:rPr/>
      </w:pPr>
      <w:r w:rsidDel="00000000" w:rsidR="00000000" w:rsidRPr="00000000">
        <w:rPr>
          <w:rtl w:val="0"/>
        </w:rPr>
        <w:t xml:space="preserve">Le cahier des charges imposait la restitution visuelle d'une liste précise d'indicateurs de production. Notre approche s'est concentrée sur l'efficacité du "Management Visuel" : offrir aux équipes une vue immédiate et claire, sans surcharger l'écran d'informations secondaires.</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g1bkbpuf9xhi" w:id="19"/>
      <w:bookmarkEnd w:id="19"/>
      <w:r w:rsidDel="00000000" w:rsidR="00000000" w:rsidRPr="00000000">
        <w:rPr>
          <w:b w:val="1"/>
          <w:bCs w:val="1"/>
          <w:color w:val="000000"/>
          <w:sz w:val="22"/>
          <w:szCs w:val="22"/>
          <w:rtl w:val="0"/>
        </w:rPr>
        <w:t xml:space="preserve">5.1. Indicateurs visuels fidèlement restitués</w:t>
      </w:r>
    </w:p>
    <w:p w:rsidR="00000000" w:rsidDel="00000000" w:rsidP="00000000" w:rsidRDefault="00000000" w:rsidRPr="00000000" w14:paraId="00000032">
      <w:pPr>
        <w:spacing w:after="240" w:before="240" w:lineRule="auto"/>
        <w:rPr/>
      </w:pPr>
      <w:r w:rsidDel="00000000" w:rsidR="00000000" w:rsidRPr="00000000">
        <w:rPr>
          <w:rtl w:val="0"/>
        </w:rPr>
        <w:t xml:space="preserve">La grande majorité des indicateurs clés exigés a été modélisée sous forme de graphiques ou de jauges visuelles pour faciliter la prise de décision :</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Qualité &amp; Maintenance :</w:t>
      </w:r>
      <w:r w:rsidDel="00000000" w:rsidR="00000000" w:rsidRPr="00000000">
        <w:rPr>
          <w:rtl w:val="0"/>
        </w:rPr>
        <w:t xml:space="preserve"> Le diagramme de Pareto a bien été mis en place pour cibler la majorité des défauts. Les suivis de consommation d'énergie (électricité et air comprimé) ont été séparés pour une meilleure lisibilité des pics de consommation. Enfin, le taux d'arrêt (pannes) a été intégré sous forme d'indicateur visuel clé (KPI), dont le code couleur signale immédiatement l'état de santé de la ligne à l'utilisateur.</w:t>
      </w:r>
      <w:r w:rsidDel="00000000" w:rsidR="00000000" w:rsidRPr="00000000">
        <w:rPr>
          <w:rtl w:val="0"/>
        </w:rPr>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bCs w:val="1"/>
          <w:rtl w:val="0"/>
        </w:rPr>
        <w:t xml:space="preserve">Performance Logistique :</w:t>
      </w:r>
      <w:r w:rsidDel="00000000" w:rsidR="00000000" w:rsidRPr="00000000">
        <w:rPr>
          <w:rtl w:val="0"/>
        </w:rPr>
        <w:t xml:space="preserve"> Le suivi de l'évolution du TRS et l'analyse du Lead Time (temps de traversée) ont été traduits en visuels clairs, permettant d'identifier immédiatement la cadence et l'étape qui ralentit la ligne de production.</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b w:val="1"/>
          <w:bCs w:val="1"/>
          <w:rtl w:val="0"/>
        </w:rPr>
        <w:t xml:space="preserve">Supervision du Robotino :</w:t>
      </w:r>
      <w:r w:rsidDel="00000000" w:rsidR="00000000" w:rsidRPr="00000000">
        <w:rPr>
          <w:rtl w:val="0"/>
        </w:rPr>
        <w:t xml:space="preserve"> L'autonomie de la batterie et le suivi des cycles de travail disposent de leurs propres représentations visuelles pour anticiper les besoins de recharge.</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b w:val="1"/>
          <w:bCs w:val="1"/>
          <w:rtl w:val="0"/>
        </w:rPr>
        <w:t xml:space="preserve">Code couleur d'alerte :</w:t>
      </w:r>
      <w:r w:rsidDel="00000000" w:rsidR="00000000" w:rsidRPr="00000000">
        <w:rPr>
          <w:rtl w:val="0"/>
        </w:rPr>
        <w:t xml:space="preserve"> La demande spécifique d'utiliser un code couleur intuitif (Vert = Optimal, Orange = Attention, Rouge = Critique) a été rigoureusement appliquée à tous les compteurs clés du tableau de bord.</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ltit15a1udju" w:id="20"/>
      <w:bookmarkEnd w:id="20"/>
      <w:r w:rsidDel="00000000" w:rsidR="00000000" w:rsidRPr="00000000">
        <w:rPr>
          <w:b w:val="1"/>
          <w:bCs w:val="1"/>
          <w:color w:val="000000"/>
          <w:sz w:val="22"/>
          <w:szCs w:val="22"/>
          <w:rtl w:val="0"/>
        </w:rPr>
        <w:t xml:space="preserve">5.2. Indicateurs adaptés pour plus de clarté</w:t>
      </w:r>
    </w:p>
    <w:p w:rsidR="00000000" w:rsidDel="00000000" w:rsidP="00000000" w:rsidRDefault="00000000" w:rsidRPr="00000000" w14:paraId="00000038">
      <w:pPr>
        <w:spacing w:after="240" w:before="240" w:lineRule="auto"/>
        <w:rPr/>
      </w:pPr>
      <w:r w:rsidDel="00000000" w:rsidR="00000000" w:rsidRPr="00000000">
        <w:rPr>
          <w:rtl w:val="0"/>
        </w:rPr>
        <w:t xml:space="preserve">Afin d'éviter de créer un tableau de bord illisible comportant trop de courbes croisées, certains indicateurs ont fait l'objet d'un arbitrage visuel :</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La rotation des stocks (Performance) :</w:t>
      </w:r>
      <w:r w:rsidDel="00000000" w:rsidR="00000000" w:rsidRPr="00000000">
        <w:rPr>
          <w:rtl w:val="0"/>
        </w:rPr>
        <w:t xml:space="preserve"> Le cahier des charges mentionnait cet indicateur. Sur de courtes périodes, tracer une courbe des stocks est peu pertinent. Nous l'avons donc transformé en une "alerte d'indicateur clé" (KPI) qui avertit simplement l'utilisateur si la rotation devient trop longue (ex: &gt; 8 jours).</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b w:val="1"/>
          <w:bCs w:val="1"/>
          <w:rtl w:val="0"/>
        </w:rPr>
        <w:t xml:space="preserve">La distance et les obstacles (Robotino) :</w:t>
      </w:r>
      <w:r w:rsidDel="00000000" w:rsidR="00000000" w:rsidRPr="00000000">
        <w:rPr>
          <w:rtl w:val="0"/>
        </w:rPr>
        <w:t xml:space="preserve"> Au lieu de créer un graphique d'évolution pour la distance parcourue, l'effort du robot est mesuré par le graphique des "Cycles de travail", beaucoup plus représentatif de son utilité. Les obstacles rencontrés ne sont pas graphiqués mais affichés sous forme de compteur d'alerte direct.</w:t>
      </w:r>
    </w:p>
    <w:p w:rsidR="00000000" w:rsidDel="00000000" w:rsidP="00000000" w:rsidRDefault="00000000" w:rsidRPr="00000000" w14:paraId="0000003B">
      <w:pPr>
        <w:pStyle w:val="Heading4"/>
        <w:rPr>
          <w:color w:val="000000"/>
          <w:sz w:val="22"/>
          <w:szCs w:val="22"/>
        </w:rPr>
      </w:pPr>
      <w:bookmarkStart w:colFirst="0" w:colLast="0" w:name="_k90sa7v0se75" w:id="21"/>
      <w:bookmarkEnd w:id="21"/>
      <w:r w:rsidDel="00000000" w:rsidR="00000000" w:rsidRPr="00000000">
        <w:rPr>
          <w:color w:val="000000"/>
          <w:sz w:val="22"/>
          <w:szCs w:val="22"/>
          <w:rtl w:val="0"/>
        </w:rPr>
        <w:t xml:space="preserve">5.3 Indicateurs absents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Contrôle qualité par vision (IA) et Taux de rejet :</w:t>
      </w:r>
      <w:r w:rsidDel="00000000" w:rsidR="00000000" w:rsidRPr="00000000">
        <w:rPr>
          <w:rtl w:val="0"/>
        </w:rPr>
        <w:t xml:space="preserve"> Le cahier des charges exigeait un suivi du contrôle qualité par vision artificielle et l'affichage du taux de défaut/rejet des pièces. Cet indicateur n'a pas été intégré au tableau de bord. Cette décision est due à l'absence totale de données relatives au contrôle de conformité des pièces dans les sources mises à notre disposition (base MariaDB). Afin de garantir un tableau de bord intègre et basé exclusivement sur des données réelles et vérifiables, cette fonctionnalité a été logiquement écartée de cette version.</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40" w:before="24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