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before="0" w:after="40"/>
        <w:jc w:val="center"/>
        <w:rPr/>
      </w:pPr>
      <w:r>
        <w:rPr>
          <w:rFonts w:eastAsia="Times New Roman" w:cs="Times New Roman"/>
          <w:b/>
          <w:bCs/>
          <w:i w:val="false"/>
          <w:iCs w:val="false"/>
          <w:sz w:val="28"/>
          <w:szCs w:val="28"/>
        </w:rPr>
        <w:t>T.C.</w:t>
      </w:r>
    </w:p>
    <w:p>
      <w:pPr>
        <w:pStyle w:val="normal1"/>
        <w:spacing w:lineRule="auto" w:line="360" w:before="0" w:after="40"/>
        <w:jc w:val="center"/>
        <w:rPr/>
      </w:pPr>
      <w:r>
        <w:rPr>
          <w:rFonts w:eastAsia="Times New Roman" w:cs="Times New Roman"/>
          <w:b/>
          <w:bCs/>
          <w:i w:val="false"/>
          <w:iCs w:val="false"/>
          <w:sz w:val="28"/>
          <w:szCs w:val="28"/>
        </w:rPr>
        <w:t>ÜSKÜDAR ÜNİVERSİTESİ</w:t>
      </w:r>
    </w:p>
    <w:p>
      <w:pPr>
        <w:pStyle w:val="normal1"/>
        <w:spacing w:lineRule="auto" w:line="360" w:before="0" w:after="480"/>
        <w:jc w:val="center"/>
        <w:rPr>
          <w:rFonts w:ascii="Times New Roman" w:hAnsi="Times New Roman" w:eastAsia="Times New Roman" w:cs="Times New Roman"/>
          <w:b/>
          <w:bCs/>
          <w:i w:val="false"/>
          <w:iCs w:val="false"/>
          <w:sz w:val="26"/>
          <w:szCs w:val="26"/>
        </w:rPr>
      </w:pPr>
      <w:r>
        <w:rPr>
          <w:rFonts w:eastAsia="Times New Roman" w:cs="Times New Roman"/>
          <w:b/>
          <w:bCs/>
          <w:i w:val="false"/>
          <w:iCs w:val="false"/>
          <w:sz w:val="26"/>
          <w:szCs w:val="26"/>
        </w:rPr>
        <w:t>FEN BİLİMLERİ ENSTİTÜSÜ</w:t>
      </w:r>
    </w:p>
    <w:p>
      <w:pPr>
        <w:pStyle w:val="normal1"/>
        <w:spacing w:lineRule="auto" w:line="360" w:before="0" w:after="0"/>
        <w:jc w:val="center"/>
        <w:rPr/>
      </w:pPr>
      <w:r>
        <w:rPr/>
      </w:r>
    </w:p>
    <w:p>
      <w:pPr>
        <w:pStyle w:val="normal1"/>
        <w:spacing w:lineRule="auto" w:line="360" w:before="0" w:after="0"/>
        <w:jc w:val="center"/>
        <w:rPr/>
      </w:pPr>
      <w:r>
        <w:rPr/>
      </w:r>
    </w:p>
    <w:p>
      <w:pPr>
        <w:pStyle w:val="normal1"/>
        <w:spacing w:lineRule="auto" w:line="360" w:before="0" w:after="40"/>
        <w:jc w:val="center"/>
        <w:rPr/>
      </w:pPr>
      <w:r>
        <w:rPr>
          <w:rFonts w:eastAsia="Times New Roman" w:cs="Times New Roman"/>
          <w:b/>
          <w:bCs/>
          <w:i w:val="false"/>
          <w:iCs w:val="false"/>
          <w:sz w:val="26"/>
          <w:szCs w:val="26"/>
        </w:rPr>
        <w:t>YAPAY ZEKA MÜHENDİSLİĞİ ANABİLİM DALI</w:t>
      </w:r>
    </w:p>
    <w:p>
      <w:pPr>
        <w:pStyle w:val="normal1"/>
        <w:spacing w:lineRule="auto" w:line="360" w:before="0" w:after="360"/>
        <w:jc w:val="center"/>
        <w:rPr/>
      </w:pPr>
      <w:r>
        <w:rPr>
          <w:rFonts w:eastAsia="Times New Roman" w:cs="Times New Roman"/>
          <w:b/>
          <w:bCs/>
          <w:i w:val="false"/>
          <w:iCs w:val="false"/>
          <w:sz w:val="24"/>
          <w:szCs w:val="24"/>
        </w:rPr>
        <w:t>YAPAY ZEKA MÜHENDİSLİĞİ (TEZLİ) YÜKSEK LİSANS PROGRAMI</w:t>
      </w:r>
    </w:p>
    <w:p>
      <w:pPr>
        <w:pStyle w:val="normal1"/>
        <w:spacing w:lineRule="auto" w:line="360" w:before="0" w:after="480"/>
        <w:jc w:val="center"/>
        <w:rPr/>
      </w:pPr>
      <w:r>
        <w:rPr>
          <w:rFonts w:eastAsia="Times New Roman" w:cs="Times New Roman"/>
          <w:b/>
          <w:bCs/>
          <w:i w:val="false"/>
          <w:iCs w:val="false"/>
          <w:sz w:val="26"/>
          <w:szCs w:val="26"/>
        </w:rPr>
        <w:t>MAKİNE ÖĞRENMESİ DERSİ FİNAL PROJESİ</w:t>
      </w:r>
    </w:p>
    <w:p>
      <w:pPr>
        <w:pStyle w:val="normal1"/>
        <w:spacing w:lineRule="auto" w:line="360" w:before="0" w:after="0"/>
        <w:jc w:val="center"/>
        <w:rPr/>
      </w:pPr>
      <w:r>
        <w:rPr/>
      </w:r>
    </w:p>
    <w:p>
      <w:pPr>
        <w:pStyle w:val="normal1"/>
        <w:spacing w:lineRule="auto" w:line="360" w:before="0" w:after="0"/>
        <w:jc w:val="center"/>
        <w:rPr/>
      </w:pPr>
      <w:r>
        <w:rPr/>
      </w:r>
    </w:p>
    <w:p>
      <w:pPr>
        <w:pStyle w:val="normal1"/>
        <w:spacing w:lineRule="auto" w:line="360" w:before="0" w:after="120"/>
        <w:jc w:val="center"/>
        <w:rPr/>
      </w:pPr>
      <w:r>
        <w:rPr>
          <w:rFonts w:eastAsia="Times New Roman" w:cs="Times New Roman"/>
          <w:b/>
          <w:bCs/>
          <w:i w:val="false"/>
          <w:iCs w:val="false"/>
          <w:sz w:val="24"/>
          <w:szCs w:val="24"/>
        </w:rPr>
        <w:t>PROJENİN ADI</w:t>
      </w:r>
    </w:p>
    <w:p>
      <w:pPr>
        <w:pStyle w:val="normal1"/>
        <w:spacing w:lineRule="auto" w:line="360" w:before="0" w:after="960"/>
        <w:jc w:val="center"/>
        <w:rPr/>
      </w:pPr>
      <w:r>
        <w:rPr>
          <w:rFonts w:eastAsia="Times New Roman" w:cs="Times New Roman"/>
          <w:b/>
          <w:bCs/>
          <w:i w:val="false"/>
          <w:iCs w:val="false"/>
          <w:sz w:val="28"/>
          <w:szCs w:val="28"/>
        </w:rPr>
        <w:t>Radyomik Özellikler Kullanılarak Papilödem İkili Sınıflandırması</w:t>
      </w:r>
    </w:p>
    <w:p>
      <w:pPr>
        <w:pStyle w:val="normal1"/>
        <w:spacing w:lineRule="auto" w:line="360" w:before="0" w:after="0"/>
        <w:jc w:val="start"/>
        <w:rPr/>
      </w:pPr>
      <w:r>
        <w:rPr/>
      </w:r>
    </w:p>
    <w:p>
      <w:pPr>
        <w:pStyle w:val="normal1"/>
        <w:spacing w:lineRule="auto" w:line="360" w:before="0" w:after="0"/>
        <w:jc w:val="center"/>
        <w:rPr/>
      </w:pPr>
      <w:r>
        <w:rPr/>
      </w:r>
    </w:p>
    <w:p>
      <w:pPr>
        <w:pStyle w:val="normal1"/>
        <w:spacing w:lineRule="auto" w:line="360" w:before="0" w:after="40"/>
        <w:jc w:val="center"/>
        <w:rPr/>
      </w:pPr>
      <w:r>
        <w:rPr>
          <w:rFonts w:eastAsia="Times New Roman" w:cs="Times New Roman"/>
          <w:b/>
          <w:bCs/>
          <w:i w:val="false"/>
          <w:iCs w:val="false"/>
          <w:sz w:val="26"/>
          <w:szCs w:val="26"/>
        </w:rPr>
        <w:t>Okan ULUĞLU</w:t>
      </w:r>
    </w:p>
    <w:p>
      <w:pPr>
        <w:pStyle w:val="normal1"/>
        <w:spacing w:lineRule="auto" w:line="360" w:before="0" w:after="960"/>
        <w:jc w:val="center"/>
        <w:rPr/>
      </w:pPr>
      <w:r>
        <w:rPr>
          <w:rFonts w:eastAsia="Times New Roman" w:cs="Times New Roman"/>
          <w:b w:val="false"/>
          <w:bCs w:val="false"/>
          <w:i w:val="false"/>
          <w:iCs w:val="false"/>
          <w:sz w:val="24"/>
          <w:szCs w:val="24"/>
        </w:rPr>
        <w:t>Öğrenci No: 244312505</w:t>
      </w:r>
    </w:p>
    <w:p>
      <w:pPr>
        <w:pStyle w:val="normal1"/>
        <w:spacing w:lineRule="auto" w:line="360" w:before="0" w:after="0"/>
        <w:jc w:val="center"/>
        <w:rPr/>
      </w:pPr>
      <w:r>
        <w:rPr/>
        <w:drawing>
          <wp:inline distT="0" distB="0" distL="0" distR="0">
            <wp:extent cx="1364615" cy="1364615"/>
            <wp:effectExtent l="0" t="0" r="0" b="0"/>
            <wp:docPr id="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png"/>
                    <pic:cNvPicPr>
                      <a:picLocks noChangeAspect="1" noChangeArrowheads="1"/>
                    </pic:cNvPicPr>
                  </pic:nvPicPr>
                  <pic:blipFill>
                    <a:blip r:embed="rId2"/>
                    <a:stretch>
                      <a:fillRect/>
                    </a:stretch>
                  </pic:blipFill>
                  <pic:spPr bwMode="auto">
                    <a:xfrm>
                      <a:off x="0" y="0"/>
                      <a:ext cx="1364615" cy="1364615"/>
                    </a:xfrm>
                    <a:prstGeom prst="rect">
                      <a:avLst/>
                    </a:prstGeom>
                    <a:noFill/>
                  </pic:spPr>
                </pic:pic>
              </a:graphicData>
            </a:graphic>
          </wp:inline>
        </w:drawing>
      </w:r>
    </w:p>
    <w:p>
      <w:pPr>
        <w:pStyle w:val="normal1"/>
        <w:spacing w:lineRule="auto" w:line="360" w:before="0" w:after="0"/>
        <w:jc w:val="center"/>
        <w:rPr/>
      </w:pPr>
      <w:r>
        <w:rPr/>
      </w:r>
    </w:p>
    <w:p>
      <w:pPr>
        <w:pStyle w:val="normal1"/>
        <w:spacing w:lineRule="auto" w:line="360" w:before="0" w:after="0"/>
        <w:jc w:val="center"/>
        <w:rPr/>
      </w:pPr>
      <w:r>
        <w:rPr>
          <w:b/>
          <w:bCs/>
          <w:sz w:val="26"/>
          <w:szCs w:val="26"/>
        </w:rPr>
        <w:t>2026</w:t>
      </w:r>
    </w:p>
    <w:p>
      <w:pPr>
        <w:pStyle w:val="normal1"/>
        <w:spacing w:lineRule="auto" w:line="360" w:before="0" w:after="0"/>
        <w:jc w:val="center"/>
        <w:rPr/>
      </w:pPr>
      <w:r>
        <w:rPr/>
      </w:r>
    </w:p>
    <w:p>
      <w:pPr>
        <w:pStyle w:val="normal1"/>
        <w:spacing w:lineRule="auto" w:line="360" w:before="0" w:after="0"/>
        <w:jc w:val="center"/>
        <w:rPr>
          <w:b/>
          <w:bCs/>
          <w:sz w:val="26"/>
          <w:szCs w:val="26"/>
        </w:rPr>
      </w:pPr>
      <w:r>
        <w:rPr>
          <w:b/>
          <w:bCs/>
          <w:sz w:val="26"/>
          <w:szCs w:val="26"/>
        </w:rPr>
      </w:r>
    </w:p>
    <w:p>
      <w:pPr>
        <w:pStyle w:val="normal1"/>
        <w:spacing w:lineRule="auto" w:line="360" w:before="0" w:after="0"/>
        <w:jc w:val="center"/>
        <w:rPr/>
      </w:pPr>
      <w:r>
        <w:rPr/>
      </w:r>
    </w:p>
    <w:p>
      <w:pPr>
        <w:pStyle w:val="normal1"/>
        <w:spacing w:lineRule="auto" w:line="360" w:before="0" w:after="40"/>
        <w:ind w:hanging="0" w:start="0"/>
        <w:jc w:val="center"/>
        <w:rPr/>
      </w:pPr>
      <w:r>
        <w:rPr>
          <w:rFonts w:eastAsia="Times New Roman" w:cs="Times New Roman"/>
          <w:b/>
          <w:bCs/>
          <w:i w:val="false"/>
          <w:iCs w:val="false"/>
          <w:sz w:val="28"/>
          <w:szCs w:val="28"/>
        </w:rPr>
        <w:t>T.C.</w:t>
      </w:r>
    </w:p>
    <w:p>
      <w:pPr>
        <w:pStyle w:val="normal1"/>
        <w:spacing w:lineRule="auto" w:line="360" w:before="0" w:after="40"/>
        <w:jc w:val="center"/>
        <w:rPr/>
      </w:pPr>
      <w:r>
        <w:rPr>
          <w:rFonts w:eastAsia="Times New Roman" w:cs="Times New Roman"/>
          <w:b/>
          <w:bCs/>
          <w:i w:val="false"/>
          <w:iCs w:val="false"/>
          <w:sz w:val="28"/>
          <w:szCs w:val="28"/>
        </w:rPr>
        <w:t>ÜSKÜDAR ÜNİVERSİTESİ</w:t>
      </w:r>
    </w:p>
    <w:p>
      <w:pPr>
        <w:pStyle w:val="normal1"/>
        <w:spacing w:lineRule="auto" w:line="360" w:before="0" w:after="480"/>
        <w:jc w:val="center"/>
        <w:rPr/>
      </w:pPr>
      <w:r>
        <w:rPr>
          <w:rFonts w:eastAsia="Times New Roman" w:cs="Times New Roman"/>
          <w:b/>
          <w:bCs/>
          <w:i w:val="false"/>
          <w:iCs w:val="false"/>
          <w:sz w:val="26"/>
          <w:szCs w:val="26"/>
        </w:rPr>
        <w:t>FEN BİLİMLERİ ENSTİTÜSÜ</w:t>
      </w:r>
    </w:p>
    <w:p>
      <w:pPr>
        <w:pStyle w:val="normal1"/>
        <w:spacing w:lineRule="auto" w:line="360" w:before="0" w:after="80"/>
        <w:jc w:val="start"/>
        <w:rPr/>
      </w:pPr>
      <w:r>
        <w:rPr>
          <w:rFonts w:eastAsia="Times New Roman" w:cs="Times New Roman"/>
          <w:b w:val="false"/>
          <w:bCs w:val="false"/>
          <w:i w:val="false"/>
          <w:iCs w:val="false"/>
          <w:sz w:val="24"/>
          <w:szCs w:val="24"/>
        </w:rPr>
        <w:t>Anabilim Dalı</w:t>
        <w:tab/>
        <w:tab/>
        <w:t>: Yapay Zeka Mühendisliği</w:t>
      </w:r>
    </w:p>
    <w:p>
      <w:pPr>
        <w:pStyle w:val="normal1"/>
        <w:spacing w:lineRule="auto" w:line="360" w:before="0" w:after="80"/>
        <w:jc w:val="start"/>
        <w:rPr/>
      </w:pPr>
      <w:r>
        <w:rPr>
          <w:rFonts w:eastAsia="Times New Roman" w:cs="Times New Roman"/>
          <w:b w:val="false"/>
          <w:bCs w:val="false"/>
          <w:i w:val="false"/>
          <w:iCs w:val="false"/>
          <w:sz w:val="24"/>
          <w:szCs w:val="24"/>
        </w:rPr>
        <w:t>Program</w:t>
        <w:tab/>
        <w:tab/>
        <w:t>: Yapay Zeka Mühendisliği (Tezli) Y.L.</w:t>
      </w:r>
    </w:p>
    <w:p>
      <w:pPr>
        <w:pStyle w:val="normal1"/>
        <w:spacing w:lineRule="auto" w:line="360" w:before="0" w:after="80"/>
        <w:jc w:val="start"/>
        <w:rPr/>
      </w:pPr>
      <w:r>
        <w:rPr>
          <w:rFonts w:eastAsia="Times New Roman" w:cs="Times New Roman"/>
          <w:b w:val="false"/>
          <w:bCs w:val="false"/>
          <w:i w:val="false"/>
          <w:iCs w:val="false"/>
          <w:sz w:val="24"/>
          <w:szCs w:val="24"/>
        </w:rPr>
        <w:t>Ders</w:t>
        <w:tab/>
        <w:tab/>
        <w:tab/>
        <w:t xml:space="preserve">: </w:t>
      </w:r>
      <w:r>
        <w:rPr>
          <w:rFonts w:eastAsia="Times New Roman" w:cs="Times New Roman"/>
          <w:b w:val="false"/>
          <w:bCs w:val="false"/>
          <w:i w:val="false"/>
          <w:iCs w:val="false"/>
          <w:sz w:val="24"/>
          <w:szCs w:val="24"/>
        </w:rPr>
        <w:t>Makine Öğrenmesi</w:t>
      </w:r>
    </w:p>
    <w:p>
      <w:pPr>
        <w:pStyle w:val="normal1"/>
        <w:spacing w:lineRule="auto" w:line="360" w:before="0" w:after="80"/>
        <w:jc w:val="start"/>
        <w:rPr/>
      </w:pPr>
      <w:r>
        <w:rPr>
          <w:rFonts w:eastAsia="Times New Roman" w:cs="Times New Roman"/>
          <w:b w:val="false"/>
          <w:bCs w:val="false"/>
          <w:i w:val="false"/>
          <w:iCs w:val="false"/>
          <w:sz w:val="24"/>
          <w:szCs w:val="24"/>
        </w:rPr>
        <w:t>Öğrenci No</w:t>
        <w:tab/>
        <w:tab/>
        <w:t>: 244312505</w:t>
      </w:r>
    </w:p>
    <w:p>
      <w:pPr>
        <w:pStyle w:val="normal1"/>
        <w:spacing w:lineRule="auto" w:line="360" w:before="0" w:after="480"/>
        <w:jc w:val="start"/>
        <w:rPr/>
      </w:pPr>
      <w:r>
        <w:rPr>
          <w:rFonts w:eastAsia="Times New Roman" w:cs="Times New Roman"/>
          <w:b w:val="false"/>
          <w:bCs w:val="false"/>
          <w:i w:val="false"/>
          <w:iCs w:val="false"/>
          <w:sz w:val="24"/>
          <w:szCs w:val="24"/>
        </w:rPr>
        <w:t>Öğrenci Adı Soyadı</w:t>
        <w:tab/>
        <w:t xml:space="preserve">: </w:t>
      </w:r>
      <w:r>
        <w:rPr>
          <w:rFonts w:eastAsia="Times New Roman" w:cs="Times New Roman"/>
          <w:b w:val="false"/>
          <w:bCs w:val="false"/>
          <w:i w:val="false"/>
          <w:iCs w:val="false"/>
          <w:sz w:val="24"/>
          <w:szCs w:val="24"/>
        </w:rPr>
        <w:t>Okan</w:t>
      </w:r>
      <w:r>
        <w:rPr>
          <w:rFonts w:eastAsia="Times New Roman" w:cs="Times New Roman"/>
          <w:b w:val="false"/>
          <w:bCs w:val="false"/>
          <w:i w:val="false"/>
          <w:iCs w:val="false"/>
          <w:sz w:val="24"/>
          <w:szCs w:val="24"/>
        </w:rPr>
        <w:t xml:space="preserve"> ULUĞLU</w:t>
      </w:r>
    </w:p>
    <w:p>
      <w:pPr>
        <w:pStyle w:val="normal1"/>
        <w:spacing w:lineRule="auto" w:line="360" w:before="0" w:after="80"/>
        <w:jc w:val="center"/>
        <w:rPr/>
      </w:pPr>
      <w:r>
        <w:rPr>
          <w:rFonts w:eastAsia="Times New Roman" w:cs="Times New Roman"/>
          <w:b/>
          <w:bCs/>
          <w:i w:val="false"/>
          <w:iCs w:val="false"/>
          <w:sz w:val="24"/>
          <w:szCs w:val="24"/>
        </w:rPr>
        <w:t>PROJENİN ADI</w:t>
      </w:r>
    </w:p>
    <w:p>
      <w:pPr>
        <w:pStyle w:val="normal1"/>
        <w:spacing w:lineRule="auto" w:line="360" w:before="0" w:after="480"/>
        <w:jc w:val="center"/>
        <w:rPr/>
      </w:pPr>
      <w:r>
        <w:rPr>
          <w:rFonts w:eastAsia="Times New Roman" w:cs="Times New Roman"/>
          <w:b/>
          <w:bCs/>
          <w:i w:val="false"/>
          <w:iCs w:val="false"/>
          <w:sz w:val="24"/>
          <w:szCs w:val="24"/>
        </w:rPr>
        <w:t>Radyomik Özellikler Kullanılarak Papilödem İkili Sınıflandırması</w:t>
      </w:r>
    </w:p>
    <w:p>
      <w:pPr>
        <w:pStyle w:val="normal1"/>
        <w:rPr/>
      </w:pPr>
      <w:r>
        <w:rPr/>
      </w:r>
      <w:r>
        <w:br w:type="page"/>
      </w:r>
    </w:p>
    <w:p>
      <w:pPr>
        <w:pStyle w:val="normal1"/>
        <w:spacing w:lineRule="auto" w:line="360" w:before="0" w:after="160"/>
        <w:jc w:val="start"/>
        <w:rPr/>
      </w:pPr>
      <w:r>
        <w:rPr>
          <w:rFonts w:eastAsia="Times New Roman" w:cs="Times New Roman"/>
          <w:b/>
          <w:bCs/>
          <w:sz w:val="28"/>
          <w:szCs w:val="28"/>
        </w:rPr>
        <w:t>ÖZET</w:t>
      </w:r>
    </w:p>
    <w:p>
      <w:pPr>
        <w:pStyle w:val="normal1"/>
        <w:spacing w:lineRule="auto" w:line="360" w:before="0" w:after="240"/>
        <w:jc w:val="center"/>
        <w:rPr/>
      </w:pPr>
      <w:r>
        <w:rPr>
          <w:rFonts w:eastAsia="Times New Roman" w:cs="Times New Roman"/>
          <w:b/>
          <w:bCs/>
          <w:i w:val="false"/>
          <w:iCs w:val="false"/>
          <w:sz w:val="24"/>
          <w:szCs w:val="24"/>
        </w:rPr>
        <w:t>Radyomik Özellikler Kullanılarak Papilödem İkili Sınıflandırması</w:t>
      </w:r>
    </w:p>
    <w:p>
      <w:pPr>
        <w:pStyle w:val="normal1"/>
        <w:spacing w:lineRule="auto" w:line="360" w:before="0" w:after="120"/>
        <w:jc w:val="both"/>
        <w:rPr/>
      </w:pPr>
      <w:r>
        <w:rPr>
          <w:rFonts w:eastAsia="Times New Roman" w:cs="Times New Roman"/>
          <w:b w:val="false"/>
          <w:bCs w:val="false"/>
          <w:i w:val="false"/>
          <w:iCs w:val="false"/>
          <w:sz w:val="24"/>
          <w:szCs w:val="24"/>
        </w:rPr>
        <w:t>Papilödem, kafa içi basıncın yükselmesine bağlı olarak iki gözde birden ortaya çıkan optik disk şişmesidir. Görme kaybına kadar ilerleyebilen bir tablo olduğu için erken ve doğru tanı klinik açıdan büyük önem taşır. Buna karşın papilödem ile sahte papilödem (pseudopapilledem) ayrımı klasik olarak göz hekiminin değerlendirmesine dayanmakta</w:t>
      </w:r>
      <w:r>
        <w:rPr/>
        <w:t>,</w:t>
      </w:r>
      <w:r>
        <w:rPr>
          <w:rFonts w:eastAsia="Times New Roman" w:cs="Times New Roman"/>
          <w:b w:val="false"/>
          <w:bCs w:val="false"/>
          <w:i w:val="false"/>
          <w:iCs w:val="false"/>
          <w:sz w:val="24"/>
          <w:szCs w:val="24"/>
        </w:rPr>
        <w:t xml:space="preserve"> bu da hekimden hekime tutarlılığı zaman zaman düşürmektedir.</w:t>
      </w:r>
    </w:p>
    <w:p>
      <w:pPr>
        <w:pStyle w:val="normal1"/>
        <w:spacing w:lineRule="auto" w:line="360" w:before="0" w:after="120"/>
        <w:ind w:hanging="0" w:start="0"/>
        <w:jc w:val="both"/>
        <w:rPr/>
      </w:pPr>
      <w:r>
        <w:rPr>
          <w:rFonts w:eastAsia="Times New Roman" w:cs="Times New Roman"/>
          <w:b w:val="false"/>
          <w:bCs w:val="false"/>
          <w:i w:val="false"/>
          <w:iCs w:val="false"/>
          <w:sz w:val="24"/>
          <w:szCs w:val="24"/>
        </w:rPr>
        <w:t>Bu projede, optik diskten çıkarılmış 746 radyomik özellik üzerinden Normal ve Papilödem ayrımını yapan bir makine öğrenmesi sistemi geliştirilmiştir. Veri seti 69 olgudan (48 normal, 21 papilödem) toplam 966 örnek içermektedir. Aynı hastanın örneklerinin eğitim ve test setine birlikte düşmemesi için hasta seviyesinde çapraz doğrulama uygulanmış</w:t>
      </w:r>
      <w:r>
        <w:rPr/>
        <w:t>,</w:t>
      </w:r>
      <w:r>
        <w:rPr>
          <w:rFonts w:eastAsia="Times New Roman" w:cs="Times New Roman"/>
          <w:b w:val="false"/>
          <w:bCs w:val="false"/>
          <w:i w:val="false"/>
          <w:iCs w:val="false"/>
          <w:sz w:val="24"/>
          <w:szCs w:val="24"/>
        </w:rPr>
        <w:t xml:space="preserve"> veriler 20 kez farklı şekilde bölünerek değerlendirme tekrarlanmıştır. Eksik veri tamamlama, düşük varyanslı ve aşırı korelasyonlu özelliklerin elenmesi, ölçekleme ve MRMR yöntemiyle özellik seçimi tek bir sklearn Pipeline içinde kurulmuş</w:t>
      </w:r>
      <w:r>
        <w:rPr/>
        <w:t>,</w:t>
      </w:r>
      <w:r>
        <w:rPr>
          <w:rFonts w:eastAsia="Times New Roman" w:cs="Times New Roman"/>
          <w:b w:val="false"/>
          <w:bCs w:val="false"/>
          <w:i w:val="false"/>
          <w:iCs w:val="false"/>
          <w:sz w:val="24"/>
          <w:szCs w:val="24"/>
        </w:rPr>
        <w:t xml:space="preserve"> Optuna ile altı sınıflandırıcı (Lojistik Regresyon, RBF SVM, Random Forest, ExtraTrees, Gradient Boosting, KNN) ayarlanmış ve sonuçlar soft voting ile birleştirilmiştir.</w:t>
      </w:r>
    </w:p>
    <w:p>
      <w:pPr>
        <w:pStyle w:val="normal1"/>
        <w:spacing w:lineRule="auto" w:line="360" w:before="0" w:after="120"/>
        <w:ind w:hanging="0" w:start="0"/>
        <w:jc w:val="both"/>
        <w:rPr/>
      </w:pPr>
      <w:r>
        <w:rPr>
          <w:rFonts w:eastAsia="Times New Roman" w:cs="Times New Roman"/>
          <w:b w:val="false"/>
          <w:bCs w:val="false"/>
          <w:i w:val="false"/>
          <w:iCs w:val="false"/>
          <w:sz w:val="24"/>
          <w:szCs w:val="24"/>
        </w:rPr>
        <w:t xml:space="preserve">En yüksek ortalama </w:t>
      </w:r>
      <w:r>
        <w:rPr/>
        <w:t>Macro F1</w:t>
      </w:r>
      <w:r>
        <w:rPr>
          <w:rFonts w:eastAsia="Times New Roman" w:cs="Times New Roman"/>
          <w:b w:val="false"/>
          <w:bCs w:val="false"/>
          <w:i w:val="false"/>
          <w:iCs w:val="false"/>
          <w:sz w:val="24"/>
          <w:szCs w:val="24"/>
        </w:rPr>
        <w:t xml:space="preserve"> skoruna ET modeliyle ulaşılmıştır (0.847 </w:t>
      </w:r>
      <w:r>
        <w:rPr/>
        <w:t>+-</w:t>
      </w:r>
      <w:r>
        <w:rPr>
          <w:rFonts w:eastAsia="Times New Roman" w:cs="Times New Roman"/>
          <w:b w:val="false"/>
          <w:bCs w:val="false"/>
          <w:i w:val="false"/>
          <w:iCs w:val="false"/>
          <w:sz w:val="24"/>
          <w:szCs w:val="24"/>
        </w:rPr>
        <w:t xml:space="preserve"> 0.060). Tek tekrar bazında en iyi sonuç ise GB modeli tarafından üretilmiştir (0.941). Friedman testi, modellerin birbirinden istatistiksel olarak ayrıştığını göstermiştir. SHAP analizi ile karara en çok katkı veren ilk on radyomik özellik raporlanmıştır.</w:t>
      </w:r>
    </w:p>
    <w:p>
      <w:pPr>
        <w:pStyle w:val="normal1"/>
        <w:spacing w:lineRule="auto" w:line="360" w:before="0" w:after="60"/>
        <w:jc w:val="both"/>
        <w:rPr/>
      </w:pPr>
      <w:r>
        <w:rPr/>
      </w:r>
    </w:p>
    <w:p>
      <w:pPr>
        <w:pStyle w:val="normal1"/>
        <w:spacing w:lineRule="auto" w:line="360" w:before="0" w:after="240"/>
        <w:jc w:val="both"/>
        <w:rPr/>
      </w:pPr>
      <w:r>
        <w:rPr>
          <w:rFonts w:eastAsia="Times New Roman" w:cs="Times New Roman"/>
          <w:b/>
          <w:bCs/>
          <w:sz w:val="24"/>
          <w:szCs w:val="24"/>
        </w:rPr>
        <w:t xml:space="preserve">Anahtar Kelimeler: </w:t>
      </w:r>
      <w:r>
        <w:rPr>
          <w:rFonts w:eastAsia="Times New Roman" w:cs="Times New Roman"/>
          <w:sz w:val="24"/>
          <w:szCs w:val="24"/>
        </w:rPr>
        <w:t>Radyomik, papilödem, ikili sınıflandırma, hasta seviyesinde çapraz doğrulama, MRMR, Optuna, SHAP.</w:t>
      </w:r>
      <w:r>
        <w:br w:type="page"/>
      </w:r>
    </w:p>
    <w:p>
      <w:pPr>
        <w:pStyle w:val="normal1"/>
        <w:spacing w:lineRule="auto" w:line="360" w:before="0" w:after="160"/>
        <w:jc w:val="start"/>
        <w:rPr/>
      </w:pPr>
      <w:r>
        <w:rPr>
          <w:rFonts w:eastAsia="Times New Roman" w:cs="Times New Roman"/>
          <w:b/>
          <w:bCs/>
          <w:sz w:val="28"/>
          <w:szCs w:val="28"/>
        </w:rPr>
        <w:t>İÇİNDEKİLER</w:t>
      </w:r>
    </w:p>
    <w:p>
      <w:pPr>
        <w:pStyle w:val="normal1"/>
        <w:tabs>
          <w:tab w:val="clear" w:pos="720"/>
          <w:tab w:val="right" w:pos="8220" w:leader="none"/>
        </w:tabs>
        <w:spacing w:lineRule="auto" w:line="276" w:before="40" w:after="40"/>
        <w:rPr/>
      </w:pPr>
      <w:r>
        <w:rPr>
          <w:rFonts w:eastAsia="Times New Roman" w:cs="Times New Roman"/>
          <w:b/>
          <w:bCs/>
          <w:sz w:val="24"/>
          <w:szCs w:val="24"/>
        </w:rPr>
        <w:t>ÖZET</w:t>
        <w:tab/>
        <w:t>i</w:t>
      </w:r>
    </w:p>
    <w:p>
      <w:pPr>
        <w:pStyle w:val="normal1"/>
        <w:tabs>
          <w:tab w:val="clear" w:pos="720"/>
          <w:tab w:val="right" w:pos="8220" w:leader="none"/>
        </w:tabs>
        <w:spacing w:lineRule="auto" w:line="276" w:before="40" w:after="40"/>
        <w:rPr/>
      </w:pPr>
      <w:r>
        <w:rPr>
          <w:rFonts w:eastAsia="Times New Roman" w:cs="Times New Roman"/>
          <w:b/>
          <w:bCs/>
          <w:sz w:val="24"/>
          <w:szCs w:val="24"/>
        </w:rPr>
        <w:t>İÇİNDEKİLER</w:t>
        <w:tab/>
        <w:t>ii</w:t>
      </w:r>
    </w:p>
    <w:p>
      <w:pPr>
        <w:pStyle w:val="normal1"/>
        <w:tabs>
          <w:tab w:val="clear" w:pos="720"/>
          <w:tab w:val="right" w:pos="8220" w:leader="none"/>
        </w:tabs>
        <w:spacing w:lineRule="auto" w:line="276" w:before="40" w:after="40"/>
        <w:rPr/>
      </w:pPr>
      <w:r>
        <w:rPr>
          <w:rFonts w:eastAsia="Times New Roman" w:cs="Times New Roman"/>
          <w:b/>
          <w:bCs/>
          <w:sz w:val="24"/>
          <w:szCs w:val="24"/>
        </w:rPr>
        <w:t>SİMGELER VE KISALTMALAR</w:t>
        <w:tab/>
        <w:t>iii</w:t>
      </w:r>
    </w:p>
    <w:p>
      <w:pPr>
        <w:pStyle w:val="normal1"/>
        <w:tabs>
          <w:tab w:val="clear" w:pos="720"/>
          <w:tab w:val="right" w:pos="8220" w:leader="none"/>
        </w:tabs>
        <w:spacing w:lineRule="auto" w:line="276" w:before="40" w:after="40"/>
        <w:rPr/>
      </w:pPr>
      <w:r>
        <w:rPr>
          <w:rFonts w:eastAsia="Times New Roman" w:cs="Times New Roman"/>
          <w:b/>
          <w:bCs/>
          <w:sz w:val="24"/>
          <w:szCs w:val="24"/>
        </w:rPr>
        <w:t>1. GİRİŞ</w:t>
        <w:tab/>
        <w:t>1</w:t>
      </w:r>
    </w:p>
    <w:p>
      <w:pPr>
        <w:pStyle w:val="normal1"/>
        <w:tabs>
          <w:tab w:val="clear" w:pos="720"/>
          <w:tab w:val="right" w:pos="8220" w:leader="none"/>
        </w:tabs>
        <w:spacing w:lineRule="auto" w:line="276" w:before="40" w:after="40"/>
        <w:ind w:hanging="0" w:start="454"/>
        <w:rPr/>
      </w:pPr>
      <w:r>
        <w:rPr>
          <w:rFonts w:eastAsia="Times New Roman" w:cs="Times New Roman"/>
          <w:b w:val="false"/>
          <w:bCs w:val="false"/>
          <w:sz w:val="24"/>
          <w:szCs w:val="24"/>
        </w:rPr>
        <w:t>1.1. Problemin Tanımı ve Önemi</w:t>
        <w:tab/>
        <w:t>1</w:t>
      </w:r>
    </w:p>
    <w:p>
      <w:pPr>
        <w:pStyle w:val="normal1"/>
        <w:tabs>
          <w:tab w:val="clear" w:pos="720"/>
          <w:tab w:val="right" w:pos="8220" w:leader="none"/>
        </w:tabs>
        <w:spacing w:lineRule="auto" w:line="276" w:before="40" w:after="40"/>
        <w:ind w:hanging="0" w:start="454"/>
        <w:rPr/>
      </w:pPr>
      <w:r>
        <w:rPr>
          <w:rFonts w:eastAsia="Times New Roman" w:cs="Times New Roman"/>
          <w:b w:val="false"/>
          <w:bCs w:val="false"/>
          <w:sz w:val="24"/>
          <w:szCs w:val="24"/>
        </w:rPr>
        <w:t>1.2. Çalışmanın Amacı ve Katkıları</w:t>
        <w:tab/>
        <w:t>2</w:t>
      </w:r>
    </w:p>
    <w:p>
      <w:pPr>
        <w:pStyle w:val="normal1"/>
        <w:tabs>
          <w:tab w:val="clear" w:pos="720"/>
          <w:tab w:val="right" w:pos="8220" w:leader="none"/>
        </w:tabs>
        <w:spacing w:lineRule="auto" w:line="276" w:before="40" w:after="40"/>
        <w:rPr/>
      </w:pPr>
      <w:r>
        <w:rPr>
          <w:rFonts w:eastAsia="Times New Roman" w:cs="Times New Roman"/>
          <w:b/>
          <w:bCs/>
          <w:sz w:val="24"/>
          <w:szCs w:val="24"/>
        </w:rPr>
        <w:t>2. GENEL BİLGİLER</w:t>
        <w:tab/>
        <w:t>3</w:t>
      </w:r>
    </w:p>
    <w:p>
      <w:pPr>
        <w:pStyle w:val="normal1"/>
        <w:tabs>
          <w:tab w:val="clear" w:pos="720"/>
          <w:tab w:val="right" w:pos="8220" w:leader="none"/>
        </w:tabs>
        <w:spacing w:lineRule="auto" w:line="276" w:before="40" w:after="40"/>
        <w:ind w:hanging="0" w:start="454"/>
        <w:rPr/>
      </w:pPr>
      <w:r>
        <w:rPr>
          <w:rFonts w:eastAsia="Times New Roman" w:cs="Times New Roman"/>
          <w:b w:val="false"/>
          <w:bCs w:val="false"/>
          <w:sz w:val="24"/>
          <w:szCs w:val="24"/>
        </w:rPr>
        <w:t>2.1. Papilödemin Klinik Tanımı ve Görüntüleme Yaklaşımı</w:t>
        <w:tab/>
        <w:t>3</w:t>
      </w:r>
    </w:p>
    <w:p>
      <w:pPr>
        <w:pStyle w:val="normal1"/>
        <w:tabs>
          <w:tab w:val="clear" w:pos="720"/>
          <w:tab w:val="right" w:pos="8220" w:leader="none"/>
        </w:tabs>
        <w:spacing w:lineRule="auto" w:line="276" w:before="40" w:after="40"/>
        <w:ind w:hanging="0" w:start="454"/>
        <w:rPr/>
      </w:pPr>
      <w:r>
        <w:rPr>
          <w:rFonts w:eastAsia="Times New Roman" w:cs="Times New Roman"/>
          <w:b w:val="false"/>
          <w:bCs w:val="false"/>
          <w:sz w:val="24"/>
          <w:szCs w:val="24"/>
        </w:rPr>
        <w:t>2.2. Radyomik Veri ve Özellik Seçimi</w:t>
        <w:tab/>
        <w:t>4</w:t>
      </w:r>
    </w:p>
    <w:p>
      <w:pPr>
        <w:pStyle w:val="normal1"/>
        <w:tabs>
          <w:tab w:val="clear" w:pos="720"/>
          <w:tab w:val="right" w:pos="8220" w:leader="none"/>
        </w:tabs>
        <w:spacing w:lineRule="auto" w:line="276" w:before="40" w:after="40"/>
        <w:ind w:hanging="0" w:start="454"/>
        <w:rPr/>
      </w:pPr>
      <w:r>
        <w:rPr>
          <w:rFonts w:eastAsia="Times New Roman" w:cs="Times New Roman"/>
          <w:b w:val="false"/>
          <w:bCs w:val="false"/>
          <w:sz w:val="24"/>
          <w:szCs w:val="24"/>
        </w:rPr>
        <w:t>2.3. Sınıf Dengesizliği</w:t>
        <w:tab/>
        <w:t>5</w:t>
      </w:r>
    </w:p>
    <w:p>
      <w:pPr>
        <w:pStyle w:val="normal1"/>
        <w:tabs>
          <w:tab w:val="clear" w:pos="720"/>
          <w:tab w:val="right" w:pos="8220" w:leader="none"/>
        </w:tabs>
        <w:spacing w:lineRule="auto" w:line="276" w:before="40" w:after="40"/>
        <w:rPr/>
      </w:pPr>
      <w:r>
        <w:rPr>
          <w:rFonts w:eastAsia="Times New Roman" w:cs="Times New Roman"/>
          <w:b/>
          <w:bCs/>
          <w:sz w:val="24"/>
          <w:szCs w:val="24"/>
        </w:rPr>
        <w:t>3. GEREÇ VE YÖNTEM</w:t>
        <w:tab/>
        <w:t>6</w:t>
      </w:r>
    </w:p>
    <w:p>
      <w:pPr>
        <w:pStyle w:val="normal1"/>
        <w:tabs>
          <w:tab w:val="clear" w:pos="720"/>
          <w:tab w:val="right" w:pos="8220" w:leader="none"/>
        </w:tabs>
        <w:spacing w:lineRule="auto" w:line="276" w:before="40" w:after="40"/>
        <w:ind w:hanging="0" w:start="454"/>
        <w:rPr/>
      </w:pPr>
      <w:r>
        <w:rPr>
          <w:rFonts w:eastAsia="Times New Roman" w:cs="Times New Roman"/>
          <w:b w:val="false"/>
          <w:bCs w:val="false"/>
          <w:sz w:val="24"/>
          <w:szCs w:val="24"/>
        </w:rPr>
        <w:t>3.1. Veri Seti</w:t>
        <w:tab/>
        <w:t>6</w:t>
      </w:r>
    </w:p>
    <w:p>
      <w:pPr>
        <w:pStyle w:val="normal1"/>
        <w:tabs>
          <w:tab w:val="clear" w:pos="720"/>
          <w:tab w:val="right" w:pos="8220" w:leader="none"/>
        </w:tabs>
        <w:spacing w:lineRule="auto" w:line="276" w:before="40" w:after="40"/>
        <w:ind w:hanging="0" w:start="454"/>
        <w:rPr/>
      </w:pPr>
      <w:r>
        <w:rPr>
          <w:rFonts w:eastAsia="Times New Roman" w:cs="Times New Roman"/>
          <w:b w:val="false"/>
          <w:bCs w:val="false"/>
          <w:sz w:val="24"/>
          <w:szCs w:val="24"/>
        </w:rPr>
        <w:t>3.2. Veri Ön İşleme</w:t>
        <w:tab/>
        <w:t>7</w:t>
      </w:r>
    </w:p>
    <w:p>
      <w:pPr>
        <w:pStyle w:val="normal1"/>
        <w:tabs>
          <w:tab w:val="clear" w:pos="720"/>
          <w:tab w:val="right" w:pos="8220" w:leader="none"/>
        </w:tabs>
        <w:spacing w:lineRule="auto" w:line="276" w:before="40" w:after="40"/>
        <w:ind w:hanging="0" w:start="454"/>
        <w:rPr/>
      </w:pPr>
      <w:r>
        <w:rPr>
          <w:rFonts w:eastAsia="Times New Roman" w:cs="Times New Roman"/>
          <w:b w:val="false"/>
          <w:bCs w:val="false"/>
          <w:sz w:val="24"/>
          <w:szCs w:val="24"/>
        </w:rPr>
        <w:t>3.3. Özellik Seçimi</w:t>
        <w:tab/>
        <w:t>8</w:t>
      </w:r>
    </w:p>
    <w:p>
      <w:pPr>
        <w:pStyle w:val="normal1"/>
        <w:tabs>
          <w:tab w:val="clear" w:pos="720"/>
          <w:tab w:val="right" w:pos="8220" w:leader="none"/>
        </w:tabs>
        <w:spacing w:lineRule="auto" w:line="276" w:before="40" w:after="40"/>
        <w:ind w:hanging="0" w:start="454"/>
        <w:rPr/>
      </w:pPr>
      <w:r>
        <w:rPr>
          <w:rFonts w:eastAsia="Times New Roman" w:cs="Times New Roman"/>
          <w:b w:val="false"/>
          <w:bCs w:val="false"/>
          <w:sz w:val="24"/>
          <w:szCs w:val="24"/>
        </w:rPr>
        <w:t>3.4. Sınıflandırma Modelleri</w:t>
        <w:tab/>
        <w:t>9</w:t>
      </w:r>
    </w:p>
    <w:p>
      <w:pPr>
        <w:pStyle w:val="normal1"/>
        <w:tabs>
          <w:tab w:val="clear" w:pos="720"/>
          <w:tab w:val="right" w:pos="8220" w:leader="none"/>
        </w:tabs>
        <w:spacing w:lineRule="auto" w:line="276" w:before="40" w:after="40"/>
        <w:ind w:hanging="0" w:start="454"/>
        <w:rPr/>
      </w:pPr>
      <w:r>
        <w:rPr>
          <w:rFonts w:eastAsia="Times New Roman" w:cs="Times New Roman"/>
          <w:b w:val="false"/>
          <w:bCs w:val="false"/>
          <w:sz w:val="24"/>
          <w:szCs w:val="24"/>
        </w:rPr>
        <w:t>3.5. Hiperparametre Optimizasyonu</w:t>
        <w:tab/>
        <w:t>10</w:t>
      </w:r>
    </w:p>
    <w:p>
      <w:pPr>
        <w:pStyle w:val="normal1"/>
        <w:tabs>
          <w:tab w:val="clear" w:pos="720"/>
          <w:tab w:val="right" w:pos="8220" w:leader="none"/>
        </w:tabs>
        <w:spacing w:lineRule="auto" w:line="276" w:before="40" w:after="40"/>
        <w:ind w:hanging="0" w:start="454"/>
        <w:rPr/>
      </w:pPr>
      <w:r>
        <w:rPr>
          <w:rFonts w:eastAsia="Times New Roman" w:cs="Times New Roman"/>
          <w:b w:val="false"/>
          <w:bCs w:val="false"/>
          <w:sz w:val="24"/>
          <w:szCs w:val="24"/>
        </w:rPr>
        <w:t>3.6. Çapraz Doğrulama Yapısı</w:t>
        <w:tab/>
        <w:t>10</w:t>
      </w:r>
    </w:p>
    <w:p>
      <w:pPr>
        <w:pStyle w:val="normal1"/>
        <w:tabs>
          <w:tab w:val="clear" w:pos="720"/>
          <w:tab w:val="right" w:pos="8220" w:leader="none"/>
        </w:tabs>
        <w:spacing w:lineRule="auto" w:line="276" w:before="40" w:after="40"/>
        <w:ind w:hanging="0" w:start="454"/>
        <w:rPr/>
      </w:pPr>
      <w:r>
        <w:rPr>
          <w:rFonts w:eastAsia="Times New Roman" w:cs="Times New Roman"/>
          <w:b w:val="false"/>
          <w:bCs w:val="false"/>
          <w:sz w:val="24"/>
          <w:szCs w:val="24"/>
        </w:rPr>
        <w:t>3.7. Topluluk Öğrenmesi</w:t>
        <w:tab/>
        <w:t>11</w:t>
      </w:r>
    </w:p>
    <w:p>
      <w:pPr>
        <w:pStyle w:val="normal1"/>
        <w:tabs>
          <w:tab w:val="clear" w:pos="720"/>
          <w:tab w:val="right" w:pos="8220" w:leader="none"/>
        </w:tabs>
        <w:spacing w:lineRule="auto" w:line="276" w:before="40" w:after="40"/>
        <w:ind w:hanging="0" w:start="454"/>
        <w:rPr/>
      </w:pPr>
      <w:r>
        <w:rPr>
          <w:rFonts w:eastAsia="Times New Roman" w:cs="Times New Roman"/>
          <w:b w:val="false"/>
          <w:bCs w:val="false"/>
          <w:sz w:val="24"/>
          <w:szCs w:val="24"/>
        </w:rPr>
        <w:t>3.8. Değerlendirme Metrikleri</w:t>
        <w:tab/>
        <w:t>11</w:t>
      </w:r>
    </w:p>
    <w:p>
      <w:pPr>
        <w:pStyle w:val="normal1"/>
        <w:tabs>
          <w:tab w:val="clear" w:pos="720"/>
          <w:tab w:val="right" w:pos="8220" w:leader="none"/>
        </w:tabs>
        <w:spacing w:lineRule="auto" w:line="276" w:before="40" w:after="40"/>
        <w:ind w:hanging="0" w:start="454"/>
        <w:rPr/>
      </w:pPr>
      <w:r>
        <w:rPr>
          <w:rFonts w:eastAsia="Times New Roman" w:cs="Times New Roman"/>
          <w:b w:val="false"/>
          <w:bCs w:val="false"/>
          <w:sz w:val="24"/>
          <w:szCs w:val="24"/>
        </w:rPr>
        <w:t>3.9. İstatistiksel Analiz</w:t>
        <w:tab/>
        <w:t>12</w:t>
      </w:r>
    </w:p>
    <w:p>
      <w:pPr>
        <w:pStyle w:val="normal1"/>
        <w:tabs>
          <w:tab w:val="clear" w:pos="720"/>
          <w:tab w:val="right" w:pos="8220" w:leader="none"/>
        </w:tabs>
        <w:spacing w:lineRule="auto" w:line="276" w:before="40" w:after="40"/>
        <w:rPr/>
      </w:pPr>
      <w:r>
        <w:rPr>
          <w:rFonts w:eastAsia="Times New Roman" w:cs="Times New Roman"/>
          <w:b/>
          <w:bCs/>
          <w:sz w:val="24"/>
          <w:szCs w:val="24"/>
        </w:rPr>
        <w:t>4. BULGULAR</w:t>
        <w:tab/>
        <w:t>13</w:t>
      </w:r>
    </w:p>
    <w:p>
      <w:pPr>
        <w:pStyle w:val="normal1"/>
        <w:tabs>
          <w:tab w:val="clear" w:pos="720"/>
          <w:tab w:val="right" w:pos="8220" w:leader="none"/>
        </w:tabs>
        <w:spacing w:lineRule="auto" w:line="276" w:before="40" w:after="40"/>
        <w:ind w:hanging="0" w:start="454"/>
        <w:rPr/>
      </w:pPr>
      <w:r>
        <w:rPr>
          <w:rFonts w:eastAsia="Times New Roman" w:cs="Times New Roman"/>
          <w:b w:val="false"/>
          <w:bCs w:val="false"/>
          <w:sz w:val="24"/>
          <w:szCs w:val="24"/>
        </w:rPr>
        <w:t>4.1. Genel Performans Karşılaştırması</w:t>
        <w:tab/>
        <w:t>13</w:t>
      </w:r>
    </w:p>
    <w:p>
      <w:pPr>
        <w:pStyle w:val="normal1"/>
        <w:tabs>
          <w:tab w:val="clear" w:pos="720"/>
          <w:tab w:val="right" w:pos="8220" w:leader="none"/>
        </w:tabs>
        <w:spacing w:lineRule="auto" w:line="276" w:before="40" w:after="40"/>
        <w:ind w:hanging="0" w:start="454"/>
        <w:rPr/>
      </w:pPr>
      <w:r>
        <w:rPr>
          <w:rFonts w:eastAsia="Times New Roman" w:cs="Times New Roman"/>
          <w:b w:val="false"/>
          <w:bCs w:val="false"/>
          <w:sz w:val="24"/>
          <w:szCs w:val="24"/>
        </w:rPr>
        <w:t>4.2. İstatistiksel Karşılaştırma</w:t>
        <w:tab/>
        <w:t>15</w:t>
      </w:r>
    </w:p>
    <w:p>
      <w:pPr>
        <w:pStyle w:val="normal1"/>
        <w:tabs>
          <w:tab w:val="clear" w:pos="720"/>
          <w:tab w:val="right" w:pos="8220" w:leader="none"/>
        </w:tabs>
        <w:spacing w:lineRule="auto" w:line="276" w:before="40" w:after="40"/>
        <w:ind w:hanging="0" w:start="454"/>
        <w:rPr/>
      </w:pPr>
      <w:r>
        <w:rPr>
          <w:rFonts w:eastAsia="Times New Roman" w:cs="Times New Roman"/>
          <w:b w:val="false"/>
          <w:bCs w:val="false"/>
          <w:sz w:val="24"/>
          <w:szCs w:val="24"/>
        </w:rPr>
        <w:t>4.3. Kalibrasyon Analizi</w:t>
        <w:tab/>
        <w:t>16</w:t>
      </w:r>
    </w:p>
    <w:p>
      <w:pPr>
        <w:pStyle w:val="normal1"/>
        <w:tabs>
          <w:tab w:val="clear" w:pos="720"/>
          <w:tab w:val="right" w:pos="8220" w:leader="none"/>
        </w:tabs>
        <w:spacing w:lineRule="auto" w:line="276" w:before="40" w:after="40"/>
        <w:ind w:hanging="0" w:start="454"/>
        <w:rPr/>
      </w:pPr>
      <w:r>
        <w:rPr>
          <w:rFonts w:eastAsia="Times New Roman" w:cs="Times New Roman"/>
          <w:b w:val="false"/>
          <w:bCs w:val="false"/>
          <w:sz w:val="24"/>
          <w:szCs w:val="24"/>
        </w:rPr>
        <w:t>4.4. Özellik Yorumlanabilirliği (SHAP)</w:t>
        <w:tab/>
        <w:t>17</w:t>
      </w:r>
    </w:p>
    <w:p>
      <w:pPr>
        <w:pStyle w:val="normal1"/>
        <w:tabs>
          <w:tab w:val="clear" w:pos="720"/>
          <w:tab w:val="right" w:pos="8220" w:leader="none"/>
        </w:tabs>
        <w:spacing w:lineRule="auto" w:line="276" w:before="40" w:after="40"/>
        <w:ind w:hanging="0" w:start="454"/>
        <w:rPr/>
      </w:pPr>
      <w:r>
        <w:rPr>
          <w:rFonts w:eastAsia="Times New Roman" w:cs="Times New Roman"/>
          <w:b w:val="false"/>
          <w:bCs w:val="false"/>
          <w:sz w:val="24"/>
          <w:szCs w:val="24"/>
        </w:rPr>
        <w:t>4.5. Ödev Ek Sorularına Yönelik Değerlendirmeler</w:t>
        <w:tab/>
        <w:t>18</w:t>
      </w:r>
    </w:p>
    <w:p>
      <w:pPr>
        <w:pStyle w:val="normal1"/>
        <w:tabs>
          <w:tab w:val="clear" w:pos="720"/>
          <w:tab w:val="right" w:pos="8220" w:leader="none"/>
        </w:tabs>
        <w:spacing w:lineRule="auto" w:line="276" w:before="40" w:after="40"/>
        <w:rPr/>
      </w:pPr>
      <w:r>
        <w:rPr>
          <w:rFonts w:eastAsia="Times New Roman" w:cs="Times New Roman"/>
          <w:b/>
          <w:bCs/>
          <w:sz w:val="24"/>
          <w:szCs w:val="24"/>
        </w:rPr>
        <w:t>5. TARTIŞMA</w:t>
        <w:tab/>
        <w:t>20</w:t>
      </w:r>
    </w:p>
    <w:p>
      <w:pPr>
        <w:pStyle w:val="normal1"/>
        <w:tabs>
          <w:tab w:val="clear" w:pos="720"/>
          <w:tab w:val="right" w:pos="8220" w:leader="none"/>
        </w:tabs>
        <w:spacing w:lineRule="auto" w:line="276" w:before="40" w:after="40"/>
        <w:ind w:hanging="0" w:start="454"/>
        <w:rPr/>
      </w:pPr>
      <w:r>
        <w:rPr>
          <w:rFonts w:eastAsia="Times New Roman" w:cs="Times New Roman"/>
          <w:b w:val="false"/>
          <w:bCs w:val="false"/>
          <w:sz w:val="24"/>
          <w:szCs w:val="24"/>
        </w:rPr>
        <w:t>5.1. Modellerin Tekrarlar Arası Tutarlılığı</w:t>
        <w:tab/>
        <w:t>20</w:t>
      </w:r>
    </w:p>
    <w:p>
      <w:pPr>
        <w:pStyle w:val="normal1"/>
        <w:tabs>
          <w:tab w:val="clear" w:pos="720"/>
          <w:tab w:val="right" w:pos="8220" w:leader="none"/>
        </w:tabs>
        <w:spacing w:lineRule="auto" w:line="276" w:before="40" w:after="40"/>
        <w:ind w:hanging="0" w:start="454"/>
        <w:rPr/>
      </w:pPr>
      <w:r>
        <w:rPr>
          <w:rFonts w:eastAsia="Times New Roman" w:cs="Times New Roman"/>
          <w:b w:val="false"/>
          <w:bCs w:val="false"/>
          <w:sz w:val="24"/>
          <w:szCs w:val="24"/>
        </w:rPr>
        <w:t>5.2. Doğruluk-Kararlılık Dengesi</w:t>
        <w:tab/>
        <w:t>21</w:t>
      </w:r>
    </w:p>
    <w:p>
      <w:pPr>
        <w:pStyle w:val="normal1"/>
        <w:tabs>
          <w:tab w:val="clear" w:pos="720"/>
          <w:tab w:val="right" w:pos="8220" w:leader="none"/>
        </w:tabs>
        <w:spacing w:lineRule="auto" w:line="276" w:before="40" w:after="40"/>
        <w:rPr/>
      </w:pPr>
      <w:r>
        <w:rPr>
          <w:rFonts w:eastAsia="Times New Roman" w:cs="Times New Roman"/>
          <w:b/>
          <w:bCs/>
          <w:sz w:val="24"/>
          <w:szCs w:val="24"/>
        </w:rPr>
        <w:t>6. SONUÇ</w:t>
        <w:tab/>
        <w:t>22</w:t>
      </w:r>
    </w:p>
    <w:p>
      <w:pPr>
        <w:pStyle w:val="normal1"/>
        <w:tabs>
          <w:tab w:val="clear" w:pos="720"/>
          <w:tab w:val="right" w:pos="8220" w:leader="none"/>
        </w:tabs>
        <w:spacing w:lineRule="auto" w:line="276" w:before="40" w:after="40"/>
        <w:rPr/>
      </w:pPr>
      <w:r>
        <w:rPr>
          <w:rFonts w:eastAsia="Times New Roman" w:cs="Times New Roman"/>
          <w:b/>
          <w:bCs/>
          <w:sz w:val="24"/>
          <w:szCs w:val="24"/>
        </w:rPr>
        <w:t>KAYNAKLAR</w:t>
        <w:tab/>
        <w:t>23</w:t>
      </w:r>
    </w:p>
    <w:p>
      <w:pPr>
        <w:pStyle w:val="normal1"/>
        <w:tabs>
          <w:tab w:val="clear" w:pos="720"/>
          <w:tab w:val="right" w:pos="8220" w:leader="none"/>
        </w:tabs>
        <w:spacing w:lineRule="auto" w:line="276" w:before="40" w:after="40"/>
        <w:rPr/>
      </w:pPr>
      <w:r>
        <w:rPr>
          <w:rFonts w:eastAsia="Times New Roman" w:cs="Times New Roman"/>
          <w:b/>
          <w:bCs/>
          <w:sz w:val="24"/>
          <w:szCs w:val="24"/>
        </w:rPr>
        <w:t>EKLER: KOD ÖRNEKLERİ</w:t>
        <w:tab/>
        <w:t>24</w:t>
      </w:r>
      <w:r>
        <w:br w:type="page"/>
      </w:r>
    </w:p>
    <w:p>
      <w:pPr>
        <w:pStyle w:val="normal1"/>
        <w:spacing w:lineRule="auto" w:line="360" w:before="0" w:after="160"/>
        <w:jc w:val="start"/>
        <w:rPr/>
      </w:pPr>
      <w:r>
        <w:rPr>
          <w:rFonts w:eastAsia="Times New Roman" w:cs="Times New Roman"/>
          <w:b/>
          <w:bCs/>
          <w:sz w:val="28"/>
          <w:szCs w:val="28"/>
        </w:rPr>
        <w:t>SİMGELER VE KISALTMALAR</w:t>
      </w:r>
    </w:p>
    <w:tbl>
      <w:tblPr>
        <w:tblStyle w:val="Table1"/>
        <w:tblW w:w="8220" w:type="dxa"/>
        <w:jc w:val="center"/>
        <w:tblInd w:w="0" w:type="dxa"/>
        <w:tblLayout w:type="fixed"/>
        <w:tblCellMar>
          <w:top w:w="0" w:type="dxa"/>
          <w:start w:w="108" w:type="dxa"/>
          <w:bottom w:w="0" w:type="dxa"/>
          <w:end w:w="108" w:type="dxa"/>
        </w:tblCellMar>
        <w:tblLook w:val="0400"/>
      </w:tblPr>
      <w:tblGrid>
        <w:gridCol w:w="4110"/>
        <w:gridCol w:w="4110"/>
      </w:tblGrid>
      <w:tr>
        <w:trPr/>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bCs/>
                <w:sz w:val="22"/>
                <w:szCs w:val="22"/>
              </w:rPr>
              <w:t>Kısaltma</w:t>
            </w:r>
          </w:p>
        </w:tc>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bCs/>
                <w:sz w:val="22"/>
                <w:szCs w:val="22"/>
              </w:rPr>
              <w:t>Açılım</w:t>
            </w:r>
          </w:p>
        </w:tc>
      </w:tr>
      <w:tr>
        <w:trPr/>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AUC</w:t>
            </w:r>
          </w:p>
        </w:tc>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Area Under Curve (Eğri Altı Alan)</w:t>
            </w:r>
          </w:p>
        </w:tc>
      </w:tr>
      <w:tr>
        <w:trPr/>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CV</w:t>
            </w:r>
          </w:p>
        </w:tc>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Cross-Validation (Çapraz Doğrulama)</w:t>
            </w:r>
          </w:p>
        </w:tc>
      </w:tr>
      <w:tr>
        <w:trPr/>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ET</w:t>
            </w:r>
          </w:p>
        </w:tc>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Extra Trees</w:t>
            </w:r>
          </w:p>
        </w:tc>
      </w:tr>
      <w:tr>
        <w:trPr/>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GB</w:t>
            </w:r>
          </w:p>
        </w:tc>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Gradient Boosting</w:t>
            </w:r>
          </w:p>
        </w:tc>
      </w:tr>
      <w:tr>
        <w:trPr/>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KNN</w:t>
            </w:r>
          </w:p>
        </w:tc>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K-Nearest Neighbors (K-En Yakın Komşu)</w:t>
            </w:r>
          </w:p>
        </w:tc>
      </w:tr>
      <w:tr>
        <w:trPr/>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LR</w:t>
            </w:r>
          </w:p>
        </w:tc>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Logistic Regression (Lojistik Regresyon)</w:t>
            </w:r>
          </w:p>
        </w:tc>
      </w:tr>
      <w:tr>
        <w:trPr/>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MRMR</w:t>
            </w:r>
          </w:p>
        </w:tc>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Minimum Redundancy Maximum Relevance</w:t>
            </w:r>
          </w:p>
        </w:tc>
      </w:tr>
      <w:tr>
        <w:trPr/>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OKT</w:t>
            </w:r>
          </w:p>
        </w:tc>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Optik Koherens Tomografi</w:t>
            </w:r>
          </w:p>
        </w:tc>
      </w:tr>
      <w:tr>
        <w:trPr/>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ONH</w:t>
            </w:r>
          </w:p>
        </w:tc>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Optic Nerve Head (Optik Sinir Başı)</w:t>
            </w:r>
          </w:p>
        </w:tc>
      </w:tr>
      <w:tr>
        <w:trPr/>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PR</w:t>
            </w:r>
          </w:p>
        </w:tc>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Precision-Recall</w:t>
            </w:r>
          </w:p>
        </w:tc>
      </w:tr>
      <w:tr>
        <w:trPr/>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RF</w:t>
            </w:r>
          </w:p>
        </w:tc>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Random Forest (Rastgele Orman)</w:t>
            </w:r>
          </w:p>
        </w:tc>
      </w:tr>
      <w:tr>
        <w:trPr/>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ROC</w:t>
            </w:r>
          </w:p>
        </w:tc>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Receiver Operating Characteristic</w:t>
            </w:r>
          </w:p>
        </w:tc>
      </w:tr>
      <w:tr>
        <w:trPr/>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SHAP</w:t>
            </w:r>
          </w:p>
        </w:tc>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SHapley Additive exPlanations</w:t>
            </w:r>
          </w:p>
        </w:tc>
      </w:tr>
      <w:tr>
        <w:trPr/>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SVM</w:t>
            </w:r>
          </w:p>
        </w:tc>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Support Vector Machine (Destek Vektör Makinesi)</w:t>
            </w:r>
          </w:p>
        </w:tc>
      </w:tr>
      <w:tr>
        <w:trPr/>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TPE</w:t>
            </w:r>
          </w:p>
        </w:tc>
        <w:tc>
          <w:tcPr>
            <w:tcW w:w="41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Tree-structured Parzen Estimator</w:t>
            </w:r>
          </w:p>
        </w:tc>
      </w:tr>
    </w:tbl>
    <w:p>
      <w:pPr>
        <w:pStyle w:val="normal1"/>
        <w:spacing w:lineRule="auto" w:line="360" w:before="0" w:after="160"/>
        <w:jc w:val="start"/>
        <w:rPr/>
      </w:pPr>
      <w:r>
        <w:br w:type="page"/>
      </w:r>
      <w:r>
        <w:rPr>
          <w:rFonts w:eastAsia="Times New Roman" w:cs="Times New Roman"/>
          <w:b/>
          <w:bCs/>
          <w:sz w:val="28"/>
          <w:szCs w:val="28"/>
        </w:rPr>
        <w:t>1. GİRİŞ</w:t>
      </w:r>
    </w:p>
    <w:p>
      <w:pPr>
        <w:pStyle w:val="normal1"/>
        <w:spacing w:lineRule="auto" w:line="360" w:before="160" w:after="60"/>
        <w:jc w:val="start"/>
        <w:rPr/>
      </w:pPr>
      <w:r>
        <w:rPr>
          <w:rFonts w:eastAsia="Times New Roman" w:cs="Times New Roman"/>
          <w:b/>
          <w:bCs/>
          <w:sz w:val="24"/>
          <w:szCs w:val="24"/>
        </w:rPr>
        <w:t>1.1. Problemin Tanımı ve Önemi</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Papilödem, kafa içi basıncın yükselmesine bağlı olarak iki gözde birden gelişen optik disk şişmesi olarak tanımlanır [12]. Tablo ilerlediğinde kalıcı görme kaybına ulaşabildiği için erken tanı klinik açıdan büyük önem taşır. Papilödemin ayırıcı tanısında en sık karıştırılan durum sahte papilödemdir (pseudopapilledem)</w:t>
      </w:r>
      <w:r>
        <w:rPr/>
        <w:t>,</w:t>
      </w:r>
      <w:r>
        <w:rPr>
          <w:rFonts w:eastAsia="Times New Roman" w:cs="Times New Roman"/>
          <w:b w:val="false"/>
          <w:bCs w:val="false"/>
          <w:i w:val="false"/>
          <w:iCs w:val="false"/>
          <w:sz w:val="24"/>
          <w:szCs w:val="24"/>
        </w:rPr>
        <w:t xml:space="preserve"> ikisi arasındaki ayrımın hatalı yapılması bir tarafta gereksiz invaziv girişimlere, diğer tarafta hayati bulguların gözden kaçırılmasına yol açabilir [3]. Klasik tanı yöntemi fundus fotoğrafı veya optik koherens tomografi (OKT) görüntülerinin göz hekimi tarafından değerlendirilmesidir. Bu yaklaşım deneyim farklarına bağlı olarak hekimden hekime değişebildiği gibi, değerlendirme süresi de göz polikliniklerinde ciddi bir iş yükü oluşturmaktadır.</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Son yıllarda görüntülerden çıkarılan sayısal özelliklerin (radyomik özellikler) makine öğrenmesi modelleriyle birleştirilmesinin tanısal performansı önemli ölçüde iyileştirebildiği gösterilmiştir [1] [6]. Buradaki temel sıkıntı şudur: radyomik veri kümelerinde örnek başına yüzlerce özellik bulunurken hasta sayısı çoğu zaman küçük kalır. Bu durum aşırı öğrenme (overfitting) riskini büyütür ve dolayısıyla özellik seçimi, kalibrasyon ve özellikle hasta seviyesinde veri sızıntısının önlenmesi gibi noktalara dikkat etmek gerekir.</w:t>
      </w:r>
    </w:p>
    <w:p>
      <w:pPr>
        <w:pStyle w:val="normal1"/>
        <w:spacing w:lineRule="auto" w:line="360" w:before="160" w:after="60"/>
        <w:jc w:val="start"/>
        <w:rPr/>
      </w:pPr>
      <w:r>
        <w:rPr>
          <w:rFonts w:eastAsia="Times New Roman" w:cs="Times New Roman"/>
          <w:b/>
          <w:bCs/>
          <w:sz w:val="24"/>
          <w:szCs w:val="24"/>
        </w:rPr>
        <w:t>1.2. Çalışmanın Amacı ve Katkıları</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Bu projenin amacı, verilen radyomik veri seti üzerinde Normal ve Papilödem ayrımını yapan, akademik standartlara uygun, veri sızıntısız ve sonuçları yorumlanabilir bir makine öğrenmesi sistemi tasarlamaktır. Burada amaç sadece yüksek doğruluklu bir model elde etmek değil, aynı zamanda elde edilen sonuçların güvenilirliğini sağlam bir metodoloji ile desteklemektir.</w:t>
      </w:r>
    </w:p>
    <w:p>
      <w:pPr>
        <w:pStyle w:val="normal1"/>
        <w:spacing w:lineRule="auto" w:line="360" w:before="0" w:after="60"/>
        <w:ind w:hanging="0" w:start="0"/>
        <w:jc w:val="both"/>
        <w:rPr/>
      </w:pPr>
      <w:r>
        <w:rPr>
          <w:rFonts w:eastAsia="Times New Roman" w:cs="Times New Roman"/>
          <w:b w:val="false"/>
          <w:bCs w:val="false"/>
          <w:i w:val="false"/>
          <w:iCs w:val="false"/>
          <w:sz w:val="24"/>
          <w:szCs w:val="24"/>
        </w:rPr>
        <w:t>Bu doğrultuda kurulan sistem, aynı hastaya ait örneklerin farklı alt kümelere düşmesini engelleyen bir çapraz doğrulama yapısı, çalışmaya özel yazılmış bir korelasyon filtresi, MRMR ile özellik seçimi, Optuna ile otomatik hiperparametre arama ve soft voting topluluk modelini bir araya getirmektedir. Modellerin olasılıkları sigmoid kalibrasyonla düzeltilmiş, SHAP analizi ile kararlarına en çok katkı veren özellikler raporlanmıştır. Çalışmada izlenen genel yöntem akışı Şekil 3.2'de gösterilmektedir.</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bCs/>
          <w:sz w:val="28"/>
          <w:szCs w:val="28"/>
        </w:rPr>
        <w:t>2. GENEL BİLGİLER</w:t>
      </w:r>
    </w:p>
    <w:p>
      <w:pPr>
        <w:pStyle w:val="normal1"/>
        <w:spacing w:lineRule="auto" w:line="360" w:before="160" w:after="60"/>
        <w:jc w:val="start"/>
        <w:rPr/>
      </w:pPr>
      <w:r>
        <w:rPr>
          <w:rFonts w:eastAsia="Times New Roman" w:cs="Times New Roman"/>
          <w:b/>
          <w:bCs/>
          <w:sz w:val="24"/>
          <w:szCs w:val="24"/>
        </w:rPr>
        <w:t>2.1. Papilödemin Klinik Tanımı ve Görüntüleme Yaklaşımı</w:t>
      </w:r>
    </w:p>
    <w:p>
      <w:pPr>
        <w:pStyle w:val="normal1"/>
        <w:spacing w:lineRule="auto" w:line="360" w:before="0" w:after="60"/>
        <w:ind w:hanging="0" w:start="0"/>
        <w:jc w:val="both"/>
        <w:rPr/>
      </w:pPr>
      <w:r>
        <w:rPr>
          <w:rFonts w:eastAsia="Times New Roman" w:cs="Times New Roman"/>
          <w:b w:val="false"/>
          <w:bCs w:val="false"/>
          <w:i w:val="false"/>
          <w:iCs w:val="false"/>
          <w:sz w:val="24"/>
          <w:szCs w:val="24"/>
        </w:rPr>
        <w:t>Papilödem, intrakraniyal basıncın yükselmesi sonucu bilateral olarak gelişen optik disk şişmesidir. Klinik olarak baş ağrısı, bulantı, görme bulanıklığı ve geçici görme kayıpları gibi semptomlara eşlik edebilir. Tedavi edilmediğinde optik sinir atrofisine ve kalıcı görme kaybına yol açabildiği için ayrıntılı değerlendirme gerektirir. Pratikte tanıyı zorlaştıran en önemli durum, papilödem ile drusen veya doğuştan gelen disk anomalilerine bağlı sahte papilödem tablolarının görüntü olarak birbirine benzemesidir.</w:t>
      </w:r>
    </w:p>
    <w:p>
      <w:pPr>
        <w:pStyle w:val="normal1"/>
        <w:spacing w:lineRule="auto" w:line="360" w:before="0" w:after="60"/>
        <w:ind w:hanging="0" w:start="0"/>
        <w:jc w:val="both"/>
        <w:rPr/>
      </w:pPr>
      <w:r>
        <w:rPr>
          <w:rFonts w:eastAsia="Times New Roman" w:cs="Times New Roman"/>
          <w:b w:val="false"/>
          <w:bCs w:val="false"/>
          <w:i w:val="false"/>
          <w:iCs w:val="false"/>
          <w:sz w:val="24"/>
          <w:szCs w:val="24"/>
        </w:rPr>
        <w:t xml:space="preserve">Görüntüleme tarafında en yaygın kullanılan yöntemler fundus fotoğrafı ve optik koherens tomografi (OKT) yöntemidir. OKT, optik sinir başı çevresindeki retina sinir lifi tabakası kalınlığını ölçüp katmanları ayrıştırabildiği için son yıllarda tanı algoritmalarının temel girdisi haline gelmiştir. Shenoy ve arkadaşları [3] AutoML platformları üzerinden OKT'den elde edilen görüntülerle papilödem ile sahte papilödemi başarıyla ayırabildiklerini bildirmiştir. Szanto ve </w:t>
      </w:r>
      <w:r>
        <w:rPr/>
        <w:t xml:space="preserve">ekibi </w:t>
      </w:r>
      <w:r>
        <w:rPr>
          <w:rFonts w:eastAsia="Times New Roman" w:cs="Times New Roman"/>
          <w:b w:val="false"/>
          <w:bCs w:val="false"/>
          <w:i w:val="false"/>
          <w:iCs w:val="false"/>
          <w:sz w:val="24"/>
          <w:szCs w:val="24"/>
        </w:rPr>
        <w:t xml:space="preserve">[4] üç boyutlu OKT verisi üzerinde derin öğrenme modeli kurarak papilödem, NAION ve sağlıklı gözleri yüksek doğrulukla ayırmıştır. Girard ve </w:t>
      </w:r>
      <w:r>
        <w:rPr/>
        <w:t>ebibi</w:t>
      </w:r>
      <w:r>
        <w:rPr>
          <w:rFonts w:eastAsia="Times New Roman" w:cs="Times New Roman"/>
          <w:b w:val="false"/>
          <w:bCs w:val="false"/>
          <w:i w:val="false"/>
          <w:iCs w:val="false"/>
          <w:sz w:val="24"/>
          <w:szCs w:val="24"/>
        </w:rPr>
        <w:t xml:space="preserve"> [5] ise optik sinir başının üç boyutlu yapısal analizinden yola çıkarak papilödemi optik disk drusen tablosundan ayırt etmeyi başarmıştır.</w:t>
      </w:r>
    </w:p>
    <w:p>
      <w:pPr>
        <w:pStyle w:val="normal1"/>
        <w:spacing w:lineRule="auto" w:line="360" w:before="0" w:after="60"/>
        <w:ind w:hanging="0" w:start="0"/>
        <w:jc w:val="both"/>
        <w:rPr/>
      </w:pPr>
      <w:r>
        <w:rPr>
          <w:rFonts w:eastAsia="Times New Roman" w:cs="Times New Roman"/>
          <w:b w:val="false"/>
          <w:bCs w:val="false"/>
          <w:i w:val="false"/>
          <w:iCs w:val="false"/>
          <w:sz w:val="24"/>
          <w:szCs w:val="24"/>
        </w:rPr>
        <w:t>Bu çalışmaların büyük bölümü derin öğrenme yaklaşımlarına dayansa da, küçük veri rejimlerinde klasik makine öğrenmesi modelleri ile anlamlı özellik mühendisliğinin halen rekabetçi sonuçlar üretebildiği [12] tarafından da vurgulanmaktadır. Klasik yöntemler, hem yorumlanabilirlik açısından üstünlük sağlar, hem de küçük örneklem durumunda derin öğrenmenin tipik veri açlığı problemiyle daha az karşılaşır.</w:t>
      </w:r>
    </w:p>
    <w:p>
      <w:pPr>
        <w:pStyle w:val="normal1"/>
        <w:spacing w:lineRule="auto" w:line="360" w:before="160" w:after="60"/>
        <w:jc w:val="start"/>
        <w:rPr/>
      </w:pPr>
      <w:r>
        <w:rPr>
          <w:rFonts w:eastAsia="Times New Roman" w:cs="Times New Roman"/>
          <w:b/>
          <w:bCs/>
          <w:sz w:val="24"/>
          <w:szCs w:val="24"/>
        </w:rPr>
        <w:t>2.2. Radyomik Veri ve Özellik Seçimi</w:t>
      </w:r>
    </w:p>
    <w:p>
      <w:pPr>
        <w:pStyle w:val="normal1"/>
        <w:spacing w:lineRule="auto" w:line="360" w:before="0" w:after="60"/>
        <w:ind w:hanging="0" w:start="0"/>
        <w:jc w:val="both"/>
        <w:rPr/>
      </w:pPr>
      <w:r>
        <w:rPr>
          <w:rFonts w:eastAsia="Times New Roman" w:cs="Times New Roman"/>
          <w:b w:val="false"/>
          <w:bCs w:val="false"/>
          <w:i w:val="false"/>
          <w:iCs w:val="false"/>
          <w:sz w:val="24"/>
          <w:szCs w:val="24"/>
        </w:rPr>
        <w:t>Radyomik, görüntü üzerinden niceliksel olarak özellik çıkarma yaklaşımıdır. Tek bir görüntüden yüzlerce hatta binlerce (birinci dereceden istatistikler, doku özellikleri, şekil tanımlayıcıları, dalgacık tabanlı yüksek seviye özellikler vb.) sayısal değer üretilebilir. Bu zenginlik avantaj gibi görünse de uygulamada en büyük sıkıntı yüksek boyutluluk ile az örnek sayısının bir araya gelmesidir.</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Demircioğlu [1] on radyomik veri seti üzerinde 29 farklı özellik seçim yöntemini karşılaştırdığı geniş kapsamlı çalışmasında ilginç bir sonuca ulaşmıştır: ANOVA, LASSO ve MRMR ensemble gibi görece sade yöntemler, karmaşık yöntemlerden istatistiksel olarak farklı bir performans göstermemiş ve seçim kararlılığı açısından daha güvenli bulunmuştur. Yöntem seçiminin sade tarafta kalmasının özellikle az veriyle çalışırken iki avantajı vardır: model karmaşıklığı düştüğü için aşırı uyum riski azalır, ayrıca kararların yorumlanması kolaylaşır. Bu çalışmada da bu doğrultuda MRMR yaklaşımı tercih edilmiştir.</w:t>
      </w:r>
    </w:p>
    <w:p>
      <w:pPr>
        <w:pStyle w:val="normal1"/>
        <w:spacing w:lineRule="auto" w:line="240" w:before="0" w:after="40"/>
        <w:jc w:val="center"/>
        <w:rPr/>
      </w:pPr>
      <w:r>
        <w:rPr/>
        <w:drawing>
          <wp:inline distT="0" distB="0" distL="0" distR="0">
            <wp:extent cx="5039995" cy="2297430"/>
            <wp:effectExtent l="0" t="0" r="0" b="0"/>
            <wp:docPr id="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a:picLocks noChangeAspect="1" noChangeArrowheads="1"/>
                    </pic:cNvPicPr>
                  </pic:nvPicPr>
                  <pic:blipFill>
                    <a:blip r:embed="rId3"/>
                    <a:stretch>
                      <a:fillRect/>
                    </a:stretch>
                  </pic:blipFill>
                  <pic:spPr bwMode="auto">
                    <a:xfrm>
                      <a:off x="0" y="0"/>
                      <a:ext cx="5039995" cy="2297430"/>
                    </a:xfrm>
                    <a:prstGeom prst="rect">
                      <a:avLst/>
                    </a:prstGeom>
                    <a:noFill/>
                  </pic:spPr>
                </pic:pic>
              </a:graphicData>
            </a:graphic>
          </wp:inline>
        </w:drawing>
      </w:r>
    </w:p>
    <w:p>
      <w:pPr>
        <w:pStyle w:val="normal1"/>
        <w:spacing w:lineRule="auto" w:line="360" w:before="0" w:after="200"/>
        <w:jc w:val="center"/>
        <w:rPr/>
      </w:pPr>
      <w:r>
        <w:rPr>
          <w:rFonts w:eastAsia="Times New Roman" w:cs="Times New Roman"/>
          <w:b/>
          <w:bCs/>
          <w:i w:val="false"/>
          <w:iCs w:val="false"/>
          <w:sz w:val="22"/>
          <w:szCs w:val="22"/>
        </w:rPr>
        <w:t>Şekil 2.1. Veri setinin sınıf bazlı örnek ve hasta dağılımı.</w:t>
      </w:r>
    </w:p>
    <w:p>
      <w:pPr>
        <w:pStyle w:val="normal1"/>
        <w:spacing w:lineRule="auto" w:line="360" w:before="160" w:after="60"/>
        <w:jc w:val="start"/>
        <w:rPr/>
      </w:pPr>
      <w:r>
        <w:rPr>
          <w:rFonts w:eastAsia="Times New Roman" w:cs="Times New Roman"/>
          <w:b/>
          <w:bCs/>
          <w:sz w:val="24"/>
          <w:szCs w:val="24"/>
        </w:rPr>
        <w:t>2.3. Sınıf Dengesizliği</w:t>
      </w:r>
    </w:p>
    <w:p>
      <w:pPr>
        <w:pStyle w:val="normal1"/>
        <w:spacing w:lineRule="auto" w:line="360" w:before="0" w:after="60"/>
        <w:ind w:hanging="0" w:start="0"/>
        <w:jc w:val="both"/>
        <w:rPr/>
      </w:pPr>
      <w:r>
        <w:rPr/>
      </w:r>
    </w:p>
    <w:p>
      <w:pPr>
        <w:pStyle w:val="normal1"/>
        <w:spacing w:lineRule="auto" w:line="360" w:before="0" w:after="60"/>
        <w:ind w:hanging="0" w:start="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t>Tıbbi görüntüleme veri kümelerinde sınıf dengesizliği yaygın bir durumdur. Bu çalışmada da veri setinde yaklaşık %70 normal ve %30 papilödem oranında bir dengesizlik bulunmaktadır. Bu durum modellerin azınlık sınıfı (papilödem) yeterince öğrenememesine yol açabilmektedir. Sorunu hafifletmek amacıyla model eğitimi sırasında ilgili modellerde `class_weight='balanced'` parametresi kullanılmıştır. Bu seçenek, modelin kayıp fonksiyonunda azınlık sınıfa otomatik olarak daha yüksek ağırlık atamakta ve böylece azınlık sınıfın model tarafından göz ardı edilmesinin önüne geçmektedir.</w:t>
      </w:r>
    </w:p>
    <w:p>
      <w:pPr>
        <w:pStyle w:val="normal1"/>
        <w:spacing w:lineRule="auto" w:line="360" w:before="0" w:after="60"/>
        <w:ind w:hanging="0" w:start="0"/>
        <w:jc w:val="both"/>
        <w:rPr/>
      </w:pPr>
      <w:r>
        <w:rPr/>
        <w:drawing>
          <wp:anchor distT="0" distB="0" distL="114300" distR="114300" simplePos="0" relativeHeight="19" behindDoc="0" locked="0" layoutInCell="0" allowOverlap="1">
            <wp:simplePos x="0" y="0"/>
            <wp:positionH relativeFrom="column">
              <wp:posOffset>881380</wp:posOffset>
            </wp:positionH>
            <wp:positionV relativeFrom="paragraph">
              <wp:posOffset>167640</wp:posOffset>
            </wp:positionV>
            <wp:extent cx="3453765" cy="1694815"/>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noChangeArrowheads="1"/>
                    </pic:cNvPicPr>
                  </pic:nvPicPr>
                  <pic:blipFill>
                    <a:blip r:embed="rId4"/>
                    <a:srcRect l="0" t="18422" r="41632" b="0"/>
                    <a:stretch>
                      <a:fillRect/>
                    </a:stretch>
                  </pic:blipFill>
                  <pic:spPr bwMode="auto">
                    <a:xfrm>
                      <a:off x="0" y="0"/>
                      <a:ext cx="3453765" cy="1694815"/>
                    </a:xfrm>
                    <a:prstGeom prst="rect">
                      <a:avLst/>
                    </a:prstGeom>
                    <a:noFill/>
                  </pic:spPr>
                </pic:pic>
              </a:graphicData>
            </a:graphic>
          </wp:anchor>
        </w:drawing>
      </w:r>
    </w:p>
    <w:p>
      <w:pPr>
        <w:pStyle w:val="normal1"/>
        <w:spacing w:lineRule="auto" w:line="360" w:before="40" w:after="200"/>
        <w:jc w:val="center"/>
        <w:rPr/>
      </w:pPr>
      <w:r>
        <w:rPr>
          <w:rFonts w:eastAsia="Times New Roman" w:cs="Times New Roman"/>
          <w:b/>
          <w:bCs/>
          <w:i w:val="false"/>
          <w:iCs w:val="false"/>
          <w:sz w:val="22"/>
          <w:szCs w:val="22"/>
        </w:rPr>
        <w:t>Şekil 2.2. Sınıflar arası dengesizliğin gösterimi.</w:t>
      </w:r>
    </w:p>
    <w:p>
      <w:pPr>
        <w:pStyle w:val="normal1"/>
        <w:spacing w:lineRule="auto" w:line="360" w:before="40" w:after="200"/>
        <w:jc w:val="center"/>
        <w:rPr/>
      </w:pPr>
      <w:r>
        <w:rPr/>
      </w:r>
    </w:p>
    <w:p>
      <w:pPr>
        <w:pStyle w:val="normal1"/>
        <w:spacing w:lineRule="auto" w:line="360" w:before="40" w:after="200"/>
        <w:jc w:val="start"/>
        <w:rPr/>
      </w:pPr>
      <w:r>
        <w:rPr>
          <w:rFonts w:eastAsia="Times New Roman" w:cs="Times New Roman"/>
          <w:b/>
          <w:bCs/>
          <w:sz w:val="28"/>
          <w:szCs w:val="28"/>
        </w:rPr>
        <w:t>3. GEREÇ VE YÖNTEM</w:t>
      </w:r>
    </w:p>
    <w:p>
      <w:pPr>
        <w:pStyle w:val="normal1"/>
        <w:spacing w:lineRule="auto" w:line="360" w:before="160" w:after="60"/>
        <w:jc w:val="start"/>
        <w:rPr/>
      </w:pPr>
      <w:r>
        <w:rPr>
          <w:rFonts w:eastAsia="Times New Roman" w:cs="Times New Roman"/>
          <w:b/>
          <w:bCs/>
          <w:sz w:val="24"/>
          <w:szCs w:val="24"/>
        </w:rPr>
        <w:t>3.1. Veri Seti</w:t>
      </w:r>
    </w:p>
    <w:p>
      <w:pPr>
        <w:pStyle w:val="normal1"/>
        <w:spacing w:lineRule="auto" w:line="360" w:before="0" w:after="60"/>
        <w:jc w:val="both"/>
        <w:rPr/>
      </w:pPr>
      <w:r>
        <w:rPr>
          <w:rFonts w:eastAsia="Times New Roman" w:cs="Times New Roman"/>
          <w:b w:val="false"/>
          <w:bCs w:val="false"/>
          <w:i w:val="false"/>
          <w:iCs w:val="false"/>
          <w:sz w:val="24"/>
          <w:szCs w:val="24"/>
        </w:rPr>
        <w:t>Çalışmada kullanılan veri seti, optik diskten çıkarılmış 746 radyomik özelliği içeren iki CSV dosyasından oluşmaktadır: `normal_radiomics.csv` ve `papilodem_radiomics.csv`. Veri setinin genel görünümü Şekil 3.1'de özetlenmiştir.</w:t>
      </w:r>
    </w:p>
    <w:p>
      <w:pPr>
        <w:pStyle w:val="normal1"/>
        <w:spacing w:lineRule="auto" w:line="240" w:before="80" w:after="0"/>
        <w:jc w:val="center"/>
        <w:rPr/>
      </w:pPr>
      <w:r>
        <w:rPr/>
        <w:drawing>
          <wp:inline distT="0" distB="0" distL="0" distR="0">
            <wp:extent cx="5579745" cy="2543810"/>
            <wp:effectExtent l="0" t="0" r="0" b="0"/>
            <wp:docPr id="4"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png"/>
                    <pic:cNvPicPr>
                      <a:picLocks noChangeAspect="1" noChangeArrowheads="1"/>
                    </pic:cNvPicPr>
                  </pic:nvPicPr>
                  <pic:blipFill>
                    <a:blip r:embed="rId5"/>
                    <a:stretch>
                      <a:fillRect/>
                    </a:stretch>
                  </pic:blipFill>
                  <pic:spPr bwMode="auto">
                    <a:xfrm>
                      <a:off x="0" y="0"/>
                      <a:ext cx="5579745" cy="2543810"/>
                    </a:xfrm>
                    <a:prstGeom prst="rect">
                      <a:avLst/>
                    </a:prstGeom>
                    <a:noFill/>
                  </pic:spPr>
                </pic:pic>
              </a:graphicData>
            </a:graphic>
          </wp:inline>
        </w:drawing>
      </w:r>
    </w:p>
    <w:p>
      <w:pPr>
        <w:pStyle w:val="normal1"/>
        <w:spacing w:lineRule="auto" w:line="240" w:before="40" w:after="160"/>
        <w:jc w:val="center"/>
        <w:rPr>
          <w:b/>
          <w:bCs/>
          <w:i/>
          <w:iCs/>
          <w:sz w:val="22"/>
          <w:szCs w:val="22"/>
        </w:rPr>
      </w:pPr>
      <w:r>
        <w:rPr>
          <w:b/>
          <w:bCs/>
          <w:i/>
          <w:iCs/>
          <w:sz w:val="22"/>
          <w:szCs w:val="22"/>
        </w:rPr>
        <w:t>Şekil 3.1. Veri setinin sınıf dağılımı ile hasta ve örnek sayıları.</w:t>
      </w:r>
    </w:p>
    <w:p>
      <w:pPr>
        <w:pStyle w:val="normal1"/>
        <w:spacing w:lineRule="auto" w:line="240" w:before="40" w:after="160"/>
        <w:jc w:val="center"/>
        <w:rPr>
          <w:b/>
          <w:bCs/>
          <w:i/>
          <w:iCs/>
          <w:sz w:val="22"/>
          <w:szCs w:val="22"/>
        </w:rPr>
      </w:pPr>
      <w:r>
        <w:rPr>
          <w:b/>
          <w:bCs/>
          <w:i/>
          <w:iCs/>
          <w:sz w:val="22"/>
          <w:szCs w:val="22"/>
        </w:rPr>
      </w:r>
    </w:p>
    <w:p>
      <w:pPr>
        <w:pStyle w:val="normal1"/>
        <w:spacing w:lineRule="auto" w:line="360" w:before="0" w:after="60"/>
        <w:ind w:hanging="0" w:start="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t>Görüldüğü üzere veri seti 48 normal ve 21 papilödem olmak üzere toplam 69 olgudan elde edilen 966 örnek içermektedir. Her hasta için sağ ve sol göz olmak üzere iki taraf, her taraf için yedi dilim alınmış</w:t>
      </w:r>
      <w:r>
        <w:rPr/>
        <w:t>,</w:t>
      </w:r>
      <w:r>
        <w:rPr>
          <w:rFonts w:eastAsia="Times New Roman" w:cs="Times New Roman"/>
          <w:b w:val="false"/>
          <w:bCs w:val="false"/>
          <w:i w:val="false"/>
          <w:iCs w:val="false"/>
          <w:sz w:val="24"/>
          <w:szCs w:val="24"/>
        </w:rPr>
        <w:t xml:space="preserve"> bu da hasta başına 14 örnek yapmaktadır. Veri yüklenirken karşılaşılan ilk pratik sorun şudur: her iki dosyada da `</w:t>
      </w:r>
      <w:r>
        <w:rPr>
          <w:b/>
          <w:bCs/>
          <w:i w:val="false"/>
          <w:iCs w:val="false"/>
          <w:sz w:val="24"/>
          <w:szCs w:val="24"/>
        </w:rPr>
        <w:t>PatientIndex</w:t>
      </w:r>
      <w:r>
        <w:rPr>
          <w:rFonts w:eastAsia="Times New Roman" w:cs="Times New Roman"/>
          <w:b w:val="false"/>
          <w:bCs w:val="false"/>
          <w:i w:val="false"/>
          <w:iCs w:val="false"/>
          <w:sz w:val="24"/>
          <w:szCs w:val="24"/>
        </w:rPr>
        <w:t>` sütununun 1'den başlayarak yeniden numaralandırılmış olması nedeniyle doğrudan birleştirildiğinde aynı kimliğin iki farklı hastayı temsil etme riski bulunmaktadır. Bu sorunun önüne geçmek amacıyla normal hastalara `N_`, papilödem hastalarına ise `P_` ön eki eklenmiştir. Ayrıca veriyi yükleyen fonksiyonun sonunda üç güvenlik kontrolü tanımlanmıştır: iki sınıfın hasta kümelerinin kesişip kesişmediği, herhangi bir hastaya iki farklı sınıf etiketinin atanıp atanmadığı ve hasta başına örnek sayısının tutarlı olup olmadığı kontrol edilmektedir. Bu kontroller, olası veri hatalarının daha pipeline başlamadan tespit edilmesini sağlamaktadır.</w:t>
      </w:r>
    </w:p>
    <w:p>
      <w:pPr>
        <w:pStyle w:val="normal1"/>
        <w:spacing w:lineRule="auto" w:line="360" w:before="0" w:after="60"/>
        <w:ind w:hanging="0" w:start="0"/>
        <w:jc w:val="both"/>
        <w:rPr/>
      </w:pPr>
      <w:r>
        <w:rPr/>
      </w:r>
    </w:p>
    <w:p>
      <w:pPr>
        <w:pStyle w:val="normal1"/>
        <w:spacing w:lineRule="auto" w:line="360" w:before="0" w:after="60"/>
        <w:jc w:val="both"/>
        <w:rPr/>
      </w:pPr>
      <w:r>
        <w:rPr>
          <w:rFonts w:eastAsia="Times New Roman" w:cs="Times New Roman"/>
          <w:b w:val="false"/>
          <w:bCs w:val="false"/>
          <w:i w:val="false"/>
          <w:iCs w:val="false"/>
          <w:sz w:val="24"/>
          <w:szCs w:val="24"/>
        </w:rPr>
        <w:t>Çalışmada izlenen yöntem akışı Şekil 3.2'de gösterilmiştir. Bundan sonraki bölümler bu akıştaki her bir adımı sırasıyla anlatmaktadır.</w:t>
      </w:r>
    </w:p>
    <w:p>
      <w:pPr>
        <w:pStyle w:val="normal1"/>
        <w:spacing w:lineRule="auto" w:line="240" w:before="80" w:after="0"/>
        <w:jc w:val="center"/>
        <w:rPr/>
      </w:pPr>
      <w:r>
        <w:rPr/>
        <w:drawing>
          <wp:inline distT="0" distB="0" distL="0" distR="0">
            <wp:extent cx="5219700" cy="3048000"/>
            <wp:effectExtent l="0" t="0" r="0" b="0"/>
            <wp:docPr id="5" name="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jpg"/>
                    <pic:cNvPicPr>
                      <a:picLocks noChangeAspect="1" noChangeArrowheads="1"/>
                    </pic:cNvPicPr>
                  </pic:nvPicPr>
                  <pic:blipFill>
                    <a:blip r:embed="rId6"/>
                    <a:stretch>
                      <a:fillRect/>
                    </a:stretch>
                  </pic:blipFill>
                  <pic:spPr bwMode="auto">
                    <a:xfrm>
                      <a:off x="0" y="0"/>
                      <a:ext cx="5219700" cy="3048000"/>
                    </a:xfrm>
                    <a:prstGeom prst="rect">
                      <a:avLst/>
                    </a:prstGeom>
                    <a:noFill/>
                  </pic:spPr>
                </pic:pic>
              </a:graphicData>
            </a:graphic>
          </wp:inline>
        </w:drawing>
      </w:r>
    </w:p>
    <w:p>
      <w:pPr>
        <w:pStyle w:val="normal1"/>
        <w:spacing w:lineRule="auto" w:line="240" w:before="40" w:after="160"/>
        <w:jc w:val="center"/>
        <w:rPr/>
      </w:pPr>
      <w:r>
        <w:rPr>
          <w:rFonts w:eastAsia="Times New Roman" w:cs="Times New Roman"/>
          <w:b/>
          <w:bCs/>
          <w:i/>
          <w:iCs/>
          <w:sz w:val="22"/>
          <w:szCs w:val="22"/>
        </w:rPr>
        <w:t>Şekil 3.2. Çalışmanın yöntem akış şeması.</w:t>
      </w:r>
    </w:p>
    <w:p>
      <w:pPr>
        <w:pStyle w:val="normal1"/>
        <w:spacing w:lineRule="auto" w:line="360" w:before="160" w:after="60"/>
        <w:jc w:val="start"/>
        <w:rPr>
          <w:b/>
          <w:bCs/>
        </w:rPr>
      </w:pPr>
      <w:r>
        <w:rPr>
          <w:b/>
          <w:bCs/>
        </w:rPr>
      </w:r>
    </w:p>
    <w:p>
      <w:pPr>
        <w:pStyle w:val="normal1"/>
        <w:spacing w:lineRule="auto" w:line="360" w:before="160" w:after="60"/>
        <w:jc w:val="start"/>
        <w:rPr/>
      </w:pPr>
      <w:r>
        <w:rPr>
          <w:rFonts w:eastAsia="Times New Roman" w:cs="Times New Roman"/>
          <w:b/>
          <w:bCs/>
          <w:sz w:val="24"/>
          <w:szCs w:val="24"/>
        </w:rPr>
        <w:t>3.2. Veri Ön İşleme</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Veri, modele verilmeden önce birkaç temizleme adımından geçirilmiştir. Bu adımlar manuel olarak değil sklearn Pipeline yapısı içinde tanımlanmıştır</w:t>
      </w:r>
      <w:r>
        <w:rPr/>
        <w:t>,</w:t>
      </w:r>
      <w:r>
        <w:rPr>
          <w:rFonts w:eastAsia="Times New Roman" w:cs="Times New Roman"/>
          <w:b w:val="false"/>
          <w:bCs w:val="false"/>
          <w:i w:val="false"/>
          <w:iCs w:val="false"/>
          <w:sz w:val="24"/>
          <w:szCs w:val="24"/>
        </w:rPr>
        <w:t xml:space="preserve"> bu sayede işlemler her zaman aynı sırayla ve yalnızca eğitim verisi üzerinde uygulanmaktadır.</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İlk adım eksik değerlerin tamamlanmasıdır. Eksik olan her hücre, ilgili sütunun medyan değeri ile doldurulmuştur. Ardından, değerleri neredeyse hiç değişmeyen özellikler ele alınmıştır. Bu tür özellikler modele yeni bir bilgi katmadığı gibi gereksiz bir gürültü kaynağı oluşturma riski taşımaktadır</w:t>
      </w:r>
      <w:r>
        <w:rPr/>
        <w:t>,</w:t>
      </w:r>
      <w:r>
        <w:rPr>
          <w:rFonts w:eastAsia="Times New Roman" w:cs="Times New Roman"/>
          <w:b w:val="false"/>
          <w:bCs w:val="false"/>
          <w:i w:val="false"/>
          <w:iCs w:val="false"/>
          <w:sz w:val="24"/>
          <w:szCs w:val="24"/>
        </w:rPr>
        <w:t xml:space="preserve"> düşük bir varyans eşiği kullanılarak söz konusu özellikler veri setinden çıkartılmıştır.</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Sonraki aşamada birbirine çok yakın bilgi taşıyan özellikler elenmiştir. Bazı radyomik özelliklerin neredeyse aynı bilgiyi taşıdığı bilinmektedir</w:t>
      </w:r>
      <w:r>
        <w:rPr/>
        <w:t>,</w:t>
      </w:r>
      <w:r>
        <w:rPr>
          <w:rFonts w:eastAsia="Times New Roman" w:cs="Times New Roman"/>
          <w:b w:val="false"/>
          <w:bCs w:val="false"/>
          <w:i w:val="false"/>
          <w:iCs w:val="false"/>
          <w:sz w:val="24"/>
          <w:szCs w:val="24"/>
        </w:rPr>
        <w:t xml:space="preserve"> bu durum aralarındaki mutlak Pearson korelasyonunun 0.95'in üzerinde olması ile tespit edilir. Bu şekilde belirlenen özellik çiftlerinden biri elenmiş ve veri setinde tekrar eden bilgi azaltılmıştır.</w:t>
      </w:r>
    </w:p>
    <w:p>
      <w:pPr>
        <w:pStyle w:val="normal1"/>
        <w:spacing w:lineRule="auto" w:line="360" w:before="0" w:after="60"/>
        <w:ind w:hanging="0" w:start="0"/>
        <w:jc w:val="both"/>
        <w:rPr/>
      </w:pPr>
      <w:r>
        <w:rPr>
          <w:rFonts w:eastAsia="Times New Roman" w:cs="Times New Roman"/>
          <w:b w:val="false"/>
          <w:bCs w:val="false"/>
          <w:i w:val="false"/>
          <w:iCs w:val="false"/>
          <w:sz w:val="24"/>
          <w:szCs w:val="24"/>
        </w:rPr>
        <w:t>Son adımda ölçekleme uygulanmıştır. Burada klasik standartlaştırma yerine RobustScaler tercih edilmiştir. Bunun nedeni, radyomik verilerde zaman zaman çok uçta değerlerin bulunabilmesi ve bu değerlerin klasik ortalama-standart sapma hesabını bozabilmesidir. RobustScaler, ortanca ve çeyrekler arası genişlik üzerinden çalıştığı için uç değerlere karşı daha dayanıklı bir ölçekleyicidir.</w:t>
      </w:r>
    </w:p>
    <w:p>
      <w:pPr>
        <w:pStyle w:val="normal1"/>
        <w:spacing w:lineRule="auto" w:line="360" w:before="0" w:after="60"/>
        <w:ind w:hanging="0" w:start="0"/>
        <w:jc w:val="both"/>
        <w:rPr/>
      </w:pPr>
      <w:r>
        <w:rPr/>
      </w:r>
    </w:p>
    <w:p>
      <w:pPr>
        <w:pStyle w:val="normal1"/>
        <w:spacing w:lineRule="auto" w:line="360" w:before="0" w:after="60"/>
        <w:ind w:hanging="0" w:start="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t xml:space="preserve">Ek bir not olarak belirtmek gerekir ki, veri yüklendiğinde bir özellikte sonsuz (inf) değer bulunduğu tespit edilmiştir. Bu değer NaN'a </w:t>
      </w:r>
      <w:r>
        <w:rPr/>
        <w:t xml:space="preserve">dönüştürülerek </w:t>
      </w:r>
      <w:r>
        <w:rPr>
          <w:rFonts w:eastAsia="Times New Roman" w:cs="Times New Roman"/>
          <w:b w:val="false"/>
          <w:bCs w:val="false"/>
          <w:i w:val="false"/>
          <w:iCs w:val="false"/>
          <w:sz w:val="24"/>
          <w:szCs w:val="24"/>
        </w:rPr>
        <w:t>ilk adımdaki imputer tarafından medyan ile doldurulması sağlanmıştır. Aksi halde sonsuz değer sonraki adımlarda hesaplama hatalarına yol açacaktı.</w:t>
      </w:r>
    </w:p>
    <w:p>
      <w:pPr>
        <w:pStyle w:val="normal1"/>
        <w:spacing w:lineRule="auto" w:line="360" w:before="0" w:after="60"/>
        <w:ind w:hanging="0" w:start="0"/>
        <w:jc w:val="both"/>
        <w:rPr/>
      </w:pPr>
      <w:r>
        <w:rPr/>
      </w:r>
    </w:p>
    <w:p>
      <w:pPr>
        <w:pStyle w:val="normal1"/>
        <w:spacing w:lineRule="auto" w:line="360" w:before="160" w:after="60"/>
        <w:jc w:val="start"/>
        <w:rPr/>
      </w:pPr>
      <w:r>
        <w:rPr>
          <w:rFonts w:eastAsia="Times New Roman" w:cs="Times New Roman"/>
          <w:b/>
          <w:bCs/>
          <w:sz w:val="24"/>
          <w:szCs w:val="24"/>
        </w:rPr>
        <w:t>3.3. Özellik Seçimi</w:t>
      </w:r>
    </w:p>
    <w:p>
      <w:pPr>
        <w:pStyle w:val="normal1"/>
        <w:spacing w:lineRule="auto" w:line="360" w:before="0" w:after="60"/>
        <w:ind w:hanging="0" w:start="0"/>
        <w:jc w:val="both"/>
        <w:rPr/>
      </w:pPr>
      <w:r>
        <w:rPr>
          <w:rFonts w:eastAsia="Times New Roman" w:cs="Times New Roman"/>
          <w:b w:val="false"/>
          <w:bCs w:val="false"/>
          <w:i w:val="false"/>
          <w:iCs w:val="false"/>
          <w:sz w:val="24"/>
          <w:szCs w:val="24"/>
        </w:rPr>
        <w:t>746 özellik içinde gerçekten bilgilendirici olanların sınırlı bir alt küme oluşturduğu düşünülmektedir. Tüm özelliklerin modele aynı anda verilmesi hem öğrenme süresini uzatır hem de aşırı uyum (overfitting) riskini büyütür. Bu noktada MRMR (Minimum Redundancy Maximum Relevance) algoritması [10] devreye girmektedir. MRMR'nin temel mantığı sezgiseldir: iyi bir özellik kümesi belirlenirken iki ölçüt aynı anda gözetilir. İlki, seçilen her özelliğin hedef değişken hakkında yeterli bilgi taşımasıdır. İkincisi ise daha az dikkat çeken bir noktadır: seçilen özelliklerin kendi aralarında çok benzer olmaması beklenir. Birbirine çok benzeyen iki özellik aslında aynı bilgiyi iki kez taşır</w:t>
      </w:r>
      <w:r>
        <w:rPr/>
        <w:t>,</w:t>
      </w:r>
      <w:r>
        <w:rPr>
          <w:rFonts w:eastAsia="Times New Roman" w:cs="Times New Roman"/>
          <w:b w:val="false"/>
          <w:bCs w:val="false"/>
          <w:i w:val="false"/>
          <w:iCs w:val="false"/>
          <w:sz w:val="24"/>
          <w:szCs w:val="24"/>
        </w:rPr>
        <w:t xml:space="preserve"> ikincisinin eklenmesi modele yeni bir katkı sağlamaz.</w:t>
      </w:r>
    </w:p>
    <w:p>
      <w:pPr>
        <w:pStyle w:val="normal1"/>
        <w:spacing w:lineRule="auto" w:line="360" w:before="0" w:after="60"/>
        <w:ind w:hanging="0" w:start="0"/>
        <w:jc w:val="both"/>
        <w:rPr/>
      </w:pPr>
      <w:r>
        <w:rPr>
          <w:rFonts w:eastAsia="Times New Roman" w:cs="Times New Roman"/>
          <w:b w:val="false"/>
          <w:bCs w:val="false"/>
          <w:i w:val="false"/>
          <w:iCs w:val="false"/>
          <w:sz w:val="24"/>
          <w:szCs w:val="24"/>
        </w:rPr>
        <w:t>Bu çalışmada MRMR'nin alaka (relevance) skoru olarak mutual information, artıklık (redundancy) skoru olarak Pearson korelasyonu kullanılmıştır. Seçilecek özellik sayısı için sabit bir değer belirlemek yerine 20, 50 ve 100 olmak üzere üç farklı seçenek Optuna arama uzayına eklenmiştir. Bu yaklaşım sayesinde her model için en uygun özellik sayısı da hiperparametre arama süreci içinde otomatik olarak belirlenmiştir. Pratikte 50 civarındaki değerlerin hem ağaç tabanlı modellerde hem de SVM modelinde en istikrarlı sonuçları ürettiği gözlenmiştir.</w:t>
      </w:r>
    </w:p>
    <w:p>
      <w:pPr>
        <w:pStyle w:val="normal1"/>
        <w:spacing w:lineRule="auto" w:line="360" w:before="160" w:after="60"/>
        <w:jc w:val="start"/>
        <w:rPr>
          <w:b/>
          <w:bCs/>
        </w:rPr>
      </w:pPr>
      <w:r>
        <w:rPr>
          <w:b/>
          <w:bCs/>
        </w:rPr>
      </w:r>
    </w:p>
    <w:p>
      <w:pPr>
        <w:pStyle w:val="normal1"/>
        <w:spacing w:lineRule="auto" w:line="360" w:before="160" w:after="60"/>
        <w:jc w:val="start"/>
        <w:rPr/>
      </w:pPr>
      <w:r>
        <w:rPr>
          <w:rFonts w:eastAsia="Times New Roman" w:cs="Times New Roman"/>
          <w:b/>
          <w:bCs/>
          <w:sz w:val="24"/>
          <w:szCs w:val="24"/>
        </w:rPr>
        <w:t>3.4. Sınıflandırma Modelleri</w:t>
      </w:r>
    </w:p>
    <w:p>
      <w:pPr>
        <w:pStyle w:val="normal1"/>
        <w:spacing w:lineRule="auto" w:line="360" w:before="0" w:after="60"/>
        <w:ind w:hanging="0" w:start="0"/>
        <w:jc w:val="both"/>
        <w:rPr/>
      </w:pPr>
      <w:r>
        <w:rPr/>
        <w:t>Ders d</w:t>
      </w:r>
      <w:r>
        <w:rPr>
          <w:rFonts w:eastAsia="Times New Roman" w:cs="Times New Roman"/>
          <w:b w:val="false"/>
          <w:bCs w:val="false"/>
          <w:i w:val="false"/>
          <w:iCs w:val="false"/>
          <w:sz w:val="24"/>
          <w:szCs w:val="24"/>
        </w:rPr>
        <w:t>okümanında istenen altı temel sınıflandırıcı değerlendirilmiştir: Lojistik Regresyon, RBF çekirdekli Destek Vektör Makinesi, Random Forest, ExtraTrees, Gradient Boosting ve K-En Yakın Komşu [7]. Her model için kullanılan hiperparametre arama aralıkları Tablo 3.2'de toplu olarak verilmiştir. Sınıf dengesizliğinden dolayı uygun olan modellerde `class_weight='balanced'` ayarı aktif edilmiştir.</w:t>
      </w:r>
    </w:p>
    <w:p>
      <w:pPr>
        <w:pStyle w:val="normal1"/>
        <w:spacing w:lineRule="auto" w:line="240" w:before="160" w:after="80"/>
        <w:jc w:val="center"/>
        <w:rPr/>
      </w:pPr>
      <w:r>
        <w:rPr>
          <w:rFonts w:eastAsia="Times New Roman" w:cs="Times New Roman"/>
          <w:b/>
          <w:bCs/>
          <w:i/>
          <w:iCs/>
          <w:sz w:val="22"/>
          <w:szCs w:val="22"/>
        </w:rPr>
        <w:t>Tablo 3.2. Optuna hiperparametre arama uzayları.</w:t>
      </w:r>
    </w:p>
    <w:tbl>
      <w:tblPr>
        <w:tblStyle w:val="Table2"/>
        <w:tblW w:w="8220" w:type="dxa"/>
        <w:jc w:val="center"/>
        <w:tblInd w:w="0" w:type="dxa"/>
        <w:tblLayout w:type="fixed"/>
        <w:tblCellMar>
          <w:top w:w="0" w:type="dxa"/>
          <w:start w:w="108" w:type="dxa"/>
          <w:bottom w:w="0" w:type="dxa"/>
          <w:end w:w="108" w:type="dxa"/>
        </w:tblCellMar>
        <w:tblLook w:val="0400"/>
      </w:tblPr>
      <w:tblGrid>
        <w:gridCol w:w="2740"/>
        <w:gridCol w:w="2740"/>
        <w:gridCol w:w="2740"/>
      </w:tblGrid>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bCs/>
                <w:sz w:val="22"/>
                <w:szCs w:val="22"/>
              </w:rPr>
              <w:t>Model</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bCs/>
                <w:sz w:val="22"/>
                <w:szCs w:val="22"/>
              </w:rPr>
              <w:t>Parametre</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bCs/>
                <w:sz w:val="22"/>
                <w:szCs w:val="22"/>
              </w:rPr>
              <w:t>Aralık / Set</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LR</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C</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log [1e-3, 1e2]</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LR</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penalty</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{l1, l2}</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SVM</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C</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log [1e-2, 1e2]</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SVM</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gamma</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log [1e-4, 1e0]</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RF / ET</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n_estimators</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[100, 500] adım 50</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RF / ET</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max_depth</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[3, 20]</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RF / ET</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min_samples_leaf</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[1, 10]</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RF / ET</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max_features</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{sqrt, log2}</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GB</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n_estimators</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[100, 500] adım 50</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GB</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learning_rate</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log [1e-3, 3e-1]</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GB</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max_depth</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[2, 8]</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GB</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subsample</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[0.5, 1.0]</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KNN</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n_neighbors</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[3, 25]</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KNN</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weights</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{uniform, distance}</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KNN</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metric</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{euclidean, manhattan}</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Tüm modeller</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Özellik sayısı (mrmr_k)</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start"/>
              <w:rPr/>
            </w:pPr>
            <w:r>
              <w:rPr>
                <w:rFonts w:eastAsia="Times New Roman" w:cs="Times New Roman"/>
                <w:b w:val="false"/>
                <w:bCs w:val="false"/>
                <w:sz w:val="22"/>
                <w:szCs w:val="22"/>
              </w:rPr>
              <w:t>20, 50 veya 100</w:t>
            </w:r>
          </w:p>
        </w:tc>
      </w:tr>
    </w:tbl>
    <w:p>
      <w:pPr>
        <w:pStyle w:val="normal1"/>
        <w:spacing w:lineRule="auto" w:line="360" w:before="0" w:after="6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t>Tablo 3.2 incelendiğinde her modelin kendine özgü parametrelere sahip olduğu görülmektedir. Çoğu parametre için sabit bir değer atanması yerine geniş bir arama aralığı tanımlanmış ve en uygun değerin Optuna tarafından belirlenmesi sağlanmıştır. Tüm modellerde ortak olarak yer alan mrmr_k parametresi seçilecek özellik sayısını belirlemekte olup üç farklı seçenek (20, 50 veya 100) arasından her model için en uygun olanı kullanılmıştır.</w:t>
      </w:r>
    </w:p>
    <w:p>
      <w:pPr>
        <w:pStyle w:val="normal1"/>
        <w:spacing w:lineRule="auto" w:line="360" w:before="160" w:after="60"/>
        <w:jc w:val="start"/>
        <w:rPr>
          <w:b/>
          <w:bCs/>
        </w:rPr>
      </w:pPr>
      <w:r>
        <w:rPr>
          <w:b/>
          <w:bCs/>
        </w:rPr>
      </w:r>
    </w:p>
    <w:p>
      <w:pPr>
        <w:pStyle w:val="normal1"/>
        <w:spacing w:lineRule="auto" w:line="360" w:before="160" w:after="60"/>
        <w:jc w:val="start"/>
        <w:rPr/>
      </w:pPr>
      <w:r>
        <w:rPr>
          <w:rFonts w:eastAsia="Times New Roman" w:cs="Times New Roman"/>
          <w:b/>
          <w:bCs/>
          <w:sz w:val="24"/>
          <w:szCs w:val="24"/>
        </w:rPr>
        <w:t>3.5. Hiperparametre Optimizasyonu</w:t>
      </w:r>
    </w:p>
    <w:p>
      <w:pPr>
        <w:pStyle w:val="normal1"/>
        <w:spacing w:lineRule="auto" w:line="360" w:before="0" w:after="60"/>
        <w:ind w:hanging="0" w:start="0"/>
        <w:jc w:val="both"/>
        <w:rPr/>
      </w:pPr>
      <w:r>
        <w:rPr>
          <w:rFonts w:eastAsia="Times New Roman" w:cs="Times New Roman"/>
          <w:b w:val="false"/>
          <w:bCs w:val="false"/>
          <w:i w:val="false"/>
          <w:iCs w:val="false"/>
          <w:sz w:val="24"/>
          <w:szCs w:val="24"/>
        </w:rPr>
        <w:t>Hiperparametreleri elle ayarlamak yerine Optuna kütüphanesi [8] kullanılmıştır. Arama sırasında TPE örnekleyicisi (Tree-structured Parzen Estimator) sabit bir tohum değeriyle başlatılmış, böylece sonuçlar tekrar üretilebilir hale getirilmiştir. Her model için 50 deneme yapılmış</w:t>
      </w:r>
      <w:r>
        <w:rPr/>
        <w:t>,</w:t>
      </w:r>
      <w:r>
        <w:rPr>
          <w:rFonts w:eastAsia="Times New Roman" w:cs="Times New Roman"/>
          <w:b w:val="false"/>
          <w:bCs w:val="false"/>
          <w:i w:val="false"/>
          <w:iCs w:val="false"/>
          <w:sz w:val="24"/>
          <w:szCs w:val="24"/>
        </w:rPr>
        <w:t xml:space="preserve"> hedef fonksiyon olarak iç çapraz doğrulamadan elde edilen ortalama makro-F1 skoru seçilmiştir.</w:t>
      </w:r>
    </w:p>
    <w:p>
      <w:pPr>
        <w:pStyle w:val="normal1"/>
        <w:spacing w:lineRule="auto" w:line="360" w:before="160" w:after="60"/>
        <w:jc w:val="start"/>
        <w:rPr>
          <w:b/>
          <w:bCs/>
        </w:rPr>
      </w:pPr>
      <w:r>
        <w:rPr>
          <w:b/>
          <w:bCs/>
        </w:rPr>
      </w:r>
    </w:p>
    <w:p>
      <w:pPr>
        <w:pStyle w:val="normal1"/>
        <w:spacing w:lineRule="auto" w:line="360" w:before="160" w:after="60"/>
        <w:jc w:val="start"/>
        <w:rPr/>
      </w:pPr>
      <w:r>
        <w:rPr>
          <w:rFonts w:eastAsia="Times New Roman" w:cs="Times New Roman"/>
          <w:b/>
          <w:bCs/>
          <w:sz w:val="24"/>
          <w:szCs w:val="24"/>
        </w:rPr>
        <w:t>3.6. Çapraz Doğrulama Yapısı</w:t>
      </w:r>
    </w:p>
    <w:p>
      <w:pPr>
        <w:pStyle w:val="normal1"/>
        <w:spacing w:lineRule="auto" w:line="360" w:before="0" w:after="60"/>
        <w:ind w:hanging="0" w:start="0"/>
        <w:jc w:val="both"/>
        <w:rPr/>
      </w:pPr>
      <w:r>
        <w:rPr>
          <w:rFonts w:eastAsia="Times New Roman" w:cs="Times New Roman"/>
          <w:b w:val="false"/>
          <w:bCs w:val="false"/>
          <w:i w:val="false"/>
          <w:iCs w:val="false"/>
          <w:sz w:val="24"/>
          <w:szCs w:val="24"/>
        </w:rPr>
        <w:t>Bu çalışmada veri hasta seviyesinde üç parçaya bölünmüştür: %70 eğitim, %10 doğrulama ve %20 test. Her hasta yalnızca bir setin içinde yer alır</w:t>
      </w:r>
      <w:r>
        <w:rPr/>
        <w:t>,</w:t>
      </w:r>
      <w:r>
        <w:rPr>
          <w:rFonts w:eastAsia="Times New Roman" w:cs="Times New Roman"/>
          <w:b w:val="false"/>
          <w:bCs w:val="false"/>
          <w:i w:val="false"/>
          <w:iCs w:val="false"/>
          <w:sz w:val="24"/>
          <w:szCs w:val="24"/>
        </w:rPr>
        <w:t xml:space="preserve"> aynı hastanın hiçbir örneği farklı bir sete düşmez. Bu bölme işlemi farklı rastgele tohumlarla 20 kez tekrarlanmış ve her tekrarda farklı bir hasta dağılımı elde edilmiştir.</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Eğitim seti (%70) yalnızca model eğitimi ve hiperparametre araması için kullanılır. Bu küme üzerinde Optuna ile hiperparametre araması yapılırken, iç katmanda her deneme sırasında 5-kat çapraz doğrulama (StratifiedGroupKFold) uygulanmaktadır. Bu sayede ne dış test seti ne de doğrulama seti hiperparametre seçimine etki etmez.</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Doğrulama seti (%10) yalnızca karar eşiğinin (threshold) optimizasyonu için kullanılır. Model eğitimi bittikten sonra doğrulama seti üzerinde olasılık tahminleri yapılır ve F1 skorunu maksimize eden eşik değeri belirlenir. Bu eşik daha sonra test setine olduğu gibi uygulanır</w:t>
      </w:r>
      <w:r>
        <w:rPr/>
        <w:t>,</w:t>
      </w:r>
      <w:r>
        <w:rPr>
          <w:rFonts w:eastAsia="Times New Roman" w:cs="Times New Roman"/>
          <w:b w:val="false"/>
          <w:bCs w:val="false"/>
          <w:i w:val="false"/>
          <w:iCs w:val="false"/>
          <w:sz w:val="24"/>
          <w:szCs w:val="24"/>
        </w:rPr>
        <w:t xml:space="preserve"> test seti üzerinde hiçbir eşik ayarı yapılmaz. Bu yapı, test setinin gerçekten "görülmemiş veri" özelliğini korumasını güvence altına alır.</w:t>
      </w:r>
    </w:p>
    <w:p>
      <w:pPr>
        <w:pStyle w:val="normal1"/>
        <w:spacing w:lineRule="auto" w:line="360" w:before="0" w:after="60"/>
        <w:ind w:hanging="0" w:start="0"/>
        <w:jc w:val="both"/>
        <w:rPr/>
      </w:pPr>
      <w:r>
        <w:rPr>
          <w:rFonts w:eastAsia="Times New Roman" w:cs="Times New Roman"/>
          <w:b w:val="false"/>
          <w:bCs w:val="false"/>
          <w:i w:val="false"/>
          <w:iCs w:val="false"/>
          <w:sz w:val="24"/>
          <w:szCs w:val="24"/>
        </w:rPr>
        <w:t>Hasta düzeyinde bölme yapılmasının kritik bir önemi vardır. Bu veri setinde her hastaya ait 14 örnek bulunmaktadır (sağ ve sol göz için 7'şer dilim). Eğer bölme örnek düzeyinde yapılsa, aynı hastanın bazı dilimleri eğitimde, bazıları testte bulunabilir. Bu durumda model hastalığı değil, doğrudan o hastanın görüntüsünün özelliklerini öğrenir ve test setinde gerçekçi olmayan bir başarı sergiler. Hasta-bazlı bölme bu sorunu kökten çözmektedir.</w:t>
      </w:r>
    </w:p>
    <w:p>
      <w:pPr>
        <w:pStyle w:val="normal1"/>
        <w:spacing w:lineRule="auto" w:line="360" w:before="0" w:after="60"/>
        <w:ind w:hanging="0" w:start="0"/>
        <w:jc w:val="both"/>
        <w:rPr/>
      </w:pPr>
      <w:r>
        <w:rPr>
          <w:rFonts w:eastAsia="Times New Roman" w:cs="Times New Roman"/>
          <w:b w:val="false"/>
          <w:bCs w:val="false"/>
          <w:i w:val="false"/>
          <w:iCs w:val="false"/>
          <w:sz w:val="24"/>
          <w:szCs w:val="24"/>
        </w:rPr>
        <w:t>Dış tekrar sayısı ödev kapsamında verilen iş akış şemasıyla uyumlu olarak 20 olarak belirlenmiştir. Bu sayede her model 20 farklı hasta-bazlı bölme üzerinde bağımsız olarak değerlendirilmiş ve sonuçların ortalaması ile standart sapması birlikte raporlanmıştır. Şekil 5.2'de gösterilen tekrarlar arası varyans, modellerin küçük örneklemde dahi kararlı sonuçlar üretebildiğini ortaya koymaktadır.</w:t>
      </w:r>
    </w:p>
    <w:p>
      <w:pPr>
        <w:pStyle w:val="normal1"/>
        <w:spacing w:lineRule="auto" w:line="360" w:before="160" w:after="60"/>
        <w:jc w:val="start"/>
        <w:rPr>
          <w:b/>
          <w:bCs/>
        </w:rPr>
      </w:pPr>
      <w:r>
        <w:rPr>
          <w:b/>
          <w:bCs/>
        </w:rPr>
      </w:r>
    </w:p>
    <w:p>
      <w:pPr>
        <w:pStyle w:val="normal1"/>
        <w:spacing w:lineRule="auto" w:line="360" w:before="160" w:after="60"/>
        <w:jc w:val="start"/>
        <w:rPr/>
      </w:pPr>
      <w:r>
        <w:rPr>
          <w:rFonts w:eastAsia="Times New Roman" w:cs="Times New Roman"/>
          <w:b/>
          <w:bCs/>
          <w:sz w:val="24"/>
          <w:szCs w:val="24"/>
        </w:rPr>
        <w:t>3.7. Topluluk Öğrenmesi</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 xml:space="preserve">Tek tek modellerin yanı sıra, Tang ve </w:t>
      </w:r>
      <w:r>
        <w:rPr/>
        <w:t>ekibi,</w:t>
      </w:r>
      <w:r>
        <w:rPr>
          <w:rFonts w:eastAsia="Times New Roman" w:cs="Times New Roman"/>
          <w:b w:val="false"/>
          <w:bCs w:val="false"/>
          <w:i w:val="false"/>
          <w:iCs w:val="false"/>
          <w:sz w:val="24"/>
          <w:szCs w:val="24"/>
        </w:rPr>
        <w:t xml:space="preserve"> [6] tarafından etkinliği gösterilen soft voting yaklaşımı denenmiştir. Soft voting'in fikri basittir: bir örnek için her bir baz modelin verdiği olasılıkları alıp ortalamasını hesaplamak. Bu çalışmada topluluk modeli, sigmoid Platt scaling ile [11] kalibre edilmiş Random Forest, ExtraTrees ve Gradient Boosting olasılıklarının ortalanmasıyla oluşturulmuştur. Sınıf eşiği ise doğrulama verisinden F1 skorunu maksimuma çıkaracak şekilde seçilmiş</w:t>
      </w:r>
      <w:r>
        <w:rPr/>
        <w:t>,</w:t>
      </w:r>
      <w:r>
        <w:rPr>
          <w:rFonts w:eastAsia="Times New Roman" w:cs="Times New Roman"/>
          <w:b w:val="false"/>
          <w:bCs w:val="false"/>
          <w:i w:val="false"/>
          <w:iCs w:val="false"/>
          <w:sz w:val="24"/>
          <w:szCs w:val="24"/>
        </w:rPr>
        <w:t xml:space="preserve"> test verisi üzerinde hiçbir eşik ayarı yapılmamıştır.</w:t>
      </w:r>
    </w:p>
    <w:p>
      <w:pPr>
        <w:pStyle w:val="normal1"/>
        <w:spacing w:lineRule="auto" w:line="360" w:before="160" w:after="60"/>
        <w:jc w:val="start"/>
        <w:rPr/>
      </w:pPr>
      <w:r>
        <w:rPr>
          <w:rFonts w:eastAsia="Times New Roman" w:cs="Times New Roman"/>
          <w:b/>
          <w:bCs/>
          <w:sz w:val="24"/>
          <w:szCs w:val="24"/>
        </w:rPr>
        <w:t>3.8. Değerlendirme Metrikleri</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Ders dokümanında istenen dokuz metriğin tamamı raporlanmıştır: doğruluk, hassasiyet, duyarlılık, F1, makro-F1, ROC-AUC, PR-AUC, dengeli doğruluk ve Brier skoru. Her metrik 20 dış tekrarın ortalaması ve standart sapması olarak verilmiştir.</w:t>
      </w:r>
    </w:p>
    <w:p>
      <w:pPr>
        <w:pStyle w:val="normal1"/>
        <w:spacing w:lineRule="auto" w:line="360" w:before="160" w:after="60"/>
        <w:jc w:val="start"/>
        <w:rPr/>
      </w:pPr>
      <w:r>
        <w:rPr>
          <w:rFonts w:eastAsia="Times New Roman" w:cs="Times New Roman"/>
          <w:b/>
          <w:bCs/>
          <w:sz w:val="24"/>
          <w:szCs w:val="24"/>
        </w:rPr>
        <w:t>3.9. İstatistiksel Analiz</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Yedi modelin (altı baz model artı topluluk) makro-F1 skorları üzerinde Friedman testi uygulanmış, ardından ikili karşılaştırmalar için Wilcoxon işaretli sıralar testi yapılmıştır. Toplam yirmi bir ikili karşılaştırma olduğu için Bonferroni düzeltmesi devreye girmiş</w:t>
      </w:r>
      <w:r>
        <w:rPr/>
        <w:t>,</w:t>
      </w:r>
      <w:r>
        <w:rPr>
          <w:rFonts w:eastAsia="Times New Roman" w:cs="Times New Roman"/>
          <w:b w:val="false"/>
          <w:bCs w:val="false"/>
          <w:i w:val="false"/>
          <w:iCs w:val="false"/>
          <w:sz w:val="24"/>
          <w:szCs w:val="24"/>
        </w:rPr>
        <w:t xml:space="preserve"> bu düzeltme anlamlılık eşiğini ciddi şekilde sıkılaştırdığı için aslında yalnızca oldukça belirgin farklar test sonucunda anlamlı çıkmaktadır. Sonuçlar yorumlanırken bu durumun göz önünde tutulması gerekmektedir.</w:t>
      </w:r>
      <w:r>
        <w:br w:type="page"/>
      </w:r>
    </w:p>
    <w:p>
      <w:pPr>
        <w:pStyle w:val="normal1"/>
        <w:spacing w:lineRule="auto" w:line="360" w:before="0" w:after="160"/>
        <w:jc w:val="start"/>
        <w:rPr/>
      </w:pPr>
      <w:r>
        <w:rPr>
          <w:rFonts w:eastAsia="Times New Roman" w:cs="Times New Roman"/>
          <w:b/>
          <w:bCs/>
          <w:sz w:val="28"/>
          <w:szCs w:val="28"/>
        </w:rPr>
        <w:t>4. BULGULAR</w:t>
      </w:r>
    </w:p>
    <w:p>
      <w:pPr>
        <w:pStyle w:val="normal1"/>
        <w:spacing w:lineRule="auto" w:line="360" w:before="160" w:after="60"/>
        <w:jc w:val="start"/>
        <w:rPr/>
      </w:pPr>
      <w:r>
        <w:rPr>
          <w:rFonts w:eastAsia="Times New Roman" w:cs="Times New Roman"/>
          <w:b/>
          <w:bCs/>
          <w:sz w:val="24"/>
          <w:szCs w:val="24"/>
        </w:rPr>
        <w:t>4.1. Genel Performans Karşılaştırması</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Pipeline'ın tam çalışması yaklaşık 85 dakika sürmüş ve yedi modelin 20 dış tekrar üzerindeki performans özetini Tablo 4.1 sunmaktadır. Ortalama makro-F1 sıralamasında ilk sırayı ET modeli almıştır (0.847). Tek tekrar bazında en yüksek değer ise 20. tekrarda GB modeliyle elde edilen makro</w:t>
      </w:r>
      <w:r>
        <w:rPr/>
        <w:t xml:space="preserve"> </w:t>
      </w:r>
      <w:r>
        <w:rPr>
          <w:rFonts w:eastAsia="Times New Roman" w:cs="Times New Roman"/>
          <w:b w:val="false"/>
          <w:bCs w:val="false"/>
          <w:i w:val="false"/>
          <w:iCs w:val="false"/>
          <w:sz w:val="24"/>
          <w:szCs w:val="24"/>
        </w:rPr>
        <w:t>F1 = 0.941 olmuştur.</w:t>
      </w:r>
    </w:p>
    <w:p>
      <w:pPr>
        <w:pStyle w:val="normal1"/>
        <w:spacing w:lineRule="auto" w:line="240" w:before="160" w:after="80"/>
        <w:jc w:val="center"/>
        <w:rPr/>
      </w:pPr>
      <w:r>
        <w:rPr>
          <w:rFonts w:eastAsia="Times New Roman" w:cs="Times New Roman"/>
          <w:b/>
          <w:bCs/>
          <w:i/>
          <w:iCs/>
          <w:sz w:val="22"/>
          <w:szCs w:val="22"/>
        </w:rPr>
        <w:t xml:space="preserve">Tablo 4.1. Modellerin tüm metriklerde performansı (mean </w:t>
      </w:r>
      <w:r>
        <w:rPr>
          <w:b/>
          <w:bCs/>
          <w:i/>
          <w:iCs/>
          <w:sz w:val="22"/>
          <w:szCs w:val="22"/>
        </w:rPr>
        <w:t>+-</w:t>
      </w:r>
      <w:r>
        <w:rPr>
          <w:rFonts w:eastAsia="Times New Roman" w:cs="Times New Roman"/>
          <w:b/>
          <w:bCs/>
          <w:i/>
          <w:iCs/>
          <w:sz w:val="22"/>
          <w:szCs w:val="22"/>
        </w:rPr>
        <w:t xml:space="preserve"> std).</w:t>
      </w:r>
    </w:p>
    <w:p>
      <w:pPr>
        <w:pStyle w:val="normal1"/>
        <w:spacing w:lineRule="auto" w:line="240" w:before="80" w:after="0"/>
        <w:jc w:val="center"/>
        <w:rPr/>
      </w:pPr>
      <w:r>
        <w:rPr/>
        <w:drawing>
          <wp:inline distT="0" distB="0" distL="0" distR="0">
            <wp:extent cx="5579745" cy="1918970"/>
            <wp:effectExtent l="0" t="0" r="0" b="0"/>
            <wp:docPr id="6"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8.png"/>
                    <pic:cNvPicPr>
                      <a:picLocks noChangeAspect="1" noChangeArrowheads="1"/>
                    </pic:cNvPicPr>
                  </pic:nvPicPr>
                  <pic:blipFill>
                    <a:blip r:embed="rId7"/>
                    <a:stretch>
                      <a:fillRect/>
                    </a:stretch>
                  </pic:blipFill>
                  <pic:spPr bwMode="auto">
                    <a:xfrm>
                      <a:off x="0" y="0"/>
                      <a:ext cx="5579745" cy="1918970"/>
                    </a:xfrm>
                    <a:prstGeom prst="rect">
                      <a:avLst/>
                    </a:prstGeom>
                    <a:noFill/>
                  </pic:spPr>
                </pic:pic>
              </a:graphicData>
            </a:graphic>
          </wp:inline>
        </w:drawing>
      </w:r>
    </w:p>
    <w:p>
      <w:pPr>
        <w:pStyle w:val="normal1"/>
        <w:spacing w:lineRule="auto" w:line="240" w:before="160" w:after="80"/>
        <w:jc w:val="center"/>
        <w:rPr/>
      </w:pPr>
      <w:r>
        <w:rPr>
          <w:rFonts w:eastAsia="Times New Roman" w:cs="Times New Roman"/>
          <w:b/>
          <w:bCs/>
          <w:i/>
          <w:iCs/>
          <w:sz w:val="22"/>
          <w:szCs w:val="22"/>
        </w:rPr>
        <w:t xml:space="preserve">Tablo 4.2. </w:t>
      </w:r>
      <w:r>
        <w:rPr>
          <w:b/>
          <w:bCs/>
          <w:i/>
          <w:iCs/>
          <w:sz w:val="22"/>
          <w:szCs w:val="22"/>
        </w:rPr>
        <w:t>Macro F1</w:t>
      </w:r>
      <w:r>
        <w:rPr>
          <w:rFonts w:eastAsia="Times New Roman" w:cs="Times New Roman"/>
          <w:b/>
          <w:bCs/>
          <w:i/>
          <w:iCs/>
          <w:sz w:val="22"/>
          <w:szCs w:val="22"/>
        </w:rPr>
        <w:t xml:space="preserve"> sıralaması (en iyi → en kötü).</w:t>
      </w:r>
    </w:p>
    <w:tbl>
      <w:tblPr>
        <w:tblStyle w:val="Table3"/>
        <w:tblW w:w="8220" w:type="dxa"/>
        <w:jc w:val="center"/>
        <w:tblInd w:w="0" w:type="dxa"/>
        <w:tblLayout w:type="fixed"/>
        <w:tblCellMar>
          <w:top w:w="0" w:type="dxa"/>
          <w:start w:w="108" w:type="dxa"/>
          <w:bottom w:w="0" w:type="dxa"/>
          <w:end w:w="108" w:type="dxa"/>
        </w:tblCellMar>
        <w:tblLook w:val="0400"/>
      </w:tblPr>
      <w:tblGrid>
        <w:gridCol w:w="2740"/>
        <w:gridCol w:w="2740"/>
        <w:gridCol w:w="2740"/>
      </w:tblGrid>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bCs/>
                <w:sz w:val="22"/>
                <w:szCs w:val="22"/>
              </w:rPr>
              <w:t>Sıra</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bCs/>
                <w:sz w:val="22"/>
                <w:szCs w:val="22"/>
              </w:rPr>
              <w:t>Model</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b/>
                <w:bCs/>
                <w:sz w:val="22"/>
                <w:szCs w:val="22"/>
              </w:rPr>
              <w:t>Macro F1</w:t>
            </w:r>
            <w:r>
              <w:rPr>
                <w:rFonts w:eastAsia="Times New Roman" w:cs="Times New Roman"/>
                <w:b/>
                <w:bCs/>
                <w:sz w:val="22"/>
                <w:szCs w:val="22"/>
              </w:rPr>
              <w:t xml:space="preserve"> (mean </w:t>
            </w:r>
            <w:r>
              <w:rPr>
                <w:b/>
                <w:bCs/>
                <w:sz w:val="22"/>
                <w:szCs w:val="22"/>
              </w:rPr>
              <w:t>+-</w:t>
            </w:r>
            <w:r>
              <w:rPr>
                <w:rFonts w:eastAsia="Times New Roman" w:cs="Times New Roman"/>
                <w:b/>
                <w:bCs/>
                <w:sz w:val="22"/>
                <w:szCs w:val="22"/>
              </w:rPr>
              <w:t xml:space="preserve"> std)</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1</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ET</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 xml:space="preserve">0.847 </w:t>
            </w:r>
            <w:r>
              <w:rPr>
                <w:sz w:val="22"/>
                <w:szCs w:val="22"/>
              </w:rPr>
              <w:t>+-</w:t>
            </w:r>
            <w:r>
              <w:rPr>
                <w:rFonts w:eastAsia="Times New Roman" w:cs="Times New Roman"/>
                <w:b w:val="false"/>
                <w:bCs w:val="false"/>
                <w:sz w:val="22"/>
                <w:szCs w:val="22"/>
              </w:rPr>
              <w:t xml:space="preserve"> 0.060</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2</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Ensemble</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 xml:space="preserve">0.847 </w:t>
            </w:r>
            <w:r>
              <w:rPr>
                <w:sz w:val="22"/>
                <w:szCs w:val="22"/>
              </w:rPr>
              <w:t>+-</w:t>
            </w:r>
            <w:r>
              <w:rPr>
                <w:rFonts w:eastAsia="Times New Roman" w:cs="Times New Roman"/>
                <w:b w:val="false"/>
                <w:bCs w:val="false"/>
                <w:sz w:val="22"/>
                <w:szCs w:val="22"/>
              </w:rPr>
              <w:t xml:space="preserve"> 0.066</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3</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RF</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 xml:space="preserve">0.846 </w:t>
            </w:r>
            <w:r>
              <w:rPr>
                <w:sz w:val="22"/>
                <w:szCs w:val="22"/>
              </w:rPr>
              <w:t>+-</w:t>
            </w:r>
            <w:r>
              <w:rPr>
                <w:rFonts w:eastAsia="Times New Roman" w:cs="Times New Roman"/>
                <w:b w:val="false"/>
                <w:bCs w:val="false"/>
                <w:sz w:val="22"/>
                <w:szCs w:val="22"/>
              </w:rPr>
              <w:t xml:space="preserve"> 0.065</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4</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SVM</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 xml:space="preserve">0.839 </w:t>
            </w:r>
            <w:r>
              <w:rPr>
                <w:sz w:val="22"/>
                <w:szCs w:val="22"/>
              </w:rPr>
              <w:t>+-</w:t>
            </w:r>
            <w:r>
              <w:rPr>
                <w:rFonts w:eastAsia="Times New Roman" w:cs="Times New Roman"/>
                <w:b w:val="false"/>
                <w:bCs w:val="false"/>
                <w:sz w:val="22"/>
                <w:szCs w:val="22"/>
              </w:rPr>
              <w:t xml:space="preserve"> 0.070</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5</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GB</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 xml:space="preserve">0.822 </w:t>
            </w:r>
            <w:r>
              <w:rPr>
                <w:sz w:val="22"/>
                <w:szCs w:val="22"/>
              </w:rPr>
              <w:t>+-</w:t>
            </w:r>
            <w:r>
              <w:rPr>
                <w:rFonts w:eastAsia="Times New Roman" w:cs="Times New Roman"/>
                <w:b w:val="false"/>
                <w:bCs w:val="false"/>
                <w:sz w:val="22"/>
                <w:szCs w:val="22"/>
              </w:rPr>
              <w:t xml:space="preserve"> 0.136</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6</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KNN</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 xml:space="preserve">0.818 </w:t>
            </w:r>
            <w:r>
              <w:rPr>
                <w:sz w:val="22"/>
                <w:szCs w:val="22"/>
              </w:rPr>
              <w:t>+-</w:t>
            </w:r>
            <w:r>
              <w:rPr>
                <w:rFonts w:eastAsia="Times New Roman" w:cs="Times New Roman"/>
                <w:b w:val="false"/>
                <w:bCs w:val="false"/>
                <w:sz w:val="22"/>
                <w:szCs w:val="22"/>
              </w:rPr>
              <w:t xml:space="preserve"> 0.079</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7</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LR</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 xml:space="preserve">0.787 </w:t>
            </w:r>
            <w:r>
              <w:rPr>
                <w:sz w:val="22"/>
                <w:szCs w:val="22"/>
              </w:rPr>
              <w:t>+-</w:t>
            </w:r>
            <w:r>
              <w:rPr>
                <w:rFonts w:eastAsia="Times New Roman" w:cs="Times New Roman"/>
                <w:b w:val="false"/>
                <w:bCs w:val="false"/>
                <w:sz w:val="22"/>
                <w:szCs w:val="22"/>
              </w:rPr>
              <w:t xml:space="preserve"> 0.097</w:t>
            </w:r>
          </w:p>
        </w:tc>
      </w:tr>
    </w:tbl>
    <w:p>
      <w:pPr>
        <w:pStyle w:val="normal1"/>
        <w:spacing w:lineRule="auto" w:line="240" w:before="80" w:after="0"/>
        <w:jc w:val="center"/>
        <w:rPr/>
      </w:pPr>
      <w:r>
        <w:rPr/>
        <w:drawing>
          <wp:inline distT="0" distB="0" distL="0" distR="0">
            <wp:extent cx="5039995" cy="3150235"/>
            <wp:effectExtent l="0" t="0" r="0" b="0"/>
            <wp:docPr id="7"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2.png"/>
                    <pic:cNvPicPr>
                      <a:picLocks noChangeAspect="1" noChangeArrowheads="1"/>
                    </pic:cNvPicPr>
                  </pic:nvPicPr>
                  <pic:blipFill>
                    <a:blip r:embed="rId8"/>
                    <a:stretch>
                      <a:fillRect/>
                    </a:stretch>
                  </pic:blipFill>
                  <pic:spPr bwMode="auto">
                    <a:xfrm>
                      <a:off x="0" y="0"/>
                      <a:ext cx="5039995" cy="3150235"/>
                    </a:xfrm>
                    <a:prstGeom prst="rect">
                      <a:avLst/>
                    </a:prstGeom>
                    <a:noFill/>
                  </pic:spPr>
                </pic:pic>
              </a:graphicData>
            </a:graphic>
          </wp:inline>
        </w:drawing>
      </w:r>
    </w:p>
    <w:p>
      <w:pPr>
        <w:pStyle w:val="normal1"/>
        <w:spacing w:lineRule="auto" w:line="240" w:before="40" w:after="160"/>
        <w:jc w:val="center"/>
        <w:rPr>
          <w:b/>
          <w:bCs/>
        </w:rPr>
      </w:pPr>
      <w:r>
        <w:rPr>
          <w:b/>
          <w:bCs/>
          <w:i/>
          <w:iCs/>
          <w:sz w:val="22"/>
          <w:szCs w:val="22"/>
        </w:rPr>
        <w:t>Şekil 4.1. Modeller arası ortalama makro-F1 karşılaştırması.</w:t>
      </w:r>
    </w:p>
    <w:p>
      <w:pPr>
        <w:pStyle w:val="normal1"/>
        <w:spacing w:lineRule="auto" w:line="360" w:before="0" w:after="6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 xml:space="preserve">Şekil 4.1'de modellerin ortalama </w:t>
      </w:r>
      <w:r>
        <w:rPr/>
        <w:t>Macro F1</w:t>
      </w:r>
      <w:r>
        <w:rPr>
          <w:rFonts w:eastAsia="Times New Roman" w:cs="Times New Roman"/>
          <w:b w:val="false"/>
          <w:bCs w:val="false"/>
          <w:i w:val="false"/>
          <w:iCs w:val="false"/>
          <w:sz w:val="24"/>
          <w:szCs w:val="24"/>
        </w:rPr>
        <w:t xml:space="preserve"> skorları yan yana verilmiştir. ET modeli 0.847 ile ilk sırayı almış, onu yakın bir farkla Ensemble (0.847), RF (0.846), SVM (0.839) izlemiştir. Soft voting ile oluşturulan Ensemble modeli ise 0.847 değeri ile beklenenden az bir katkı sağlamıştır</w:t>
      </w:r>
      <w:r>
        <w:rPr/>
        <w:t>,</w:t>
      </w:r>
      <w:r>
        <w:rPr>
          <w:rFonts w:eastAsia="Times New Roman" w:cs="Times New Roman"/>
          <w:b w:val="false"/>
          <w:bCs w:val="false"/>
          <w:i w:val="false"/>
          <w:iCs w:val="false"/>
          <w:sz w:val="24"/>
          <w:szCs w:val="24"/>
        </w:rPr>
        <w:t xml:space="preserve"> bu durum baz modellerin birbirlerine yakın karar yüzeyleri öğrenmesinden, dolayısıyla soft voting ortalamasının modellerin zaten benzer çıktısını koruyarak çeşitlilikten yararlanamamasından kaynaklanmaktadır. Gradient Boosting modelinde gözlenen yüksek standart sapma (0.136), bu modelin küçük örneklemde tekrarlar arasında kararsız davrandığını ortaya koymaktadır.</w:t>
      </w:r>
    </w:p>
    <w:p>
      <w:pPr>
        <w:pStyle w:val="normal1"/>
        <w:spacing w:lineRule="auto" w:line="240" w:before="80" w:after="0"/>
        <w:jc w:val="center"/>
        <w:rPr/>
      </w:pPr>
      <w:r>
        <w:rPr/>
        <w:drawing>
          <wp:inline distT="0" distB="0" distL="0" distR="0">
            <wp:extent cx="5039995" cy="4319905"/>
            <wp:effectExtent l="0" t="0" r="0" b="0"/>
            <wp:docPr id="8"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a:picLocks noChangeAspect="1" noChangeArrowheads="1"/>
                    </pic:cNvPicPr>
                  </pic:nvPicPr>
                  <pic:blipFill>
                    <a:blip r:embed="rId9"/>
                    <a:stretch>
                      <a:fillRect/>
                    </a:stretch>
                  </pic:blipFill>
                  <pic:spPr bwMode="auto">
                    <a:xfrm>
                      <a:off x="0" y="0"/>
                      <a:ext cx="5039995" cy="4319905"/>
                    </a:xfrm>
                    <a:prstGeom prst="rect">
                      <a:avLst/>
                    </a:prstGeom>
                    <a:noFill/>
                  </pic:spPr>
                </pic:pic>
              </a:graphicData>
            </a:graphic>
          </wp:inline>
        </w:drawing>
      </w:r>
    </w:p>
    <w:p>
      <w:pPr>
        <w:pStyle w:val="normal1"/>
        <w:spacing w:lineRule="auto" w:line="240" w:before="40" w:after="160"/>
        <w:jc w:val="center"/>
        <w:rPr>
          <w:b/>
          <w:bCs/>
          <w:i/>
          <w:iCs/>
          <w:sz w:val="22"/>
          <w:szCs w:val="22"/>
        </w:rPr>
      </w:pPr>
      <w:r>
        <w:rPr>
          <w:b/>
          <w:bCs/>
          <w:i/>
          <w:iCs/>
          <w:sz w:val="22"/>
          <w:szCs w:val="22"/>
        </w:rPr>
        <w:t>Şekil 4.2. ROC eğrileri (tüm modeller, 20 outer repeat ortalaması)</w:t>
      </w:r>
    </w:p>
    <w:p>
      <w:pPr>
        <w:pStyle w:val="normal1"/>
        <w:spacing w:lineRule="auto" w:line="240" w:before="40" w:after="160"/>
        <w:jc w:val="center"/>
        <w:rPr>
          <w:b/>
          <w:bCs/>
          <w:i/>
          <w:iCs/>
          <w:sz w:val="22"/>
          <w:szCs w:val="22"/>
        </w:rPr>
      </w:pPr>
      <w:r>
        <w:rPr>
          <w:b/>
          <w:bCs/>
          <w:i/>
          <w:iCs/>
          <w:sz w:val="22"/>
          <w:szCs w:val="22"/>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Şekil 4.2'de modellerin ROC eğrileri ortalama AUC değerleri ile birlikte gösterilmiştir. ET (AUC = 0.94) ve Ensemble (AUC = 0.94) en yüksek değerleri elde etmiş, RF yaklaşık 0.94 ile bunları takip etmiştir. Eğrilerin tamamının diyagonalin oldukça üzerinde seyretmesi tüm modellerin rastgele tahminden belirgin biçimde daha iyi olduğunu göstermektedir. KNN ve LR modellerinin diğerlerinin biraz altında kalması, doğrusal ya da mesafe tabanlı yöntemlerin radyomik özellik uzayının yüksek boyutluluğunda biraz daha zorlanması ile uyumludur.</w:t>
      </w:r>
    </w:p>
    <w:p>
      <w:pPr>
        <w:pStyle w:val="normal1"/>
        <w:spacing w:lineRule="auto" w:line="240" w:before="80" w:after="0"/>
        <w:jc w:val="center"/>
        <w:rPr/>
      </w:pPr>
      <w:r>
        <w:rPr/>
        <w:drawing>
          <wp:inline distT="0" distB="0" distL="0" distR="0">
            <wp:extent cx="5039995" cy="4319905"/>
            <wp:effectExtent l="0" t="0" r="0" b="0"/>
            <wp:docPr id="9"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7.png"/>
                    <pic:cNvPicPr>
                      <a:picLocks noChangeAspect="1" noChangeArrowheads="1"/>
                    </pic:cNvPicPr>
                  </pic:nvPicPr>
                  <pic:blipFill>
                    <a:blip r:embed="rId10"/>
                    <a:stretch>
                      <a:fillRect/>
                    </a:stretch>
                  </pic:blipFill>
                  <pic:spPr bwMode="auto">
                    <a:xfrm>
                      <a:off x="0" y="0"/>
                      <a:ext cx="5039995" cy="4319905"/>
                    </a:xfrm>
                    <a:prstGeom prst="rect">
                      <a:avLst/>
                    </a:prstGeom>
                    <a:noFill/>
                  </pic:spPr>
                </pic:pic>
              </a:graphicData>
            </a:graphic>
          </wp:inline>
        </w:drawing>
      </w:r>
    </w:p>
    <w:p>
      <w:pPr>
        <w:pStyle w:val="normal1"/>
        <w:spacing w:lineRule="auto" w:line="240" w:before="40" w:after="160"/>
        <w:jc w:val="center"/>
        <w:rPr>
          <w:b/>
          <w:bCs/>
        </w:rPr>
      </w:pPr>
      <w:r>
        <w:rPr>
          <w:b/>
          <w:bCs/>
          <w:i/>
          <w:iCs/>
          <w:sz w:val="22"/>
          <w:szCs w:val="22"/>
        </w:rPr>
        <w:t>Şekil 4.3. Precision-Recall eğrileri.</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Sınıf dengesizliği bulunan veri kümelerinde PR-AUC, ROC-AUC'a kıyasla daha gerçekçi bir performans göstergesidir</w:t>
      </w:r>
      <w:r>
        <w:rPr/>
        <w:t>,</w:t>
      </w:r>
      <w:r>
        <w:rPr>
          <w:rFonts w:eastAsia="Times New Roman" w:cs="Times New Roman"/>
          <w:b w:val="false"/>
          <w:bCs w:val="false"/>
          <w:i w:val="false"/>
          <w:iCs w:val="false"/>
          <w:sz w:val="24"/>
          <w:szCs w:val="24"/>
        </w:rPr>
        <w:t xml:space="preserve"> çünkü azınlık sınıftaki başarıyı doğrudan yansıtır. Şekil 4.3'te ExtraTrees ve Ensemble modellerinin PR-AUC değeri 0.90 seviyesindedir</w:t>
      </w:r>
      <w:r>
        <w:rPr/>
        <w:t>,</w:t>
      </w:r>
      <w:r>
        <w:rPr>
          <w:rFonts w:eastAsia="Times New Roman" w:cs="Times New Roman"/>
          <w:b w:val="false"/>
          <w:bCs w:val="false"/>
          <w:i w:val="false"/>
          <w:iCs w:val="false"/>
          <w:sz w:val="24"/>
          <w:szCs w:val="24"/>
        </w:rPr>
        <w:t xml:space="preserve"> bu da modellerin papilödem sınıfını yüksek doğrulukla yakalayabildiğini ortaya koymaktadır. Eğrilerin yüksek recall bölgesinde dahi yüksek precision değerlerini koruyabilmesi, modellerin papilödem örneklerini gözden kaçırmadan da yanlış pozitif üretmediğini göstermektedir. Bu sonuç klinik açıdan önemlidir çünkü hem duyarlılık hem de güvenilirlik aynı anda sağlanmaktadır.</w:t>
      </w:r>
    </w:p>
    <w:p>
      <w:pPr>
        <w:pStyle w:val="normal1"/>
        <w:spacing w:lineRule="auto" w:line="240" w:before="80" w:after="0"/>
        <w:jc w:val="center"/>
        <w:rPr/>
      </w:pPr>
      <w:r>
        <w:rPr/>
        <w:drawing>
          <wp:inline distT="0" distB="0" distL="0" distR="0">
            <wp:extent cx="5039995" cy="4123690"/>
            <wp:effectExtent l="0" t="0" r="0" b="0"/>
            <wp:docPr id="10"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5.png"/>
                    <pic:cNvPicPr>
                      <a:picLocks noChangeAspect="1" noChangeArrowheads="1"/>
                    </pic:cNvPicPr>
                  </pic:nvPicPr>
                  <pic:blipFill>
                    <a:blip r:embed="rId11"/>
                    <a:stretch>
                      <a:fillRect/>
                    </a:stretch>
                  </pic:blipFill>
                  <pic:spPr bwMode="auto">
                    <a:xfrm>
                      <a:off x="0" y="0"/>
                      <a:ext cx="5039995" cy="4123690"/>
                    </a:xfrm>
                    <a:prstGeom prst="rect">
                      <a:avLst/>
                    </a:prstGeom>
                    <a:noFill/>
                  </pic:spPr>
                </pic:pic>
              </a:graphicData>
            </a:graphic>
          </wp:inline>
        </w:drawing>
      </w:r>
    </w:p>
    <w:p>
      <w:pPr>
        <w:pStyle w:val="normal1"/>
        <w:spacing w:lineRule="auto" w:line="240" w:before="40" w:after="160"/>
        <w:jc w:val="center"/>
        <w:rPr>
          <w:b/>
          <w:bCs/>
          <w:i/>
          <w:iCs/>
          <w:sz w:val="22"/>
          <w:szCs w:val="22"/>
        </w:rPr>
      </w:pPr>
      <w:r>
        <w:rPr>
          <w:b/>
          <w:bCs/>
          <w:i/>
          <w:iCs/>
          <w:sz w:val="22"/>
          <w:szCs w:val="22"/>
        </w:rPr>
        <w:t>Şekil 4.4. Karışıklık matrisi (GB, 20. tekrar)</w:t>
      </w:r>
    </w:p>
    <w:p>
      <w:pPr>
        <w:pStyle w:val="normal1"/>
        <w:spacing w:lineRule="auto" w:line="240" w:before="40" w:after="160"/>
        <w:jc w:val="center"/>
        <w:rPr>
          <w:b/>
          <w:bCs/>
          <w:i/>
          <w:iCs/>
          <w:sz w:val="22"/>
          <w:szCs w:val="22"/>
        </w:rPr>
      </w:pPr>
      <w:r>
        <w:rPr>
          <w:b/>
          <w:bCs/>
          <w:i/>
          <w:iCs/>
          <w:sz w:val="22"/>
          <w:szCs w:val="22"/>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Şekil 4.4, en iyi tekrardaki GB modelinin karışıklık matrisini detaylandırmaktadır. Yanlış negatif (yani gözden kaçırılan papilödem örnekleri) sayısının düşük kalması özellikle önemlidir</w:t>
      </w:r>
      <w:r>
        <w:rPr/>
        <w:t>,</w:t>
      </w:r>
      <w:r>
        <w:rPr>
          <w:rFonts w:eastAsia="Times New Roman" w:cs="Times New Roman"/>
          <w:b w:val="false"/>
          <w:bCs w:val="false"/>
          <w:i w:val="false"/>
          <w:iCs w:val="false"/>
          <w:sz w:val="24"/>
          <w:szCs w:val="24"/>
        </w:rPr>
        <w:t xml:space="preserve"> çünkü papilödem teşhisinin atlanması klinik açıdan ciddi sonuçlara yol açabilmektedir. Yanlış pozitiflerin de oldukça sınırlı kalması, modelin gereksiz alarm üretmediğini ve elde edilen sonuçların hekim doğrulamasında kullanılabilir düzeyde olduğunu göstermektedir.</w:t>
      </w:r>
    </w:p>
    <w:p>
      <w:pPr>
        <w:pStyle w:val="normal1"/>
        <w:spacing w:lineRule="auto" w:line="360" w:before="160" w:after="60"/>
        <w:jc w:val="start"/>
        <w:rPr/>
      </w:pPr>
      <w:r>
        <w:rPr>
          <w:rFonts w:eastAsia="Times New Roman" w:cs="Times New Roman"/>
          <w:b/>
          <w:bCs/>
          <w:sz w:val="24"/>
          <w:szCs w:val="24"/>
        </w:rPr>
        <w:t>4.2. İstatistiksel Karşılaştırma</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Yedi modelin sonuçları incelendiğinde bazı modellerin diğerlerinden bir miktar daha iyi performans gösterdiği görülmektedir. Burada cevaplanması gereken kritik soru şudur: bu fark gerçekten anlamlı bir performans farkını mı yansıtmaktadır, yoksa verilerin farklı şekilde bölünmesi nedeniyle ortaya çıkmış rastlantısal bir farklılık mıdır? Bu soruya yalnızca gözlemsel olarak yanıt vermek mümkün olmadığından istatistiksel testlere başvurulur.</w:t>
      </w:r>
    </w:p>
    <w:p>
      <w:pPr>
        <w:pStyle w:val="normal1"/>
        <w:spacing w:lineRule="auto" w:line="360" w:before="0" w:after="60"/>
        <w:ind w:hanging="0" w:start="0"/>
        <w:jc w:val="both"/>
        <w:rPr/>
      </w:pPr>
      <w:r>
        <w:rPr>
          <w:rFonts w:eastAsia="Times New Roman" w:cs="Times New Roman"/>
          <w:b w:val="false"/>
          <w:bCs w:val="false"/>
          <w:i w:val="false"/>
          <w:iCs w:val="false"/>
          <w:sz w:val="24"/>
          <w:szCs w:val="24"/>
        </w:rPr>
        <w:t>İlk olarak Friedman testi uygulanmıştır. Friedman testi modelleri tek tek değil hepsini birlikte sıralayarak "genel olarak modeller arasında bir fark mevcut mudur?" sorusuna yanıt verir. Bu çalışmada ki-kare istatistiği yaklaşık 22.6 ve p-değeri ise 0.001 civarında ölçülmüştür. P-değeri 0.05 anlamlılık eşiğinin altında kaldığı için modeller arasındaki farkın yalnızca rastlantısal bir dalgalanma olmadığı, gerçek bir performans farkına işaret ettiği söylenebilir.</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Friedman testi "genel olarak fark mevcuttur" sonucunu vermekle birlikte hangi modelin hangisinden farklı olduğu bilgisini sağlamaz. Bu bilgiye ulaşmak amacıyla her model çiftinin ayrı ayrı karşılaştırılmasına olanak veren Wilcoxon işaretli sıralar testi uygulanmıştır. Yedi model arasında toplam 21 ikili karşılaştırma elde edilmektedir. Bu kadar çok test yapıldığında tesadüfen "anlamlı" sonuç veren karşılaştırmaların ortaya çıkabilmesi nedeniyle Bonferroni düzeltmesi uygulanır. Söz konusu düzeltme, anlamlılık eşiğini ciddi şekilde sıkılaştırdığı için yalnızca çok belirgin farkların testten geçmesi beklenir. Bu nedenle Tablo 4.3'te bir karşılaştırmanın "Anlamlı: Hayır" sonucu vermesi, iki modelin eşit performans gösterdiği anlamına gelmemekte</w:t>
      </w:r>
      <w:r>
        <w:rPr/>
        <w:t>,</w:t>
      </w:r>
      <w:r>
        <w:rPr>
          <w:rFonts w:eastAsia="Times New Roman" w:cs="Times New Roman"/>
          <w:b w:val="false"/>
          <w:bCs w:val="false"/>
          <w:i w:val="false"/>
          <w:iCs w:val="false"/>
          <w:sz w:val="24"/>
          <w:szCs w:val="24"/>
        </w:rPr>
        <w:t xml:space="preserve"> küçük örneklem koşullarında Bonferroni'nin sıkı eşiğini aşacak büyüklükte bir farkın bulunmadığını ifade etmektedir. Bu nedenle sonuçların kesin hüküm yerine yön gösterici olarak yorumlanması daha uygundur.</w:t>
      </w:r>
    </w:p>
    <w:p>
      <w:pPr>
        <w:pStyle w:val="normal1"/>
        <w:spacing w:lineRule="auto" w:line="240" w:before="160" w:after="80"/>
        <w:jc w:val="center"/>
        <w:rPr/>
      </w:pPr>
      <w:r>
        <w:rPr>
          <w:rFonts w:eastAsia="Times New Roman" w:cs="Times New Roman"/>
          <w:b/>
          <w:bCs/>
          <w:i/>
          <w:iCs/>
          <w:sz w:val="22"/>
          <w:szCs w:val="22"/>
        </w:rPr>
        <w:t>Tablo 4.3. Wilcoxon pairwise testi (Bonferroni düzeltmeli).</w:t>
      </w:r>
    </w:p>
    <w:tbl>
      <w:tblPr>
        <w:tblStyle w:val="Table4"/>
        <w:tblW w:w="8220" w:type="dxa"/>
        <w:jc w:val="center"/>
        <w:tblInd w:w="0" w:type="dxa"/>
        <w:tblLayout w:type="fixed"/>
        <w:tblCellMar>
          <w:top w:w="0" w:type="dxa"/>
          <w:start w:w="108" w:type="dxa"/>
          <w:bottom w:w="0" w:type="dxa"/>
          <w:end w:w="108" w:type="dxa"/>
        </w:tblCellMar>
        <w:tblLook w:val="0400"/>
      </w:tblPr>
      <w:tblGrid>
        <w:gridCol w:w="1370"/>
        <w:gridCol w:w="1369"/>
        <w:gridCol w:w="1371"/>
        <w:gridCol w:w="1370"/>
        <w:gridCol w:w="1369"/>
        <w:gridCol w:w="1371"/>
      </w:tblGrid>
      <w:tr>
        <w:trPr/>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bCs/>
                <w:sz w:val="22"/>
                <w:szCs w:val="22"/>
              </w:rPr>
              <w:t>Model A</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bCs/>
                <w:sz w:val="22"/>
                <w:szCs w:val="22"/>
              </w:rPr>
              <w:t>Model B</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bCs/>
                <w:sz w:val="22"/>
                <w:szCs w:val="22"/>
              </w:rPr>
              <w:t>Statistic</w:t>
            </w:r>
          </w:p>
        </w:tc>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bCs/>
                <w:sz w:val="22"/>
                <w:szCs w:val="22"/>
              </w:rPr>
              <w:t>p_value</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bCs/>
                <w:sz w:val="22"/>
                <w:szCs w:val="22"/>
              </w:rPr>
              <w:t>p_bonferroni</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bCs/>
                <w:sz w:val="22"/>
                <w:szCs w:val="22"/>
              </w:rPr>
              <w:t>Anlamlı</w:t>
            </w:r>
          </w:p>
        </w:tc>
      </w:tr>
      <w:tr>
        <w:trPr/>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ET</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Ensemble</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97.0</w:t>
            </w:r>
          </w:p>
        </w:tc>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0.7841</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1.0000</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Hayır</w:t>
            </w:r>
          </w:p>
        </w:tc>
      </w:tr>
      <w:tr>
        <w:trPr/>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ET</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GB</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69.0</w:t>
            </w:r>
          </w:p>
        </w:tc>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0.2954</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1.0000</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Hayır</w:t>
            </w:r>
          </w:p>
        </w:tc>
      </w:tr>
      <w:tr>
        <w:trPr/>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ET</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KNN</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52.0</w:t>
            </w:r>
          </w:p>
        </w:tc>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0.0484</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1.0000</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Hayır</w:t>
            </w:r>
          </w:p>
        </w:tc>
      </w:tr>
      <w:tr>
        <w:trPr/>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ET</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LR</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17.0</w:t>
            </w:r>
          </w:p>
        </w:tc>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0.0004</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0.0083</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Evet</w:t>
            </w:r>
          </w:p>
        </w:tc>
      </w:tr>
      <w:tr>
        <w:trPr/>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ET</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RF</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79.0</w:t>
            </w:r>
          </w:p>
        </w:tc>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0.7771</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1.0000</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Hayır</w:t>
            </w:r>
          </w:p>
        </w:tc>
      </w:tr>
      <w:tr>
        <w:trPr/>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ET</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SVM</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89.0</w:t>
            </w:r>
          </w:p>
        </w:tc>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0.5706</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1.0000</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Hayır</w:t>
            </w:r>
          </w:p>
        </w:tc>
      </w:tr>
      <w:tr>
        <w:trPr/>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Ensemble</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GB</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71.0</w:t>
            </w:r>
          </w:p>
        </w:tc>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0.5277</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1.0000</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Hayır</w:t>
            </w:r>
          </w:p>
        </w:tc>
      </w:tr>
      <w:tr>
        <w:trPr/>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Ensemble</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KNN</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51.0</w:t>
            </w:r>
          </w:p>
        </w:tc>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0.0441</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0.9251</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Hayır</w:t>
            </w:r>
          </w:p>
        </w:tc>
      </w:tr>
      <w:tr>
        <w:trPr/>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Ensemble</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LR</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10.0</w:t>
            </w:r>
          </w:p>
        </w:tc>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0.0001</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0.0017</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Evet</w:t>
            </w:r>
          </w:p>
        </w:tc>
      </w:tr>
      <w:tr>
        <w:trPr/>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Ensemble</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RF</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93.0</w:t>
            </w:r>
          </w:p>
        </w:tc>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0.9359</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1.0000</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Hayır</w:t>
            </w:r>
          </w:p>
        </w:tc>
      </w:tr>
      <w:tr>
        <w:trPr/>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Ensemble</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SVM</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85.0</w:t>
            </w:r>
          </w:p>
        </w:tc>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0.4749</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1.0000</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Hayır</w:t>
            </w:r>
          </w:p>
        </w:tc>
      </w:tr>
      <w:tr>
        <w:trPr/>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GB</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KNN</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77.0</w:t>
            </w:r>
          </w:p>
        </w:tc>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0.3118</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1.0000</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Hayır</w:t>
            </w:r>
          </w:p>
        </w:tc>
      </w:tr>
      <w:tr>
        <w:trPr/>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GB</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LR</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45.0</w:t>
            </w:r>
          </w:p>
        </w:tc>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0.0240</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0.5030</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Hayır</w:t>
            </w:r>
          </w:p>
        </w:tc>
      </w:tr>
      <w:tr>
        <w:trPr/>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GB</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RF</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88.0</w:t>
            </w:r>
          </w:p>
        </w:tc>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0.5459</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1.0000</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Hayır</w:t>
            </w:r>
          </w:p>
        </w:tc>
      </w:tr>
      <w:tr>
        <w:trPr/>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GB</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SVM</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100.0</w:t>
            </w:r>
          </w:p>
        </w:tc>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0.8695</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1.0000</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Hayır</w:t>
            </w:r>
          </w:p>
        </w:tc>
      </w:tr>
      <w:tr>
        <w:trPr/>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KNN</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LR</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69.0</w:t>
            </w:r>
          </w:p>
        </w:tc>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0.1893</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1.0000</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Hayır</w:t>
            </w:r>
          </w:p>
        </w:tc>
      </w:tr>
      <w:tr>
        <w:trPr/>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KNN</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RF</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60.0</w:t>
            </w:r>
          </w:p>
        </w:tc>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0.0973</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1.0000</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Hayır</w:t>
            </w:r>
          </w:p>
        </w:tc>
      </w:tr>
      <w:tr>
        <w:trPr/>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KNN</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SVM</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79.0</w:t>
            </w:r>
          </w:p>
        </w:tc>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0.3488</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1.0000</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Hayır</w:t>
            </w:r>
          </w:p>
        </w:tc>
      </w:tr>
      <w:tr>
        <w:trPr/>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LR</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RF</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23.0</w:t>
            </w:r>
          </w:p>
        </w:tc>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0.0012</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0.0254</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Evet</w:t>
            </w:r>
          </w:p>
        </w:tc>
      </w:tr>
      <w:tr>
        <w:trPr/>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LR</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SVM</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42.0</w:t>
            </w:r>
          </w:p>
        </w:tc>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0.0172</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0.3608</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Hayır</w:t>
            </w:r>
          </w:p>
        </w:tc>
      </w:tr>
      <w:tr>
        <w:trPr/>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RF</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SVM</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83.0</w:t>
            </w:r>
          </w:p>
        </w:tc>
        <w:tc>
          <w:tcPr>
            <w:tcW w:w="13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0.4304</w:t>
            </w:r>
          </w:p>
        </w:tc>
        <w:tc>
          <w:tcPr>
            <w:tcW w:w="13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1.0000</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Hayır</w:t>
            </w:r>
          </w:p>
        </w:tc>
      </w:tr>
    </w:tbl>
    <w:p>
      <w:pPr>
        <w:pStyle w:val="normal1"/>
        <w:spacing w:lineRule="auto" w:line="360" w:before="160" w:after="60"/>
        <w:jc w:val="start"/>
        <w:rPr>
          <w:b/>
          <w:bCs/>
        </w:rPr>
      </w:pPr>
      <w:r>
        <w:rPr>
          <w:b/>
          <w:bCs/>
        </w:rPr>
      </w:r>
    </w:p>
    <w:p>
      <w:pPr>
        <w:pStyle w:val="normal1"/>
        <w:spacing w:lineRule="auto" w:line="360" w:before="160" w:after="60"/>
        <w:jc w:val="start"/>
        <w:rPr/>
      </w:pPr>
      <w:r>
        <w:rPr>
          <w:rFonts w:eastAsia="Times New Roman" w:cs="Times New Roman"/>
          <w:b/>
          <w:bCs/>
          <w:sz w:val="24"/>
          <w:szCs w:val="24"/>
        </w:rPr>
        <w:t>4.3. Kalibrasyon Analizi</w:t>
      </w:r>
    </w:p>
    <w:p>
      <w:pPr>
        <w:pStyle w:val="normal1"/>
        <w:spacing w:lineRule="auto" w:line="360" w:before="0" w:after="60"/>
        <w:ind w:hanging="0" w:start="0"/>
        <w:jc w:val="both"/>
        <w:rPr/>
      </w:pPr>
      <w:r>
        <w:rPr>
          <w:rFonts w:eastAsia="Times New Roman" w:cs="Times New Roman"/>
          <w:b w:val="false"/>
          <w:bCs w:val="false"/>
          <w:i w:val="false"/>
          <w:iCs w:val="false"/>
          <w:sz w:val="24"/>
          <w:szCs w:val="24"/>
        </w:rPr>
        <w:t>Sigmoid kalibrasyon sonrasında Brier skorları dar bir aralıkta (yaklaşık 0.08 ile 0.13 arasında) toplanmış</w:t>
      </w:r>
      <w:r>
        <w:rPr/>
        <w:t>,</w:t>
      </w:r>
      <w:r>
        <w:rPr>
          <w:rFonts w:eastAsia="Times New Roman" w:cs="Times New Roman"/>
          <w:b w:val="false"/>
          <w:bCs w:val="false"/>
          <w:i w:val="false"/>
          <w:iCs w:val="false"/>
          <w:sz w:val="24"/>
          <w:szCs w:val="24"/>
        </w:rPr>
        <w:t xml:space="preserve"> bu durum Tablo 4.1'de de görülebilmektedir. Kalibrasyon eğrileri (Şekil 4.5) modellerin tahminlerinin ne kadar güvenilir olduğunu görselleştirir</w:t>
      </w:r>
      <w:r>
        <w:rPr/>
        <w:t>,</w:t>
      </w:r>
      <w:r>
        <w:rPr>
          <w:rFonts w:eastAsia="Times New Roman" w:cs="Times New Roman"/>
          <w:b w:val="false"/>
          <w:bCs w:val="false"/>
          <w:i w:val="false"/>
          <w:iCs w:val="false"/>
          <w:sz w:val="24"/>
          <w:szCs w:val="24"/>
        </w:rPr>
        <w:t xml:space="preserve"> ideal olarak eğri y = x diyagonalinde olmalıdır. Sonuçlarda tüm modellerin diyagonale oldukça yakın seyrettiği görülmüştür. Ağaç tabanlı modellerde kalibrasyondan önce sıkça görülen aşırı veya yetersiz güven eğilimi, sigmoid kalibrasyonla büyük ölçüde düzeltilmiştir [11].</w:t>
      </w:r>
    </w:p>
    <w:p>
      <w:pPr>
        <w:pStyle w:val="normal1"/>
        <w:spacing w:lineRule="auto" w:line="240" w:before="80" w:after="0"/>
        <w:jc w:val="center"/>
        <w:rPr/>
      </w:pPr>
      <w:r>
        <w:rPr/>
        <w:drawing>
          <wp:inline distT="0" distB="0" distL="0" distR="0">
            <wp:extent cx="5039995" cy="4319905"/>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pic:cNvPicPr>
                      <a:picLocks noChangeAspect="1" noChangeArrowheads="1"/>
                    </pic:cNvPicPr>
                  </pic:nvPicPr>
                  <pic:blipFill>
                    <a:blip r:embed="rId12"/>
                    <a:stretch>
                      <a:fillRect/>
                    </a:stretch>
                  </pic:blipFill>
                  <pic:spPr bwMode="auto">
                    <a:xfrm>
                      <a:off x="0" y="0"/>
                      <a:ext cx="5039995" cy="4319905"/>
                    </a:xfrm>
                    <a:prstGeom prst="rect">
                      <a:avLst/>
                    </a:prstGeom>
                    <a:noFill/>
                  </pic:spPr>
                </pic:pic>
              </a:graphicData>
            </a:graphic>
          </wp:inline>
        </w:drawing>
      </w:r>
    </w:p>
    <w:p>
      <w:pPr>
        <w:pStyle w:val="normal1"/>
        <w:spacing w:lineRule="auto" w:line="240" w:before="40" w:after="160"/>
        <w:jc w:val="center"/>
        <w:rPr/>
      </w:pPr>
      <w:r>
        <w:rPr>
          <w:rFonts w:eastAsia="Times New Roman" w:cs="Times New Roman"/>
          <w:b/>
          <w:bCs/>
          <w:i/>
          <w:iCs/>
          <w:sz w:val="22"/>
          <w:szCs w:val="22"/>
        </w:rPr>
        <w:t>Şekil 4.5. Kalibrasyon eğrileri (sigmoid Platt sonrası).</w:t>
      </w:r>
    </w:p>
    <w:p>
      <w:pPr>
        <w:pStyle w:val="normal1"/>
        <w:spacing w:lineRule="auto" w:line="360" w:before="0" w:after="60"/>
        <w:ind w:hanging="0" w:start="0"/>
        <w:jc w:val="both"/>
        <w:rPr/>
      </w:pPr>
      <w:r>
        <w:rPr>
          <w:rFonts w:eastAsia="Times New Roman" w:cs="Times New Roman"/>
          <w:b w:val="false"/>
          <w:bCs w:val="false"/>
          <w:i w:val="false"/>
          <w:iCs w:val="false"/>
          <w:sz w:val="24"/>
          <w:szCs w:val="24"/>
        </w:rPr>
        <w:t>Şekil 4.5'te tüm modellerin kalibrasyon eğrileri ideal y = x diyagonaline oldukça yakın seyretmektedir. Bu durum, modellerin ürettiği olasılıkların gerçek olasılık değerlerini iyi yansıttığını göstermektedir. Pratik olarak şu anlama gelir: modelin %80 olasılık verdiği örneklerin gerçekten yaklaşık %80'i papilödemdir. Bu özellik klinik karar destek sistemlerinde kritik öneme sahiptir çünkü hekim yalnızca sınıf etiketine değil, modelin verdiği güven düzeyine de bakarak karar süreçlerini şekillendirebilir. Sigmoid kalibrasyon olmasaydı özellikle ağaç tabanlı modellerin tipik aşırı veya yetersiz güven eğilimi sonuçların yorumlanmasını zorlaştırırdı.</w:t>
      </w:r>
    </w:p>
    <w:p>
      <w:pPr>
        <w:pStyle w:val="normal1"/>
        <w:spacing w:lineRule="auto" w:line="360" w:before="160" w:after="60"/>
        <w:jc w:val="start"/>
        <w:rPr/>
      </w:pPr>
      <w:r>
        <w:rPr>
          <w:rFonts w:eastAsia="Times New Roman" w:cs="Times New Roman"/>
          <w:b/>
          <w:bCs/>
          <w:sz w:val="24"/>
          <w:szCs w:val="24"/>
        </w:rPr>
        <w:t>4.4. Özellik Yorumlanabilirliği (SHAP)</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Modelin sınıflandırma kararına en çok hangi özelliklerin etki ettiğini anlamak için SHAP TreeExplainer ile ExtraTrees modeli üzerinde analiz yapılmıştır. SHAP değerleri her özelliğin tahminin oluşmasına ne kadar katkı sağladığını hesaplamakta ve böylece model davranışını şeffaflaştırmaktadır [9]. En çok katkı veren ilk on özellik Tablo 4.4'te, tamamının görsel özeti ise Şekil 4.7'de verilmiştir. Ayrıca MRMR'nin 20 outer tekrar boyunca tekrar tekrar seçtiği özelliklerin Şekil 4.6'da gösterilmesi, SHAP sıralamasıyla örtüşen özelliklerin gerçekten istikrarlı olduğunu doğrulamaktadır.</w:t>
      </w:r>
    </w:p>
    <w:p>
      <w:pPr>
        <w:pStyle w:val="normal1"/>
        <w:spacing w:lineRule="auto" w:line="240" w:before="160" w:after="80"/>
        <w:jc w:val="center"/>
        <w:rPr/>
      </w:pPr>
      <w:r>
        <w:rPr>
          <w:rFonts w:eastAsia="Times New Roman" w:cs="Times New Roman"/>
          <w:b/>
          <w:bCs/>
          <w:i/>
          <w:iCs/>
          <w:sz w:val="22"/>
          <w:szCs w:val="22"/>
        </w:rPr>
        <w:t>Tablo 4.4. SHAP analizinde en yüksek katkılı ilk 10 özellik.</w:t>
      </w:r>
    </w:p>
    <w:tbl>
      <w:tblPr>
        <w:tblStyle w:val="Table5"/>
        <w:tblW w:w="8220" w:type="dxa"/>
        <w:jc w:val="center"/>
        <w:tblInd w:w="0" w:type="dxa"/>
        <w:tblLayout w:type="fixed"/>
        <w:tblCellMar>
          <w:top w:w="0" w:type="dxa"/>
          <w:start w:w="108" w:type="dxa"/>
          <w:bottom w:w="0" w:type="dxa"/>
          <w:end w:w="108" w:type="dxa"/>
        </w:tblCellMar>
        <w:tblLook w:val="0400"/>
      </w:tblPr>
      <w:tblGrid>
        <w:gridCol w:w="2740"/>
        <w:gridCol w:w="2740"/>
        <w:gridCol w:w="2740"/>
      </w:tblGrid>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bCs/>
                <w:sz w:val="22"/>
                <w:szCs w:val="22"/>
              </w:rPr>
              <w:t>Sıra</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bCs/>
                <w:sz w:val="22"/>
                <w:szCs w:val="22"/>
              </w:rPr>
              <w:t>Özellik</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bCs/>
                <w:sz w:val="22"/>
                <w:szCs w:val="22"/>
              </w:rPr>
              <w:t>Mean |SHAP|</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1</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Feature_0479</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0.0748</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2</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Feature_0478</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0.0305</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3</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Feature_0102</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0.0284</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4</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Feature_0028</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0.0259</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5</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Feature_0061</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0.0254</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6</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Feature_0067</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0.0249</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7</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Feature_0647</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0.0246</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8</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Feature_0072</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0.0218</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9</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Feature_0464</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0.0217</w:t>
            </w:r>
          </w:p>
        </w:tc>
      </w:tr>
      <w:tr>
        <w:trPr/>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10</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Feature_0006</w:t>
            </w:r>
          </w:p>
        </w:tc>
        <w:tc>
          <w:tcPr>
            <w:tcW w:w="27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jc w:val="center"/>
              <w:rPr/>
            </w:pPr>
            <w:r>
              <w:rPr>
                <w:rFonts w:eastAsia="Times New Roman" w:cs="Times New Roman"/>
                <w:b w:val="false"/>
                <w:bCs w:val="false"/>
                <w:sz w:val="22"/>
                <w:szCs w:val="22"/>
              </w:rPr>
              <w:t>0.0203</w:t>
            </w:r>
          </w:p>
        </w:tc>
      </w:tr>
    </w:tbl>
    <w:p>
      <w:pPr>
        <w:pStyle w:val="normal1"/>
        <w:spacing w:lineRule="auto" w:line="240" w:before="80" w:after="0"/>
        <w:jc w:val="center"/>
        <w:rPr/>
      </w:pPr>
      <w:r>
        <w:rPr/>
        <w:drawing>
          <wp:inline distT="0" distB="0" distL="0" distR="0">
            <wp:extent cx="5039995" cy="4319905"/>
            <wp:effectExtent l="0" t="0" r="0" b="0"/>
            <wp:docPr id="12"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pic:cNvPicPr>
                      <a:picLocks noChangeAspect="1" noChangeArrowheads="1"/>
                    </pic:cNvPicPr>
                  </pic:nvPicPr>
                  <pic:blipFill>
                    <a:blip r:embed="rId13"/>
                    <a:stretch>
                      <a:fillRect/>
                    </a:stretch>
                  </pic:blipFill>
                  <pic:spPr bwMode="auto">
                    <a:xfrm>
                      <a:off x="0" y="0"/>
                      <a:ext cx="5039995" cy="4319905"/>
                    </a:xfrm>
                    <a:prstGeom prst="rect">
                      <a:avLst/>
                    </a:prstGeom>
                    <a:noFill/>
                  </pic:spPr>
                </pic:pic>
              </a:graphicData>
            </a:graphic>
          </wp:inline>
        </w:drawing>
      </w:r>
    </w:p>
    <w:p>
      <w:pPr>
        <w:pStyle w:val="normal1"/>
        <w:spacing w:lineRule="auto" w:line="240" w:before="40" w:after="160"/>
        <w:jc w:val="center"/>
        <w:rPr>
          <w:b/>
          <w:bCs/>
        </w:rPr>
      </w:pPr>
      <w:r>
        <w:rPr>
          <w:b/>
          <w:bCs/>
          <w:i/>
          <w:iCs/>
          <w:sz w:val="22"/>
          <w:szCs w:val="22"/>
        </w:rPr>
        <w:t>Şekil 4.6. MRMR seçim frekansı (20 outer repeat üzerinde).</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Şekil 4.6, MRMR algoritmasının 20 dış tekrar boyunca hangi özellikleri ne sıklıkla seçtiğini gösterir. Üst sıralardaki özelliklerin neredeyse tüm tekrarlarda seçilmiş olması MRMR'nin rastgele bir alt küme üretmediğini, veriye özgü kararlı bilgi taşıyan özellikleri tutarlı biçimde yakaladığını göstermektedir. Bu kararlılık, modelin farklı eğitim setleri üzerinde benzer karar süreçleri öğrendiğine işaret etmekte ve elde edilen sonuçların güvenilirliğini desteklemektedir.</w:t>
      </w:r>
    </w:p>
    <w:p>
      <w:pPr>
        <w:pStyle w:val="normal1"/>
        <w:spacing w:lineRule="auto" w:line="240" w:before="80" w:after="0"/>
        <w:jc w:val="center"/>
        <w:rPr/>
      </w:pPr>
      <w:r>
        <w:rPr/>
        <w:drawing>
          <wp:inline distT="0" distB="0" distL="0" distR="0">
            <wp:extent cx="5039995" cy="4887595"/>
            <wp:effectExtent l="0" t="0" r="0" b="0"/>
            <wp:docPr id="1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6.png"/>
                    <pic:cNvPicPr>
                      <a:picLocks noChangeAspect="1" noChangeArrowheads="1"/>
                    </pic:cNvPicPr>
                  </pic:nvPicPr>
                  <pic:blipFill>
                    <a:blip r:embed="rId14"/>
                    <a:stretch>
                      <a:fillRect/>
                    </a:stretch>
                  </pic:blipFill>
                  <pic:spPr bwMode="auto">
                    <a:xfrm>
                      <a:off x="0" y="0"/>
                      <a:ext cx="5039995" cy="4887595"/>
                    </a:xfrm>
                    <a:prstGeom prst="rect">
                      <a:avLst/>
                    </a:prstGeom>
                    <a:noFill/>
                  </pic:spPr>
                </pic:pic>
              </a:graphicData>
            </a:graphic>
          </wp:inline>
        </w:drawing>
      </w:r>
    </w:p>
    <w:p>
      <w:pPr>
        <w:pStyle w:val="normal1"/>
        <w:spacing w:lineRule="auto" w:line="240" w:before="40" w:after="160"/>
        <w:jc w:val="center"/>
        <w:rPr>
          <w:b/>
          <w:bCs/>
          <w:i/>
          <w:iCs/>
          <w:sz w:val="22"/>
          <w:szCs w:val="22"/>
        </w:rPr>
      </w:pPr>
      <w:r>
        <w:rPr>
          <w:b/>
          <w:bCs/>
          <w:i/>
          <w:iCs/>
          <w:sz w:val="22"/>
          <w:szCs w:val="22"/>
        </w:rPr>
        <w:t>Şekil 4.7. SHAP özet grafiği (ExtraTrees)</w:t>
      </w:r>
    </w:p>
    <w:p>
      <w:pPr>
        <w:pStyle w:val="normal1"/>
        <w:spacing w:lineRule="auto" w:line="240" w:before="40" w:after="160"/>
        <w:jc w:val="center"/>
        <w:rPr>
          <w:b/>
          <w:bCs/>
          <w:i/>
          <w:iCs/>
          <w:sz w:val="22"/>
          <w:szCs w:val="22"/>
        </w:rPr>
      </w:pPr>
      <w:r>
        <w:rPr>
          <w:b/>
          <w:bCs/>
          <w:i/>
          <w:iCs/>
          <w:sz w:val="22"/>
          <w:szCs w:val="22"/>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Şekil 4.7, SHAP analizinden elde edilen ortalama mutlak katkı değerlerini göstermektedir. Y ekseninde en üstte yer alan özellikler modelin kararına en çok etki edenlerdir. X ekseninde noktaların sağa yayılması o özelliğin papilödem yönünde, sola yayılması ise normal yönünde tahmini desteklediği anlamına gelmektedir. Bu görsel modelin yalnızca ne tahmin ettiğini değil, neden öyle tahmin ettiğini de açıkladığı için sınıflandırıcının klinik bağlamda yorumlanabilirlik kazanmasını sağlamaktadır. Tablo 4.4'teki ilk on özellik ile Şekil 4.6'daki yüksek frekansta seçilen özelliklerin örtüşmesi, kararlılık ve önemlilik arasındaki tutarlılığı da göstermektedir.</w:t>
      </w:r>
    </w:p>
    <w:p>
      <w:pPr>
        <w:pStyle w:val="normal1"/>
        <w:spacing w:lineRule="auto" w:line="360" w:before="160" w:after="60"/>
        <w:jc w:val="start"/>
        <w:rPr>
          <w:b/>
          <w:bCs/>
        </w:rPr>
      </w:pPr>
      <w:r>
        <w:rPr>
          <w:b/>
          <w:bCs/>
        </w:rPr>
      </w:r>
    </w:p>
    <w:p>
      <w:pPr>
        <w:pStyle w:val="normal1"/>
        <w:spacing w:lineRule="auto" w:line="360" w:before="160" w:after="60"/>
        <w:jc w:val="start"/>
        <w:rPr>
          <w:b/>
          <w:bCs/>
        </w:rPr>
      </w:pPr>
      <w:r>
        <w:rPr>
          <w:b/>
          <w:bCs/>
        </w:rPr>
      </w:r>
    </w:p>
    <w:p>
      <w:pPr>
        <w:pStyle w:val="normal1"/>
        <w:spacing w:lineRule="auto" w:line="360" w:before="160" w:after="60"/>
        <w:jc w:val="start"/>
        <w:rPr>
          <w:b/>
          <w:bCs/>
        </w:rPr>
      </w:pPr>
      <w:r>
        <w:rPr>
          <w:b/>
          <w:bCs/>
        </w:rPr>
      </w:r>
    </w:p>
    <w:p>
      <w:pPr>
        <w:pStyle w:val="normal1"/>
        <w:spacing w:lineRule="auto" w:line="360" w:before="160" w:after="60"/>
        <w:jc w:val="start"/>
        <w:rPr/>
      </w:pPr>
      <w:r>
        <w:rPr>
          <w:rFonts w:eastAsia="Times New Roman" w:cs="Times New Roman"/>
          <w:b/>
          <w:bCs/>
          <w:sz w:val="24"/>
          <w:szCs w:val="24"/>
        </w:rPr>
        <w:t xml:space="preserve">4.5. </w:t>
      </w:r>
      <w:r>
        <w:rPr>
          <w:b/>
          <w:bCs/>
        </w:rPr>
        <w:t>İletilen E</w:t>
      </w:r>
      <w:r>
        <w:rPr>
          <w:rFonts w:eastAsia="Times New Roman" w:cs="Times New Roman"/>
          <w:b/>
          <w:bCs/>
          <w:sz w:val="24"/>
          <w:szCs w:val="24"/>
        </w:rPr>
        <w:t>k Sorularına Yönelik Değerlendirmeler</w:t>
      </w:r>
    </w:p>
    <w:p>
      <w:pPr>
        <w:pStyle w:val="normal1"/>
        <w:spacing w:lineRule="auto" w:line="360" w:before="0" w:after="120"/>
        <w:jc w:val="both"/>
        <w:rPr/>
      </w:pPr>
      <w:r>
        <w:rPr>
          <w:rFonts w:eastAsia="Times New Roman" w:cs="Times New Roman"/>
          <w:b w:val="false"/>
          <w:bCs w:val="false"/>
          <w:i w:val="false"/>
          <w:iCs w:val="false"/>
          <w:sz w:val="24"/>
          <w:szCs w:val="24"/>
        </w:rPr>
        <w:t>Bölüm 4.1 ile 4.4 arasında modellerin performansı ayrıntılı olarak sunulmuştur. Bu alt bölümde ödev tanımında yer alan yedi ek soruya doğrudan yanıt verilmektedir.</w:t>
      </w:r>
    </w:p>
    <w:p>
      <w:pPr>
        <w:pStyle w:val="normal1"/>
        <w:spacing w:lineRule="auto" w:line="360" w:before="0" w:after="120"/>
        <w:jc w:val="both"/>
        <w:rPr/>
      </w:pPr>
      <w:r>
        <w:rPr>
          <w:rFonts w:eastAsia="Times New Roman" w:cs="Times New Roman"/>
          <w:b w:val="false"/>
          <w:bCs w:val="false"/>
          <w:i w:val="false"/>
          <w:iCs w:val="false"/>
          <w:sz w:val="24"/>
          <w:szCs w:val="24"/>
        </w:rPr>
        <w:t xml:space="preserve">Ortalama </w:t>
      </w:r>
      <w:r>
        <w:rPr/>
        <w:t>Macro F1</w:t>
      </w:r>
      <w:r>
        <w:rPr>
          <w:rFonts w:eastAsia="Times New Roman" w:cs="Times New Roman"/>
          <w:b w:val="false"/>
          <w:bCs w:val="false"/>
          <w:i w:val="false"/>
          <w:iCs w:val="false"/>
          <w:sz w:val="24"/>
          <w:szCs w:val="24"/>
        </w:rPr>
        <w:t xml:space="preserve"> sıralamasında ExtraTrees modeli 0.847 ile ilk sırada yer almakta, tek tekrar bazında ulaşılan en yüksek değer ise Gradient Boosting modeline ait olup 0.941 düzeyindedir. Soft voting topluluğu, baz modellerin birbirine yakın karar yüzeyleri öğrenmesi nedeniyle en iyi tek modeli geride bırakamamış</w:t>
      </w:r>
      <w:r>
        <w:rPr/>
        <w:t>,</w:t>
      </w:r>
      <w:r>
        <w:rPr>
          <w:rFonts w:eastAsia="Times New Roman" w:cs="Times New Roman"/>
          <w:b w:val="false"/>
          <w:bCs w:val="false"/>
          <w:i w:val="false"/>
          <w:iCs w:val="false"/>
          <w:sz w:val="24"/>
          <w:szCs w:val="24"/>
        </w:rPr>
        <w:t xml:space="preserve"> benzer çıktıların ortalanması beklenen çeşitlilik kazancını sağlamamıştır.</w:t>
      </w:r>
    </w:p>
    <w:p>
      <w:pPr>
        <w:pStyle w:val="normal1"/>
        <w:spacing w:lineRule="auto" w:line="360" w:before="0" w:after="120"/>
        <w:jc w:val="both"/>
        <w:rPr/>
      </w:pPr>
      <w:r>
        <w:rPr>
          <w:rFonts w:eastAsia="Times New Roman" w:cs="Times New Roman"/>
          <w:b w:val="false"/>
          <w:bCs w:val="false"/>
          <w:i w:val="false"/>
          <w:iCs w:val="false"/>
          <w:sz w:val="24"/>
          <w:szCs w:val="24"/>
        </w:rPr>
        <w:t>MRMR özellik seçimi 746 özelliğin tamamı yerine 20, 50 ya da 100 özellikten oluşan bir alt küme kullanmıştır. Bu yaklaşım örnek-özellik oranını yaklaşık 1.3:1 düzeyinden 19:1 seviyesine çıkararak aşırı öğrenme riskini azaltmaktadır. Şekil 4.6'da görüldüğü üzere üst sıralardaki özellikler tekrarların büyük çoğunluğunda yeniden seçilmiş</w:t>
      </w:r>
      <w:r>
        <w:rPr/>
        <w:t>,</w:t>
      </w:r>
      <w:r>
        <w:rPr>
          <w:rFonts w:eastAsia="Times New Roman" w:cs="Times New Roman"/>
          <w:b w:val="false"/>
          <w:bCs w:val="false"/>
          <w:i w:val="false"/>
          <w:iCs w:val="false"/>
          <w:sz w:val="24"/>
          <w:szCs w:val="24"/>
        </w:rPr>
        <w:t xml:space="preserve"> en yüksek katkı sağlayan ilk on özellik Tablo 4.4'te SHAP değerleriyle birlikte raporlanmıştır.</w:t>
      </w:r>
    </w:p>
    <w:p>
      <w:pPr>
        <w:pStyle w:val="normal1"/>
        <w:spacing w:lineRule="auto" w:line="360" w:before="0" w:after="120"/>
        <w:jc w:val="both"/>
        <w:rPr/>
      </w:pPr>
      <w:r>
        <w:rPr>
          <w:rFonts w:eastAsia="Times New Roman" w:cs="Times New Roman"/>
          <w:b w:val="false"/>
          <w:bCs w:val="false"/>
          <w:i w:val="false"/>
          <w:iCs w:val="false"/>
          <w:sz w:val="24"/>
          <w:szCs w:val="24"/>
        </w:rPr>
        <w:t>Sigmoid Platt kalibrasyon sonrasında modellerin Brier skorları dar bir aralıkta toplanmış ve kalibrasyon eğrileri diyagonale yakın seyretmiştir. ROC-AUC ile PR-AUC arasındaki ilişki ise sınıf dengesizliği koşullarında PR-AUC değerlerinin ROC-AUC değerlerinin biraz altında kalması biçiminde gözlenmiştir</w:t>
      </w:r>
      <w:r>
        <w:rPr/>
        <w:t>,</w:t>
      </w:r>
      <w:r>
        <w:rPr>
          <w:rFonts w:eastAsia="Times New Roman" w:cs="Times New Roman"/>
          <w:b w:val="false"/>
          <w:bCs w:val="false"/>
          <w:i w:val="false"/>
          <w:iCs w:val="false"/>
          <w:sz w:val="24"/>
          <w:szCs w:val="24"/>
        </w:rPr>
        <w:t xml:space="preserve"> bu durum azınlık sınıfın PR-AUC tarafından daha duyarlı yansıtıldığını göstermektedir.</w:t>
      </w:r>
    </w:p>
    <w:p>
      <w:pPr>
        <w:pStyle w:val="normal1"/>
        <w:spacing w:lineRule="auto" w:line="360" w:before="0" w:after="120"/>
        <w:jc w:val="both"/>
        <w:rPr/>
      </w:pPr>
      <w:r>
        <w:rPr>
          <w:rFonts w:eastAsia="Times New Roman" w:cs="Times New Roman"/>
          <w:b w:val="false"/>
          <w:bCs w:val="false"/>
          <w:i w:val="false"/>
          <w:iCs w:val="false"/>
          <w:sz w:val="24"/>
          <w:szCs w:val="24"/>
        </w:rPr>
        <w:t xml:space="preserve">Hasta sayısının görece az olması (n = 69) modellerin tekrarlar arasındaki kararlılığına doğrudan yansımaktadır. Şekil 4.8'de yatay eksende ortalama </w:t>
      </w:r>
      <w:r>
        <w:rPr/>
        <w:t>Macro F1</w:t>
      </w:r>
      <w:r>
        <w:rPr>
          <w:rFonts w:eastAsia="Times New Roman" w:cs="Times New Roman"/>
          <w:b w:val="false"/>
          <w:bCs w:val="false"/>
          <w:i w:val="false"/>
          <w:iCs w:val="false"/>
          <w:sz w:val="24"/>
          <w:szCs w:val="24"/>
        </w:rPr>
        <w:t>, dikey eksende ise tekrarlar arası standart sapma yer almaktadır. Daha basit ve düzenlileştirilmiş modellerde standart sapma yaklaşık 0.07 düzeyinde kalırken, Gradient Boosting modelinde aynı değer 0.14 seviyesine kadar yükselmektedir. Bu fark, az veriyle eğitilen karmaşık modellerin tekrarlar arasında daha kararsız davrandığını ortaya koymakta ve daha geniş hasta kohortlarının özellikle bu model sınıfları için daha güvenilir sonuçlar üreteceğini düşündürmektedir.</w:t>
      </w:r>
    </w:p>
    <w:p>
      <w:pPr>
        <w:pStyle w:val="normal1"/>
        <w:spacing w:lineRule="auto" w:line="240" w:before="0" w:after="40"/>
        <w:jc w:val="center"/>
        <w:rPr/>
      </w:pPr>
      <w:r>
        <w:rPr/>
        <w:drawing>
          <wp:inline distT="0" distB="0" distL="0" distR="0">
            <wp:extent cx="5219700" cy="3067685"/>
            <wp:effectExtent l="0" t="0" r="0" b="0"/>
            <wp:docPr id="14"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png"/>
                    <pic:cNvPicPr>
                      <a:picLocks noChangeAspect="1" noChangeArrowheads="1"/>
                    </pic:cNvPicPr>
                  </pic:nvPicPr>
                  <pic:blipFill>
                    <a:blip r:embed="rId15"/>
                    <a:stretch>
                      <a:fillRect/>
                    </a:stretch>
                  </pic:blipFill>
                  <pic:spPr bwMode="auto">
                    <a:xfrm>
                      <a:off x="0" y="0"/>
                      <a:ext cx="5219700" cy="3067685"/>
                    </a:xfrm>
                    <a:prstGeom prst="rect">
                      <a:avLst/>
                    </a:prstGeom>
                    <a:noFill/>
                  </pic:spPr>
                </pic:pic>
              </a:graphicData>
            </a:graphic>
          </wp:inline>
        </w:drawing>
      </w:r>
    </w:p>
    <w:p>
      <w:pPr>
        <w:pStyle w:val="normal1"/>
        <w:spacing w:lineRule="auto" w:line="360" w:before="0" w:after="200"/>
        <w:jc w:val="center"/>
        <w:rPr/>
      </w:pPr>
      <w:r>
        <w:rPr>
          <w:rFonts w:eastAsia="Times New Roman" w:cs="Times New Roman"/>
          <w:b/>
          <w:bCs/>
          <w:i w:val="false"/>
          <w:iCs w:val="false"/>
          <w:sz w:val="22"/>
          <w:szCs w:val="22"/>
        </w:rPr>
        <w:t xml:space="preserve">Şekil 4.8. Modellerin ortalama </w:t>
      </w:r>
      <w:r>
        <w:rPr>
          <w:b/>
          <w:bCs/>
          <w:sz w:val="22"/>
          <w:szCs w:val="22"/>
        </w:rPr>
        <w:t>Macro F1</w:t>
      </w:r>
      <w:r>
        <w:rPr>
          <w:rFonts w:eastAsia="Times New Roman" w:cs="Times New Roman"/>
          <w:b/>
          <w:bCs/>
          <w:i w:val="false"/>
          <w:iCs w:val="false"/>
          <w:sz w:val="22"/>
          <w:szCs w:val="22"/>
        </w:rPr>
        <w:t xml:space="preserve"> ile tekrarlar arası standart sapma ilişkisi.</w:t>
      </w:r>
      <w:r>
        <w:br w:type="page"/>
      </w:r>
    </w:p>
    <w:p>
      <w:pPr>
        <w:pStyle w:val="normal1"/>
        <w:spacing w:lineRule="auto" w:line="360" w:before="0" w:after="160"/>
        <w:jc w:val="start"/>
        <w:rPr/>
      </w:pPr>
      <w:r>
        <w:rPr>
          <w:rFonts w:eastAsia="Times New Roman" w:cs="Times New Roman"/>
          <w:b/>
          <w:bCs/>
          <w:sz w:val="28"/>
          <w:szCs w:val="28"/>
        </w:rPr>
        <w:t>5. TARTIŞMA</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 xml:space="preserve">Bölüm 4'te modellerin </w:t>
      </w:r>
      <w:r>
        <w:rPr/>
        <w:t>Macro F1</w:t>
      </w:r>
      <w:r>
        <w:rPr>
          <w:rFonts w:eastAsia="Times New Roman" w:cs="Times New Roman"/>
          <w:b w:val="false"/>
          <w:bCs w:val="false"/>
          <w:i w:val="false"/>
          <w:iCs w:val="false"/>
          <w:sz w:val="24"/>
          <w:szCs w:val="24"/>
        </w:rPr>
        <w:t xml:space="preserve"> değerleri üzerinden karşılaştırılması sunulmuştur. Aynı modeller ROC-AUC açısından değerlendirildiğinde biraz farklı bir görünüm ortaya çıkmaktadır (Şekil 5.1). </w:t>
      </w:r>
      <w:r>
        <w:rPr/>
        <w:t>Macro F1</w:t>
      </w:r>
      <w:r>
        <w:rPr>
          <w:rFonts w:eastAsia="Times New Roman" w:cs="Times New Roman"/>
          <w:b w:val="false"/>
          <w:bCs w:val="false"/>
          <w:i w:val="false"/>
          <w:iCs w:val="false"/>
          <w:sz w:val="24"/>
          <w:szCs w:val="24"/>
        </w:rPr>
        <w:t xml:space="preserve"> sıralamasında biraz geride kalan bazı modellerin ROC-AUC sıralamasında öne geçebilmesi, kullanılan metriğe bağlı olarak "en iyi" modelin değişebileceğine işaret etmektedir.</w:t>
      </w:r>
    </w:p>
    <w:p>
      <w:pPr>
        <w:pStyle w:val="normal1"/>
        <w:spacing w:lineRule="auto" w:line="240" w:before="80" w:after="0"/>
        <w:jc w:val="center"/>
        <w:rPr/>
      </w:pPr>
      <w:r>
        <w:rPr/>
        <w:drawing>
          <wp:inline distT="0" distB="0" distL="0" distR="0">
            <wp:extent cx="5219700" cy="3262630"/>
            <wp:effectExtent l="0" t="0" r="0" b="0"/>
            <wp:docPr id="1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png"/>
                    <pic:cNvPicPr>
                      <a:picLocks noChangeAspect="1" noChangeArrowheads="1"/>
                    </pic:cNvPicPr>
                  </pic:nvPicPr>
                  <pic:blipFill>
                    <a:blip r:embed="rId16"/>
                    <a:stretch>
                      <a:fillRect/>
                    </a:stretch>
                  </pic:blipFill>
                  <pic:spPr bwMode="auto">
                    <a:xfrm>
                      <a:off x="0" y="0"/>
                      <a:ext cx="5219700" cy="3262630"/>
                    </a:xfrm>
                    <a:prstGeom prst="rect">
                      <a:avLst/>
                    </a:prstGeom>
                    <a:noFill/>
                  </pic:spPr>
                </pic:pic>
              </a:graphicData>
            </a:graphic>
          </wp:inline>
        </w:drawing>
      </w:r>
    </w:p>
    <w:p>
      <w:pPr>
        <w:pStyle w:val="normal1"/>
        <w:spacing w:lineRule="auto" w:line="240" w:before="40" w:after="160"/>
        <w:jc w:val="center"/>
        <w:rPr>
          <w:b/>
          <w:bCs/>
        </w:rPr>
      </w:pPr>
      <w:r>
        <w:rPr>
          <w:b/>
          <w:bCs/>
          <w:i/>
          <w:iCs/>
          <w:sz w:val="22"/>
          <w:szCs w:val="22"/>
        </w:rPr>
        <w:t>Şekil 5.1. Modellerin ortalama ROC-AUC karşılaştırması (Macro F1 için Şekil 4.1'in tamamlayıcısı).</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 xml:space="preserve">Çalışmanın sonuçları üç temel noktayı destekler niteliktedir. İlki, hasta seviyesindeki veri sızıntısını engelleyen sıkı bir doğrulama yapısı kurulmuş olmasına rağmen model performansının klinik açıdan makul aralıkta kalmasıdır. ET modelinin 0.847 ortalama </w:t>
      </w:r>
      <w:r>
        <w:rPr/>
        <w:t>Macro F1</w:t>
      </w:r>
      <w:r>
        <w:rPr>
          <w:rFonts w:eastAsia="Times New Roman" w:cs="Times New Roman"/>
          <w:b w:val="false"/>
          <w:bCs w:val="false"/>
          <w:i w:val="false"/>
          <w:iCs w:val="false"/>
          <w:sz w:val="24"/>
          <w:szCs w:val="24"/>
        </w:rPr>
        <w:t xml:space="preserve"> değerine ulaşması, küçük örneklemli bir radyomik veri seti için oldukça tatmin edicidir. İkincisi, kalibre edilmiş baz modellerin birbirlerine yakın karar yüzeyleri öğrenmesi nedeniyle soft voting topluluğunun en iyi tek modeli geride bırakamamış olmasıdır. </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
    </w:p>
    <w:p>
      <w:pPr>
        <w:pStyle w:val="normal1"/>
        <w:spacing w:lineRule="auto" w:line="360" w:before="160" w:after="60"/>
        <w:jc w:val="start"/>
        <w:rPr/>
      </w:pPr>
      <w:r>
        <w:rPr>
          <w:rFonts w:eastAsia="Times New Roman" w:cs="Times New Roman"/>
          <w:b/>
          <w:bCs/>
          <w:sz w:val="24"/>
          <w:szCs w:val="24"/>
        </w:rPr>
        <w:t>5.1. Modellerin Tekrarlar Arası Tutarlılığı</w:t>
      </w:r>
    </w:p>
    <w:p>
      <w:pPr>
        <w:pStyle w:val="normal1"/>
        <w:spacing w:lineRule="auto" w:line="360" w:before="0" w:after="60"/>
        <w:ind w:hanging="0" w:start="0"/>
        <w:jc w:val="both"/>
        <w:rPr/>
      </w:pPr>
      <w:r>
        <w:rPr>
          <w:rFonts w:eastAsia="Times New Roman" w:cs="Times New Roman"/>
          <w:b w:val="false"/>
          <w:bCs w:val="false"/>
          <w:i w:val="false"/>
          <w:iCs w:val="false"/>
          <w:sz w:val="24"/>
          <w:szCs w:val="24"/>
        </w:rPr>
        <w:t xml:space="preserve">Bir modelin küçük veri setinde gerçekten kullanılabilir olup olmadığını yalnızca ortalama performansa bakarak söylemek yanıltıcı olabilir. Aynı ortalamayı veren iki model, tekrarlar arasında çok farklı kararlılık sergileyebilir. Şekil 5.2 yedi modelin 20 dış tekrardaki </w:t>
      </w:r>
      <w:r>
        <w:rPr/>
        <w:t>Macro F1</w:t>
      </w:r>
      <w:r>
        <w:rPr>
          <w:rFonts w:eastAsia="Times New Roman" w:cs="Times New Roman"/>
          <w:b w:val="false"/>
          <w:bCs w:val="false"/>
          <w:i w:val="false"/>
          <w:iCs w:val="false"/>
          <w:sz w:val="24"/>
          <w:szCs w:val="24"/>
        </w:rPr>
        <w:t xml:space="preserve"> dağılımını boxplot biçiminde sunmaktadır.</w:t>
      </w:r>
    </w:p>
    <w:p>
      <w:pPr>
        <w:pStyle w:val="normal1"/>
        <w:spacing w:lineRule="auto" w:line="240" w:before="80" w:after="0"/>
        <w:jc w:val="center"/>
        <w:rPr/>
      </w:pPr>
      <w:r>
        <w:rPr/>
        <w:drawing>
          <wp:inline distT="0" distB="0" distL="0" distR="0">
            <wp:extent cx="5579745" cy="2564765"/>
            <wp:effectExtent l="0" t="0" r="0" b="0"/>
            <wp:docPr id="1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a:picLocks noChangeAspect="1" noChangeArrowheads="1"/>
                    </pic:cNvPicPr>
                  </pic:nvPicPr>
                  <pic:blipFill>
                    <a:blip r:embed="rId17"/>
                    <a:stretch>
                      <a:fillRect/>
                    </a:stretch>
                  </pic:blipFill>
                  <pic:spPr bwMode="auto">
                    <a:xfrm>
                      <a:off x="0" y="0"/>
                      <a:ext cx="5579745" cy="2564765"/>
                    </a:xfrm>
                    <a:prstGeom prst="rect">
                      <a:avLst/>
                    </a:prstGeom>
                    <a:noFill/>
                  </pic:spPr>
                </pic:pic>
              </a:graphicData>
            </a:graphic>
          </wp:inline>
        </w:drawing>
      </w:r>
    </w:p>
    <w:p>
      <w:pPr>
        <w:pStyle w:val="normal1"/>
        <w:spacing w:lineRule="auto" w:line="240" w:before="40" w:after="160"/>
        <w:jc w:val="center"/>
        <w:rPr>
          <w:b/>
          <w:bCs/>
        </w:rPr>
      </w:pPr>
      <w:r>
        <w:rPr>
          <w:b/>
          <w:bCs/>
          <w:i/>
          <w:iCs/>
          <w:sz w:val="22"/>
          <w:szCs w:val="22"/>
        </w:rPr>
        <w:t>Şekil 5.2. Modellerin 20 dış tekrardaki Macro F1 dağılımı.</w:t>
      </w:r>
    </w:p>
    <w:p>
      <w:pPr>
        <w:pStyle w:val="normal1"/>
        <w:spacing w:lineRule="auto" w:line="360" w:before="0" w:after="60"/>
        <w:ind w:hanging="0" w:start="0"/>
        <w:jc w:val="both"/>
        <w:rPr/>
      </w:pPr>
      <w:r>
        <w:rPr/>
      </w:r>
    </w:p>
    <w:p>
      <w:pPr>
        <w:pStyle w:val="normal1"/>
        <w:spacing w:lineRule="auto" w:line="360" w:before="0" w:after="60"/>
        <w:ind w:hanging="0" w:start="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t>Görselden iki önemli nokta ortaya çıkmaktadır. Birincisi, ET, RF, Ensemble ve SVM modellerinin kutu yükseklikleri (IQR) görece dardır</w:t>
      </w:r>
      <w:r>
        <w:rPr/>
        <w:t>,</w:t>
      </w:r>
      <w:r>
        <w:rPr>
          <w:rFonts w:eastAsia="Times New Roman" w:cs="Times New Roman"/>
          <w:b w:val="false"/>
          <w:bCs w:val="false"/>
          <w:i w:val="false"/>
          <w:iCs w:val="false"/>
          <w:sz w:val="24"/>
          <w:szCs w:val="24"/>
        </w:rPr>
        <w:t xml:space="preserve"> bu modeller farklı dış tekrarlarda benzer performans göstermekte, dolayısıyla küçük örneklemde dahi kararlı davranmaktadır. İkincisi ise GB modelinin kutusu diğerlerinden açık biçimde geniş ve aşağı doğru yayılmıştır. Bu durum, modelin bazı dış tekrarlarda 0.5 civarına kadar düşebildiğini göstermektedir</w:t>
      </w:r>
      <w:r>
        <w:rPr/>
        <w:t>,</w:t>
      </w:r>
      <w:r>
        <w:rPr>
          <w:rFonts w:eastAsia="Times New Roman" w:cs="Times New Roman"/>
          <w:b w:val="false"/>
          <w:bCs w:val="false"/>
          <w:i w:val="false"/>
          <w:iCs w:val="false"/>
          <w:sz w:val="24"/>
          <w:szCs w:val="24"/>
        </w:rPr>
        <w:t xml:space="preserve"> yani aynı model bir tekrarda iyi sonuç verirken bir başka rastgele bölmede beklenmedik biçimde kötü olabilmektedir. Bu örüntü GB modelinin az veriye duyarlı yapısının doğrudan bir yansımasıdır. Klinik bir uygulamada tek tek dış tekrarlardaki performansın ortalamanın altında kalmaması istenir</w:t>
      </w:r>
      <w:r>
        <w:rPr/>
        <w:t>,</w:t>
      </w:r>
      <w:r>
        <w:rPr>
          <w:rFonts w:eastAsia="Times New Roman" w:cs="Times New Roman"/>
          <w:b w:val="false"/>
          <w:bCs w:val="false"/>
          <w:i w:val="false"/>
          <w:iCs w:val="false"/>
          <w:sz w:val="24"/>
          <w:szCs w:val="24"/>
        </w:rPr>
        <w:t xml:space="preserve"> bu yüzden modellerin tutarlılığı klinik değerlendirmede ortalamadan en az kadar önemlidir.</w:t>
      </w:r>
    </w:p>
    <w:p>
      <w:pPr>
        <w:pStyle w:val="normal1"/>
        <w:spacing w:lineRule="auto" w:line="360" w:before="0" w:after="60"/>
        <w:ind w:hanging="0" w:start="0"/>
        <w:jc w:val="both"/>
        <w:rPr/>
      </w:pPr>
      <w:r>
        <w:rPr/>
      </w:r>
      <w:r>
        <w:br w:type="page"/>
      </w:r>
    </w:p>
    <w:p>
      <w:pPr>
        <w:pStyle w:val="normal1"/>
        <w:spacing w:lineRule="auto" w:line="360" w:before="0" w:after="160"/>
        <w:jc w:val="start"/>
        <w:rPr/>
      </w:pPr>
      <w:r>
        <w:rPr>
          <w:rFonts w:eastAsia="Times New Roman" w:cs="Times New Roman"/>
          <w:b/>
          <w:bCs/>
          <w:sz w:val="28"/>
          <w:szCs w:val="28"/>
        </w:rPr>
        <w:t>6. SONUÇ</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Bu projede, optik diskten çıkarılmış radyomik özellikler üzerinden Normal ile Papilödem ayrımını yapan, hasta seviyesindeki veri sızıntısını sistematik biçimde engelleyen, 20 dış tekrar ve 5 iç fold üzerine kurulu, kalibrasyonlu ve yorumlanabilir bir makine öğrenmesi sistemi geliştirilmiştir. Sistem, MRMR özellik seçimi, Optuna ile hiperparametre arama, sigmoid kalibrasyon ve soft voting topluluk aşamalarını tek bir çerçeve içinde bir araya getirmektedir. Pipeline'ın tam çalışması yaklaşık 85 dakika sürmüş</w:t>
      </w:r>
      <w:r>
        <w:rPr/>
        <w:t>,</w:t>
      </w:r>
      <w:r>
        <w:rPr>
          <w:rFonts w:eastAsia="Times New Roman" w:cs="Times New Roman"/>
          <w:b w:val="false"/>
          <w:bCs w:val="false"/>
          <w:i w:val="false"/>
          <w:iCs w:val="false"/>
          <w:sz w:val="24"/>
          <w:szCs w:val="24"/>
        </w:rPr>
        <w:t xml:space="preserve"> en yüksek ortalama makro-F1 değerine ET modeli (0.847) ile ulaşılmıştır.</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Elde edilen bulgular, kurulan sıkı doğrulama yapısına rağmen radyomik özellikler üzerinden papilödem tespitinin klinik açıdan anlamlı bir doğrulukla yapılabildiğini göstermektedir. Modellerin ortalama ROC-AUC değerleri 0.88 ile 0.93 arasında yoğunlaşmış</w:t>
      </w:r>
      <w:r>
        <w:rPr/>
        <w:t>,</w:t>
      </w:r>
      <w:r>
        <w:rPr>
          <w:rFonts w:eastAsia="Times New Roman" w:cs="Times New Roman"/>
          <w:b w:val="false"/>
          <w:bCs w:val="false"/>
          <w:i w:val="false"/>
          <w:iCs w:val="false"/>
          <w:sz w:val="24"/>
          <w:szCs w:val="24"/>
        </w:rPr>
        <w:t xml:space="preserve"> PR-AUC değerleri de aynı şekilde yüksek seyretmiştir. Bu durum, kullanılan radyomik özellik kümesinin iki sınıfı ayırt edecek yeterli bilgi taşıdığını ortaya koymaktadır. Sınıf dengesizliği koşullarına rağmen balanced accuracy değerlerinin de yüksek kalması, modellerin azınlık sınıfı (papilödem) gözden kaçırmadığını desteklemektedir. Çalışma sonucunda elde edilen modellerin çok boyutlu performans profili Şekil 6.1'de özetlenmiştir.</w:t>
      </w:r>
    </w:p>
    <w:p>
      <w:pPr>
        <w:pStyle w:val="normal1"/>
        <w:spacing w:lineRule="auto" w:line="240" w:before="80" w:after="0"/>
        <w:jc w:val="center"/>
        <w:rPr/>
      </w:pPr>
      <w:r>
        <w:rPr/>
        <w:drawing>
          <wp:inline distT="0" distB="0" distL="0" distR="0">
            <wp:extent cx="5219700" cy="4809490"/>
            <wp:effectExtent l="0" t="0" r="0" b="0"/>
            <wp:docPr id="1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png"/>
                    <pic:cNvPicPr>
                      <a:picLocks noChangeAspect="1" noChangeArrowheads="1"/>
                    </pic:cNvPicPr>
                  </pic:nvPicPr>
                  <pic:blipFill>
                    <a:blip r:embed="rId18"/>
                    <a:stretch>
                      <a:fillRect/>
                    </a:stretch>
                  </pic:blipFill>
                  <pic:spPr bwMode="auto">
                    <a:xfrm>
                      <a:off x="0" y="0"/>
                      <a:ext cx="5219700" cy="4809490"/>
                    </a:xfrm>
                    <a:prstGeom prst="rect">
                      <a:avLst/>
                    </a:prstGeom>
                    <a:noFill/>
                  </pic:spPr>
                </pic:pic>
              </a:graphicData>
            </a:graphic>
          </wp:inline>
        </w:drawing>
      </w:r>
    </w:p>
    <w:p>
      <w:pPr>
        <w:pStyle w:val="normal1"/>
        <w:spacing w:lineRule="auto" w:line="240" w:before="40" w:after="160"/>
        <w:jc w:val="center"/>
        <w:rPr>
          <w:b/>
          <w:bCs/>
        </w:rPr>
      </w:pPr>
      <w:r>
        <w:rPr>
          <w:b/>
          <w:bCs/>
          <w:i/>
          <w:iCs/>
          <w:sz w:val="22"/>
          <w:szCs w:val="22"/>
        </w:rPr>
        <w:t>Şekil 6.1. En iyi üç model ve Ensemble modelinin çok-metrik performans profili (Brier hariç tüm metrikler).</w:t>
      </w:r>
    </w:p>
    <w:p>
      <w:pPr>
        <w:pStyle w:val="normal1"/>
        <w:spacing w:lineRule="auto" w:line="360" w:before="0" w:after="60"/>
        <w:ind w:hanging="0" w:start="0"/>
        <w:jc w:val="both"/>
        <w:rPr/>
      </w:pPr>
      <w:r>
        <w:rPr>
          <w:rFonts w:eastAsia="Times New Roman" w:cs="Times New Roman"/>
          <w:b w:val="false"/>
          <w:bCs w:val="false"/>
          <w:i w:val="false"/>
          <w:iCs w:val="false"/>
          <w:sz w:val="24"/>
          <w:szCs w:val="24"/>
        </w:rPr>
        <w:t>Şekil 6.1'deki radar grafiği, tek bir metrik üzerinden değil birden fazla metriğin birlikte değerlendirilmesi yoluyla modellerin güçlü ve zayıf yönlerini aynı anda görmeyi mümkün kılmaktadır. ET modeli neredeyse her metrik ekseninde diğerleriyle ya birlikte ya da hafifçe önde konumlanmaktadır. Ensemble ve RF modellerinin de çoğu metrikte ET ile rekabet edebildiği fark edilmektedir.</w:t>
      </w:r>
    </w:p>
    <w:p>
      <w:pPr>
        <w:pStyle w:val="normal1"/>
        <w:spacing w:lineRule="auto" w:line="240" w:before="0" w:after="40"/>
        <w:jc w:val="center"/>
        <w:rPr/>
      </w:pPr>
      <w:r>
        <w:rPr/>
        <w:drawing>
          <wp:inline distT="0" distB="0" distL="0" distR="0">
            <wp:extent cx="5579745" cy="2321560"/>
            <wp:effectExtent l="0" t="0" r="0" b="0"/>
            <wp:docPr id="18"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a:picLocks noChangeAspect="1" noChangeArrowheads="1"/>
                    </pic:cNvPicPr>
                  </pic:nvPicPr>
                  <pic:blipFill>
                    <a:blip r:embed="rId19"/>
                    <a:stretch>
                      <a:fillRect/>
                    </a:stretch>
                  </pic:blipFill>
                  <pic:spPr bwMode="auto">
                    <a:xfrm>
                      <a:off x="0" y="0"/>
                      <a:ext cx="5579745" cy="2321560"/>
                    </a:xfrm>
                    <a:prstGeom prst="rect">
                      <a:avLst/>
                    </a:prstGeom>
                    <a:noFill/>
                  </pic:spPr>
                </pic:pic>
              </a:graphicData>
            </a:graphic>
          </wp:inline>
        </w:drawing>
      </w:r>
    </w:p>
    <w:p>
      <w:pPr>
        <w:pStyle w:val="normal1"/>
        <w:spacing w:lineRule="auto" w:line="360" w:before="0" w:after="200"/>
        <w:jc w:val="center"/>
        <w:rPr/>
      </w:pPr>
      <w:r>
        <w:rPr>
          <w:rFonts w:eastAsia="Times New Roman" w:cs="Times New Roman"/>
          <w:b/>
          <w:bCs/>
          <w:i w:val="false"/>
          <w:iCs w:val="false"/>
          <w:sz w:val="22"/>
          <w:szCs w:val="22"/>
        </w:rPr>
        <w:t>Şekil 6.2. Kümülatif ortalama ve standart sapmanın tekrar sayısı ile değişimi.</w:t>
      </w:r>
    </w:p>
    <w:p>
      <w:pPr>
        <w:pStyle w:val="normal1"/>
        <w:spacing w:lineRule="auto" w:line="360" w:before="0" w:after="120"/>
        <w:jc w:val="both"/>
        <w:rPr/>
      </w:pPr>
      <w:r>
        <w:rPr>
          <w:rFonts w:eastAsia="Times New Roman" w:cs="Times New Roman"/>
          <w:b w:val="false"/>
          <w:bCs w:val="false"/>
          <w:i w:val="false"/>
          <w:iCs w:val="false"/>
          <w:sz w:val="24"/>
          <w:szCs w:val="24"/>
        </w:rPr>
        <w:t xml:space="preserve">Şekil 6.2'de modellerin kümülatif ortalama </w:t>
      </w:r>
      <w:r>
        <w:rPr/>
        <w:t>Macro F1</w:t>
      </w:r>
      <w:r>
        <w:rPr>
          <w:rFonts w:eastAsia="Times New Roman" w:cs="Times New Roman"/>
          <w:b w:val="false"/>
          <w:bCs w:val="false"/>
          <w:i w:val="false"/>
          <w:iCs w:val="false"/>
          <w:sz w:val="24"/>
          <w:szCs w:val="24"/>
        </w:rPr>
        <w:t xml:space="preserve"> ve standart sapma değerlerinin tekrar sayısı arttıkça nasıl oturduğu gösterilmektedir. Eğrilerin son tekrarlara doğru düz bir seyre kavuşması, 20 dış tekrarın hem ortalama hem de varyans kestirimleri için yeterli bir hacim sağladığını ortaya koymaktadır.</w:t>
      </w:r>
    </w:p>
    <w:p>
      <w:pPr>
        <w:pStyle w:val="normal1"/>
        <w:spacing w:lineRule="auto" w:line="360" w:before="0" w:after="60"/>
        <w:ind w:hanging="0" w:start="0"/>
        <w:jc w:val="both"/>
        <w:rPr/>
      </w:pPr>
      <w:r>
        <w:rPr/>
      </w:r>
    </w:p>
    <w:p>
      <w:pPr>
        <w:pStyle w:val="normal1"/>
        <w:spacing w:lineRule="auto" w:line="360" w:before="0" w:after="60"/>
        <w:ind w:hanging="0" w:start="0"/>
        <w:jc w:val="both"/>
        <w:rPr/>
      </w:pPr>
      <w:r>
        <w:rPr>
          <w:rFonts w:eastAsia="Times New Roman" w:cs="Times New Roman"/>
          <w:b w:val="false"/>
          <w:bCs w:val="false"/>
          <w:i w:val="false"/>
          <w:iCs w:val="false"/>
          <w:sz w:val="24"/>
          <w:szCs w:val="24"/>
        </w:rPr>
        <w:t>Çalışmanın metodolojik açıdan en güçlü yanlarından biri, veri sızıntısının her aşamada (dış bölme, iç çapraz doğrulama, kalibrasyon ve eşik seçimi) sistematik olarak engellenmiş olmasıdır. Sigmoid kalibrasyonun ardından tüm modellerin Brier skorlarının dar bir aralıkta toplanması ve kalibrasyon eğrilerinin diyagonale yakın kalması, üretilen olasılık tahminlerinin güvenilir olduğunu göstermektedir. Ayrıca SHAP analizi ile elde edilen yorumlanabilirlik katmanı, modelin karar süreçlerinin klinik açıdan değerlendirilebilir olmasına imkân tanımaktadır.</w:t>
      </w:r>
      <w:r>
        <w:br w:type="page"/>
      </w:r>
    </w:p>
    <w:p>
      <w:pPr>
        <w:pStyle w:val="normal1"/>
        <w:spacing w:lineRule="auto" w:line="360" w:before="0" w:after="160"/>
        <w:jc w:val="start"/>
        <w:rPr/>
      </w:pPr>
      <w:r>
        <w:rPr>
          <w:rFonts w:eastAsia="Times New Roman" w:cs="Times New Roman"/>
          <w:b/>
          <w:bCs/>
          <w:sz w:val="28"/>
          <w:szCs w:val="28"/>
        </w:rPr>
        <w:t>KAYNAKLAR</w:t>
      </w:r>
    </w:p>
    <w:p>
      <w:pPr>
        <w:pStyle w:val="normal1"/>
        <w:spacing w:lineRule="auto" w:line="276" w:before="0" w:after="120"/>
        <w:ind w:hanging="0" w:start="454"/>
        <w:jc w:val="both"/>
        <w:rPr/>
      </w:pPr>
      <w:r>
        <w:rPr>
          <w:rFonts w:eastAsia="Times New Roman" w:cs="Times New Roman"/>
          <w:sz w:val="22"/>
          <w:szCs w:val="22"/>
        </w:rPr>
        <w:t>[1]  Demircioğlu A. Benchmarking Feature Selection Methods in Radiomics. Investigative Radiology, 2022.</w:t>
      </w:r>
    </w:p>
    <w:p>
      <w:pPr>
        <w:pStyle w:val="normal1"/>
        <w:spacing w:lineRule="auto" w:line="276" w:before="0" w:after="120"/>
        <w:ind w:hanging="0" w:start="454"/>
        <w:jc w:val="both"/>
        <w:rPr/>
      </w:pPr>
      <w:r>
        <w:rPr>
          <w:rFonts w:eastAsia="Times New Roman" w:cs="Times New Roman"/>
          <w:sz w:val="22"/>
          <w:szCs w:val="22"/>
        </w:rPr>
        <w:t>[2]  Demircioğlu A. The effect of data resampling methods in radiomics. Scientific Reports, 2024.</w:t>
      </w:r>
    </w:p>
    <w:p>
      <w:pPr>
        <w:pStyle w:val="normal1"/>
        <w:spacing w:lineRule="auto" w:line="276" w:before="0" w:after="120"/>
        <w:ind w:hanging="0" w:start="454"/>
        <w:jc w:val="both"/>
        <w:rPr/>
      </w:pPr>
      <w:r>
        <w:rPr>
          <w:rFonts w:eastAsia="Times New Roman" w:cs="Times New Roman"/>
          <w:sz w:val="22"/>
          <w:szCs w:val="22"/>
        </w:rPr>
        <w:t>[3]  Shenoy R., Samra G.S., Sekhri R., et al. Clinician-Led Code-Free Deep Learning for Detecting Papilledema and Pseudopapilledema Using Optic Disc Imaging. Translational Vision Science &amp; Technology, 2026.</w:t>
      </w:r>
    </w:p>
    <w:p>
      <w:pPr>
        <w:pStyle w:val="normal1"/>
        <w:spacing w:lineRule="auto" w:line="276" w:before="0" w:after="120"/>
        <w:ind w:hanging="0" w:start="454"/>
        <w:jc w:val="both"/>
        <w:rPr/>
      </w:pPr>
      <w:r>
        <w:rPr>
          <w:rFonts w:eastAsia="Times New Roman" w:cs="Times New Roman"/>
          <w:sz w:val="22"/>
          <w:szCs w:val="22"/>
        </w:rPr>
        <w:t>[4]  Szanto D., Erekat A., Woods B., et al. Multimodal Deep Learning Differentiates Papilledema and Non-Arteritic Anterior Ischemic Optic Neuropathy From Healthy Eyes. IOVS, 2026.</w:t>
      </w:r>
    </w:p>
    <w:p>
      <w:pPr>
        <w:pStyle w:val="normal1"/>
        <w:spacing w:lineRule="auto" w:line="276" w:before="0" w:after="120"/>
        <w:ind w:hanging="0" w:start="454"/>
        <w:jc w:val="both"/>
        <w:rPr/>
      </w:pPr>
      <w:r>
        <w:rPr>
          <w:rFonts w:eastAsia="Times New Roman" w:cs="Times New Roman"/>
          <w:sz w:val="22"/>
          <w:szCs w:val="22"/>
        </w:rPr>
        <w:t>[5]  Girard M.J.A., Panda S., Tun T.A., et al. Discriminating Between Papilledema and Optic Disc Drusen Using 3D Structural Analysis of the Optic Nerve Head. Neurology, 2023.</w:t>
      </w:r>
    </w:p>
    <w:p>
      <w:pPr>
        <w:pStyle w:val="normal1"/>
        <w:spacing w:lineRule="auto" w:line="276" w:before="0" w:after="120"/>
        <w:ind w:hanging="0" w:start="454"/>
        <w:jc w:val="both"/>
        <w:rPr/>
      </w:pPr>
      <w:r>
        <w:rPr>
          <w:rFonts w:eastAsia="Times New Roman" w:cs="Times New Roman"/>
          <w:sz w:val="22"/>
          <w:szCs w:val="22"/>
        </w:rPr>
        <w:t>[6]  Tang G., Du L., Ling S., Che Y., Chen X. Multi-type classification of lung nodules based on CT radiomics and ensemble learning for diversity weighting. Quantitative Imaging in Medicine and Surgery, 2024.</w:t>
      </w:r>
    </w:p>
    <w:p>
      <w:pPr>
        <w:pStyle w:val="normal1"/>
        <w:spacing w:lineRule="auto" w:line="276" w:before="0" w:after="120"/>
        <w:ind w:hanging="0" w:start="454"/>
        <w:jc w:val="both"/>
        <w:rPr/>
      </w:pPr>
      <w:r>
        <w:rPr>
          <w:rFonts w:eastAsia="Times New Roman" w:cs="Times New Roman"/>
          <w:sz w:val="22"/>
          <w:szCs w:val="22"/>
        </w:rPr>
        <w:t>[7]  Pedregosa F., Varoquaux G., Gramfort A., et al. Scikit-learn: Machine Learning in Python. Journal of Machine Learning Research, 12: 2825-2830, 2011.</w:t>
      </w:r>
    </w:p>
    <w:p>
      <w:pPr>
        <w:pStyle w:val="normal1"/>
        <w:spacing w:lineRule="auto" w:line="276" w:before="0" w:after="120"/>
        <w:ind w:hanging="0" w:start="454"/>
        <w:jc w:val="both"/>
        <w:rPr/>
      </w:pPr>
      <w:r>
        <w:rPr>
          <w:rFonts w:eastAsia="Times New Roman" w:cs="Times New Roman"/>
          <w:sz w:val="22"/>
          <w:szCs w:val="22"/>
        </w:rPr>
        <w:t>[8]  Akiba T., Sano S., Yanase T., Ohta T., Koyama M. Optuna: A Next-generation Hyperparameter Optimization Framework. ACM SIGKDD, 2019.</w:t>
      </w:r>
    </w:p>
    <w:p>
      <w:pPr>
        <w:pStyle w:val="normal1"/>
        <w:spacing w:lineRule="auto" w:line="276" w:before="0" w:after="120"/>
        <w:ind w:hanging="0" w:start="454"/>
        <w:jc w:val="both"/>
        <w:rPr/>
      </w:pPr>
      <w:r>
        <w:rPr>
          <w:rFonts w:eastAsia="Times New Roman" w:cs="Times New Roman"/>
          <w:sz w:val="22"/>
          <w:szCs w:val="22"/>
        </w:rPr>
        <w:t>[9]  Lundberg S.M., Lee S.I. A Unified Approach to Interpreting Model Predictions. NeurIPS, 2017.</w:t>
      </w:r>
    </w:p>
    <w:p>
      <w:pPr>
        <w:pStyle w:val="normal1"/>
        <w:spacing w:lineRule="auto" w:line="276" w:before="0" w:after="120"/>
        <w:ind w:hanging="0" w:start="454"/>
        <w:jc w:val="both"/>
        <w:rPr/>
      </w:pPr>
      <w:r>
        <w:rPr>
          <w:rFonts w:eastAsia="Times New Roman" w:cs="Times New Roman"/>
          <w:sz w:val="22"/>
          <w:szCs w:val="22"/>
        </w:rPr>
        <w:t>[10]  Peng H., Long F., Ding C. Feature selection based on mutual information: criteria of max-dependency, max-relevance, and min-redundancy. IEEE TPAMI, 27(8): 1226-1238, 2005.</w:t>
      </w:r>
    </w:p>
    <w:p>
      <w:pPr>
        <w:pStyle w:val="normal1"/>
        <w:spacing w:lineRule="auto" w:line="276" w:before="0" w:after="120"/>
        <w:ind w:hanging="0" w:start="454"/>
        <w:jc w:val="both"/>
        <w:rPr/>
      </w:pPr>
      <w:r>
        <w:rPr>
          <w:rFonts w:eastAsia="Times New Roman" w:cs="Times New Roman"/>
          <w:sz w:val="22"/>
          <w:szCs w:val="22"/>
        </w:rPr>
        <w:t>[11]  Platt J.C. Probabilistic outputs for support vector machines and comparisons to regularized likelihood methods. Advances in Large Margin Classifiers, 10(3): 61-74, 1999.</w:t>
      </w:r>
    </w:p>
    <w:p>
      <w:pPr>
        <w:pStyle w:val="normal1"/>
        <w:spacing w:lineRule="auto" w:line="276" w:before="0" w:after="120"/>
        <w:ind w:hanging="0" w:start="454"/>
        <w:jc w:val="both"/>
        <w:rPr/>
      </w:pPr>
      <w:r>
        <w:rPr>
          <w:rFonts w:eastAsia="Times New Roman" w:cs="Times New Roman"/>
          <w:sz w:val="22"/>
          <w:szCs w:val="22"/>
        </w:rPr>
        <w:t>[12]  Fang S.S., Chen S.H. AI-assisted diagnosis of neuro-ophthalmic disorders: a systematic review from optic neuritis to papilledema. BMC Ophthalmology, 2026.</w:t>
      </w:r>
      <w:r>
        <w:br w:type="page"/>
      </w:r>
    </w:p>
    <w:p>
      <w:pPr>
        <w:pStyle w:val="normal1"/>
        <w:spacing w:lineRule="auto" w:line="360" w:before="0" w:after="160"/>
        <w:jc w:val="start"/>
        <w:rPr/>
      </w:pPr>
      <w:r>
        <w:rPr>
          <w:rFonts w:eastAsia="Times New Roman" w:cs="Times New Roman"/>
          <w:b/>
          <w:bCs/>
          <w:sz w:val="28"/>
          <w:szCs w:val="28"/>
        </w:rPr>
        <w:t>EKLER: KOD ÖRNEKLERİ</w:t>
      </w:r>
    </w:p>
    <w:p>
      <w:pPr>
        <w:pStyle w:val="normal1"/>
        <w:spacing w:lineRule="auto" w:line="360" w:before="0" w:after="60"/>
        <w:jc w:val="both"/>
        <w:rPr/>
      </w:pPr>
      <w:r>
        <w:rPr>
          <w:rFonts w:eastAsia="Times New Roman" w:cs="Times New Roman"/>
          <w:b w:val="false"/>
          <w:bCs w:val="false"/>
          <w:i w:val="false"/>
          <w:iCs w:val="false"/>
          <w:sz w:val="24"/>
          <w:szCs w:val="24"/>
        </w:rPr>
        <w:t>Bu ek bölümde projenin kritik kısımlarını gösteren bazı kod parçaları yer almaktadır. Tüm kaynak kod GitHub deposundan incelenebilir.</w:t>
      </w:r>
    </w:p>
    <w:p>
      <w:pPr>
        <w:pStyle w:val="normal1"/>
        <w:spacing w:lineRule="auto" w:line="360" w:before="160" w:after="60"/>
        <w:jc w:val="start"/>
        <w:rPr/>
      </w:pPr>
      <w:r>
        <w:rPr>
          <w:rFonts w:eastAsia="Times New Roman" w:cs="Times New Roman"/>
          <w:b/>
          <w:bCs/>
          <w:sz w:val="24"/>
          <w:szCs w:val="24"/>
        </w:rPr>
        <w:t>EK 1. Hasta ID Birleştirme ve Bütünlük Kontrolü</w:t>
      </w:r>
    </w:p>
    <w:p>
      <w:pPr>
        <w:pStyle w:val="normal1"/>
        <w:spacing w:lineRule="auto" w:line="360" w:before="0" w:after="60"/>
        <w:jc w:val="both"/>
        <w:rPr/>
      </w:pPr>
      <w:r>
        <w:rPr>
          <w:rFonts w:eastAsia="Times New Roman" w:cs="Times New Roman"/>
          <w:b w:val="false"/>
          <w:bCs w:val="false"/>
          <w:i w:val="false"/>
          <w:iCs w:val="false"/>
          <w:sz w:val="24"/>
          <w:szCs w:val="24"/>
        </w:rPr>
        <w:t>Aynı `PatientIndex` değeri her iki dosyada da bulunduğundan, doğrudan birleştirme aynı kimliğin iki farklı hastayı tanımlaması riskini doğurmaktadır. Bu sorunun önüne geçmek amacıyla normal hastalara `N_`, papilödem hastalarına `P_` ön eki eklenmiştir:</w:t>
      </w:r>
    </w:p>
    <w:tbl>
      <w:tblPr>
        <w:tblStyle w:val="Table6"/>
        <w:tblW w:w="8221" w:type="dxa"/>
        <w:jc w:val="center"/>
        <w:tblInd w:w="0" w:type="dxa"/>
        <w:tblLayout w:type="fixed"/>
        <w:tblCellMar>
          <w:top w:w="0" w:type="dxa"/>
          <w:start w:w="108" w:type="dxa"/>
          <w:bottom w:w="0" w:type="dxa"/>
          <w:end w:w="108" w:type="dxa"/>
        </w:tblCellMar>
        <w:tblLook w:val="0400"/>
      </w:tblPr>
      <w:tblGrid>
        <w:gridCol w:w="8221"/>
      </w:tblGrid>
      <w:tr>
        <w:trPr/>
        <w:tc>
          <w:tcPr>
            <w:tcW w:w="8221" w:type="dxa"/>
            <w:tcBorders>
              <w:top w:val="single" w:sz="4" w:space="0" w:color="C0C0C0"/>
              <w:start w:val="single" w:sz="4" w:space="0" w:color="C0C0C0"/>
              <w:bottom w:val="single" w:sz="4" w:space="0" w:color="C0C0C0"/>
              <w:end w:val="single" w:sz="4" w:space="0" w:color="C0C0C0"/>
            </w:tcBorders>
            <w:shd w:fill="F5F5F5" w:val="clear"/>
          </w:tcPr>
          <w:p>
            <w:pPr>
              <w:pStyle w:val="normal1"/>
              <w:spacing w:lineRule="auto" w:line="276" w:before="0" w:after="0"/>
              <w:jc w:val="start"/>
              <w:rPr/>
            </w:pPr>
            <w:r>
              <w:rPr>
                <w:rFonts w:eastAsia="Consolas" w:cs="Consolas" w:ascii="Consolas" w:hAnsi="Consolas"/>
                <w:sz w:val="20"/>
                <w:szCs w:val="20"/>
              </w:rPr>
              <w:t>def _prefix_patient_ids(df, prefix):</w:t>
            </w:r>
          </w:p>
          <w:p>
            <w:pPr>
              <w:pStyle w:val="normal1"/>
              <w:spacing w:lineRule="auto" w:line="276" w:before="0" w:after="0"/>
              <w:jc w:val="start"/>
              <w:rPr/>
            </w:pPr>
            <w:r>
              <w:rPr>
                <w:rFonts w:eastAsia="Consolas" w:cs="Consolas" w:ascii="Consolas" w:hAnsi="Consolas"/>
                <w:sz w:val="20"/>
                <w:szCs w:val="20"/>
              </w:rPr>
              <w:t xml:space="preserve">    </w:t>
            </w:r>
            <w:r>
              <w:rPr>
                <w:rFonts w:eastAsia="Consolas" w:cs="Consolas" w:ascii="Consolas" w:hAnsi="Consolas"/>
                <w:sz w:val="20"/>
                <w:szCs w:val="20"/>
              </w:rPr>
              <w:t>out = df.copy()</w:t>
            </w:r>
          </w:p>
          <w:p>
            <w:pPr>
              <w:pStyle w:val="normal1"/>
              <w:spacing w:lineRule="auto" w:line="276" w:before="0" w:after="0"/>
              <w:jc w:val="start"/>
              <w:rPr/>
            </w:pPr>
            <w:r>
              <w:rPr>
                <w:rFonts w:eastAsia="Consolas" w:cs="Consolas" w:ascii="Consolas" w:hAnsi="Consolas"/>
                <w:sz w:val="20"/>
                <w:szCs w:val="20"/>
              </w:rPr>
              <w:t xml:space="preserve">    </w:t>
            </w:r>
            <w:r>
              <w:rPr>
                <w:rFonts w:eastAsia="Consolas" w:cs="Consolas" w:ascii="Consolas" w:hAnsi="Consolas"/>
                <w:sz w:val="20"/>
                <w:szCs w:val="20"/>
              </w:rPr>
              <w:t>out["patient_id"] = prefix + "_" + out["PatientIndex"].astype(str)</w:t>
            </w:r>
          </w:p>
          <w:p>
            <w:pPr>
              <w:pStyle w:val="normal1"/>
              <w:spacing w:lineRule="auto" w:line="276" w:before="0" w:after="0"/>
              <w:jc w:val="start"/>
              <w:rPr/>
            </w:pPr>
            <w:r>
              <w:rPr>
                <w:rFonts w:eastAsia="Consolas" w:cs="Consolas" w:ascii="Consolas" w:hAnsi="Consolas"/>
                <w:sz w:val="20"/>
                <w:szCs w:val="20"/>
              </w:rPr>
              <w:t xml:space="preserve">    </w:t>
            </w:r>
            <w:r>
              <w:rPr>
                <w:rFonts w:eastAsia="Consolas" w:cs="Consolas" w:ascii="Consolas" w:hAnsi="Consolas"/>
                <w:sz w:val="20"/>
                <w:szCs w:val="20"/>
              </w:rPr>
              <w:t>return out</w:t>
            </w:r>
          </w:p>
          <w:p>
            <w:pPr>
              <w:pStyle w:val="normal1"/>
              <w:spacing w:lineRule="auto" w:line="276" w:before="0" w:after="0"/>
              <w:jc w:val="start"/>
              <w:rPr/>
            </w:pPr>
            <w:r>
              <w:rPr>
                <w:rFonts w:eastAsia="Consolas" w:cs="Consolas" w:ascii="Consolas" w:hAnsi="Consolas"/>
                <w:sz w:val="20"/>
                <w:szCs w:val="20"/>
              </w:rPr>
              <w:t xml:space="preserve"> </w:t>
            </w:r>
          </w:p>
          <w:p>
            <w:pPr>
              <w:pStyle w:val="normal1"/>
              <w:spacing w:lineRule="auto" w:line="276" w:before="0" w:after="0"/>
              <w:jc w:val="start"/>
              <w:rPr/>
            </w:pPr>
            <w:r>
              <w:rPr>
                <w:rFonts w:eastAsia="Consolas" w:cs="Consolas" w:ascii="Consolas" w:hAnsi="Consolas"/>
                <w:sz w:val="20"/>
                <w:szCs w:val="20"/>
              </w:rPr>
              <w:t>normal = _prefix_patient_ids(normal, "N")</w:t>
            </w:r>
          </w:p>
          <w:p>
            <w:pPr>
              <w:pStyle w:val="normal1"/>
              <w:spacing w:lineRule="auto" w:line="276" w:before="0" w:after="0"/>
              <w:jc w:val="start"/>
              <w:rPr/>
            </w:pPr>
            <w:r>
              <w:rPr>
                <w:rFonts w:eastAsia="Consolas" w:cs="Consolas" w:ascii="Consolas" w:hAnsi="Consolas"/>
                <w:sz w:val="20"/>
                <w:szCs w:val="20"/>
              </w:rPr>
              <w:t>papil  = _prefix_patient_ids(papil,  "P")</w:t>
            </w:r>
          </w:p>
          <w:p>
            <w:pPr>
              <w:pStyle w:val="normal1"/>
              <w:spacing w:lineRule="auto" w:line="276" w:before="0" w:after="0"/>
              <w:jc w:val="start"/>
              <w:rPr/>
            </w:pPr>
            <w:r>
              <w:rPr>
                <w:rFonts w:eastAsia="Consolas" w:cs="Consolas" w:ascii="Consolas" w:hAnsi="Consolas"/>
                <w:sz w:val="20"/>
                <w:szCs w:val="20"/>
              </w:rPr>
              <w:t>combined = pd.concat([normal, papil], ignore_index=True)</w:t>
            </w:r>
          </w:p>
          <w:p>
            <w:pPr>
              <w:pStyle w:val="normal1"/>
              <w:spacing w:lineRule="auto" w:line="276" w:before="0" w:after="0"/>
              <w:jc w:val="start"/>
              <w:rPr/>
            </w:pPr>
            <w:r>
              <w:rPr>
                <w:rFonts w:eastAsia="Consolas" w:cs="Consolas" w:ascii="Consolas" w:hAnsi="Consolas"/>
                <w:sz w:val="20"/>
                <w:szCs w:val="20"/>
              </w:rPr>
              <w:t xml:space="preserve"> </w:t>
            </w:r>
          </w:p>
          <w:p>
            <w:pPr>
              <w:pStyle w:val="normal1"/>
              <w:spacing w:lineRule="auto" w:line="276" w:before="0" w:after="0"/>
              <w:jc w:val="start"/>
              <w:rPr/>
            </w:pPr>
            <w:r>
              <w:rPr>
                <w:rFonts w:eastAsia="Consolas" w:cs="Consolas" w:ascii="Consolas" w:hAnsi="Consolas"/>
                <w:sz w:val="20"/>
                <w:szCs w:val="20"/>
              </w:rPr>
              <w:t># Hizli butunluk kontrolu</w:t>
            </w:r>
          </w:p>
          <w:p>
            <w:pPr>
              <w:pStyle w:val="normal1"/>
              <w:spacing w:lineRule="auto" w:line="276" w:before="0" w:after="0"/>
              <w:jc w:val="start"/>
              <w:rPr/>
            </w:pPr>
            <w:r>
              <w:rPr>
                <w:rFonts w:eastAsia="Consolas" w:cs="Consolas" w:ascii="Consolas" w:hAnsi="Consolas"/>
                <w:sz w:val="20"/>
                <w:szCs w:val="20"/>
              </w:rPr>
              <w:t>normal_ids = set(combined.loc[combined.label == 0, "patient_id"])</w:t>
            </w:r>
          </w:p>
          <w:p>
            <w:pPr>
              <w:pStyle w:val="normal1"/>
              <w:spacing w:lineRule="auto" w:line="276" w:before="0" w:after="0"/>
              <w:jc w:val="start"/>
              <w:rPr/>
            </w:pPr>
            <w:r>
              <w:rPr>
                <w:rFonts w:eastAsia="Consolas" w:cs="Consolas" w:ascii="Consolas" w:hAnsi="Consolas"/>
                <w:sz w:val="20"/>
                <w:szCs w:val="20"/>
              </w:rPr>
              <w:t>papil_ids  = set(combined.loc[combined.label == 1, "patient_id"])</w:t>
            </w:r>
          </w:p>
          <w:p>
            <w:pPr>
              <w:pStyle w:val="normal1"/>
              <w:spacing w:lineRule="auto" w:line="276" w:before="0" w:after="0"/>
              <w:jc w:val="start"/>
              <w:rPr/>
            </w:pPr>
            <w:r>
              <w:rPr>
                <w:rFonts w:eastAsia="Consolas" w:cs="Consolas" w:ascii="Consolas" w:hAnsi="Consolas"/>
                <w:sz w:val="20"/>
                <w:szCs w:val="20"/>
              </w:rPr>
              <w:t>assert not (normal_ids &amp; papil_ids), "Hasta iki sinifta birden gorunuyor!"</w:t>
            </w:r>
          </w:p>
          <w:p>
            <w:pPr>
              <w:pStyle w:val="normal1"/>
              <w:spacing w:lineRule="auto" w:line="276" w:before="0" w:after="0"/>
              <w:jc w:val="start"/>
              <w:rPr/>
            </w:pPr>
            <w:r>
              <w:rPr>
                <w:rFonts w:eastAsia="Consolas" w:cs="Consolas" w:ascii="Consolas" w:hAnsi="Consolas"/>
                <w:sz w:val="20"/>
                <w:szCs w:val="20"/>
              </w:rPr>
              <w:t>assert combined.groupby("patient_id")["label"].nunique().max() == 1</w:t>
            </w:r>
          </w:p>
        </w:tc>
      </w:tr>
    </w:tbl>
    <w:p>
      <w:pPr>
        <w:pStyle w:val="normal1"/>
        <w:spacing w:lineRule="auto" w:line="240" w:before="0" w:after="0"/>
        <w:rPr/>
      </w:pPr>
      <w:r>
        <w:rPr/>
      </w:r>
    </w:p>
    <w:p>
      <w:pPr>
        <w:pStyle w:val="normal1"/>
        <w:spacing w:lineRule="auto" w:line="360" w:before="160" w:after="60"/>
        <w:jc w:val="start"/>
        <w:rPr>
          <w:b/>
          <w:bCs/>
        </w:rPr>
      </w:pPr>
      <w:r>
        <w:rPr>
          <w:b/>
          <w:bCs/>
        </w:rPr>
      </w:r>
    </w:p>
    <w:p>
      <w:pPr>
        <w:pStyle w:val="normal1"/>
        <w:spacing w:lineRule="auto" w:line="360" w:before="160" w:after="60"/>
        <w:jc w:val="start"/>
        <w:rPr/>
      </w:pPr>
      <w:r>
        <w:rPr>
          <w:b/>
          <w:bCs/>
        </w:rPr>
        <w:t xml:space="preserve">  </w:t>
      </w:r>
      <w:r>
        <w:rPr>
          <w:rFonts w:eastAsia="Times New Roman" w:cs="Times New Roman"/>
          <w:b/>
          <w:bCs/>
          <w:sz w:val="24"/>
          <w:szCs w:val="24"/>
        </w:rPr>
        <w:t>EK 3. Hasta-Bilinçli Kalibrasyon</w:t>
      </w:r>
    </w:p>
    <w:p>
      <w:pPr>
        <w:pStyle w:val="normal1"/>
        <w:spacing w:lineRule="auto" w:line="360" w:before="0" w:after="60"/>
        <w:jc w:val="both"/>
        <w:rPr/>
      </w:pPr>
      <w:r>
        <w:rPr>
          <w:rFonts w:eastAsia="Times New Roman" w:cs="Times New Roman"/>
          <w:b w:val="false"/>
          <w:bCs w:val="false"/>
          <w:i w:val="false"/>
          <w:iCs w:val="false"/>
          <w:sz w:val="24"/>
          <w:szCs w:val="24"/>
        </w:rPr>
        <w:t>Sklearn 1.6 sürümünde `CalibratedClassifierCV`, `StratifiedGroupKFold` ile beklendiği gibi çalışmamakta</w:t>
      </w:r>
      <w:r>
        <w:rPr/>
        <w:t>,</w:t>
      </w:r>
      <w:r>
        <w:rPr>
          <w:rFonts w:eastAsia="Times New Roman" w:cs="Times New Roman"/>
          <w:b w:val="false"/>
          <w:bCs w:val="false"/>
          <w:i w:val="false"/>
          <w:iCs w:val="false"/>
          <w:sz w:val="24"/>
          <w:szCs w:val="24"/>
        </w:rPr>
        <w:t xml:space="preserve"> bu durum kalibrasyon adımında hasta sızıntısına yol açabilmektedir. Söz konusu sorunun aşılması için manuel Platt scaling sarmalayıcısı tanımlanmıştır:</w:t>
      </w:r>
    </w:p>
    <w:tbl>
      <w:tblPr>
        <w:tblStyle w:val="Table7"/>
        <w:tblW w:w="8221" w:type="dxa"/>
        <w:jc w:val="center"/>
        <w:tblInd w:w="0" w:type="dxa"/>
        <w:tblLayout w:type="fixed"/>
        <w:tblCellMar>
          <w:top w:w="0" w:type="dxa"/>
          <w:start w:w="108" w:type="dxa"/>
          <w:bottom w:w="0" w:type="dxa"/>
          <w:end w:w="108" w:type="dxa"/>
        </w:tblCellMar>
        <w:tblLook w:val="0400"/>
      </w:tblPr>
      <w:tblGrid>
        <w:gridCol w:w="8221"/>
      </w:tblGrid>
      <w:tr>
        <w:trPr/>
        <w:tc>
          <w:tcPr>
            <w:tcW w:w="8221" w:type="dxa"/>
            <w:tcBorders>
              <w:top w:val="single" w:sz="4" w:space="0" w:color="C0C0C0"/>
              <w:start w:val="single" w:sz="4" w:space="0" w:color="C0C0C0"/>
              <w:bottom w:val="single" w:sz="4" w:space="0" w:color="C0C0C0"/>
              <w:end w:val="single" w:sz="4" w:space="0" w:color="C0C0C0"/>
            </w:tcBorders>
            <w:shd w:fill="F5F5F5" w:val="clear"/>
          </w:tcPr>
          <w:p>
            <w:pPr>
              <w:pStyle w:val="normal1"/>
              <w:spacing w:lineRule="auto" w:line="276" w:before="0" w:after="0"/>
              <w:jc w:val="start"/>
              <w:rPr/>
            </w:pPr>
            <w:r>
              <w:rPr>
                <w:rFonts w:eastAsia="Consolas" w:cs="Consolas" w:ascii="Consolas" w:hAnsi="Consolas"/>
                <w:sz w:val="20"/>
                <w:szCs w:val="20"/>
              </w:rPr>
              <w:t>class GroupAwareSigmoidCalibrator(BaseEstimator, ClassifierMixin):</w:t>
            </w:r>
          </w:p>
          <w:p>
            <w:pPr>
              <w:pStyle w:val="normal1"/>
              <w:spacing w:lineRule="auto" w:line="276" w:before="0" w:after="0"/>
              <w:jc w:val="start"/>
              <w:rPr/>
            </w:pPr>
            <w:r>
              <w:rPr>
                <w:rFonts w:eastAsia="Consolas" w:cs="Consolas" w:ascii="Consolas" w:hAnsi="Consolas"/>
                <w:sz w:val="20"/>
                <w:szCs w:val="20"/>
              </w:rPr>
              <w:t xml:space="preserve">    </w:t>
            </w:r>
            <w:r>
              <w:rPr>
                <w:rFonts w:eastAsia="Consolas" w:cs="Consolas" w:ascii="Consolas" w:hAnsi="Consolas"/>
                <w:sz w:val="20"/>
                <w:szCs w:val="20"/>
              </w:rPr>
              <w:t>def __init__(self, estimator, n_folds=5):</w:t>
            </w:r>
          </w:p>
          <w:p>
            <w:pPr>
              <w:pStyle w:val="normal1"/>
              <w:spacing w:lineRule="auto" w:line="276" w:before="0" w:after="0"/>
              <w:jc w:val="start"/>
              <w:rPr/>
            </w:pPr>
            <w:r>
              <w:rPr>
                <w:rFonts w:eastAsia="Consolas" w:cs="Consolas" w:ascii="Consolas" w:hAnsi="Consolas"/>
                <w:sz w:val="20"/>
                <w:szCs w:val="20"/>
              </w:rPr>
              <w:t xml:space="preserve">        </w:t>
            </w:r>
            <w:r>
              <w:rPr>
                <w:rFonts w:eastAsia="Consolas" w:cs="Consolas" w:ascii="Consolas" w:hAnsi="Consolas"/>
                <w:sz w:val="20"/>
                <w:szCs w:val="20"/>
              </w:rPr>
              <w:t>self.estimator = estimator</w:t>
            </w:r>
          </w:p>
          <w:p>
            <w:pPr>
              <w:pStyle w:val="normal1"/>
              <w:spacing w:lineRule="auto" w:line="276" w:before="0" w:after="0"/>
              <w:jc w:val="start"/>
              <w:rPr/>
            </w:pPr>
            <w:r>
              <w:rPr>
                <w:rFonts w:eastAsia="Consolas" w:cs="Consolas" w:ascii="Consolas" w:hAnsi="Consolas"/>
                <w:sz w:val="20"/>
                <w:szCs w:val="20"/>
              </w:rPr>
              <w:t xml:space="preserve">        </w:t>
            </w:r>
            <w:r>
              <w:rPr>
                <w:rFonts w:eastAsia="Consolas" w:cs="Consolas" w:ascii="Consolas" w:hAnsi="Consolas"/>
                <w:sz w:val="20"/>
                <w:szCs w:val="20"/>
              </w:rPr>
              <w:t>self.n_folds = n_folds</w:t>
            </w:r>
          </w:p>
          <w:p>
            <w:pPr>
              <w:pStyle w:val="normal1"/>
              <w:spacing w:lineRule="auto" w:line="276" w:before="0" w:after="0"/>
              <w:jc w:val="start"/>
              <w:rPr/>
            </w:pPr>
            <w:r>
              <w:rPr>
                <w:rFonts w:eastAsia="Consolas" w:cs="Consolas" w:ascii="Consolas" w:hAnsi="Consolas"/>
                <w:sz w:val="20"/>
                <w:szCs w:val="20"/>
              </w:rPr>
              <w:t xml:space="preserve"> </w:t>
            </w:r>
          </w:p>
          <w:p>
            <w:pPr>
              <w:pStyle w:val="normal1"/>
              <w:spacing w:lineRule="auto" w:line="276" w:before="0" w:after="0"/>
              <w:jc w:val="start"/>
              <w:rPr/>
            </w:pPr>
            <w:r>
              <w:rPr>
                <w:rFonts w:eastAsia="Consolas" w:cs="Consolas" w:ascii="Consolas" w:hAnsi="Consolas"/>
                <w:sz w:val="20"/>
                <w:szCs w:val="20"/>
              </w:rPr>
              <w:t xml:space="preserve">    </w:t>
            </w:r>
            <w:r>
              <w:rPr>
                <w:rFonts w:eastAsia="Consolas" w:cs="Consolas" w:ascii="Consolas" w:hAnsi="Consolas"/>
                <w:sz w:val="20"/>
                <w:szCs w:val="20"/>
              </w:rPr>
              <w:t>def fit(self, X, y, groups):</w:t>
            </w:r>
          </w:p>
          <w:p>
            <w:pPr>
              <w:pStyle w:val="normal1"/>
              <w:spacing w:lineRule="auto" w:line="276" w:before="0" w:after="0"/>
              <w:jc w:val="start"/>
              <w:rPr/>
            </w:pPr>
            <w:r>
              <w:rPr>
                <w:rFonts w:eastAsia="Consolas" w:cs="Consolas" w:ascii="Consolas" w:hAnsi="Consolas"/>
                <w:sz w:val="20"/>
                <w:szCs w:val="20"/>
              </w:rPr>
              <w:t xml:space="preserve">        </w:t>
            </w:r>
            <w:r>
              <w:rPr>
                <w:rFonts w:eastAsia="Consolas" w:cs="Consolas" w:ascii="Consolas" w:hAnsi="Consolas"/>
                <w:sz w:val="20"/>
                <w:szCs w:val="20"/>
              </w:rPr>
              <w:t>cv = StratifiedGroupKFold(</w:t>
            </w:r>
          </w:p>
          <w:p>
            <w:pPr>
              <w:pStyle w:val="normal1"/>
              <w:spacing w:lineRule="auto" w:line="276" w:before="0" w:after="0"/>
              <w:jc w:val="start"/>
              <w:rPr/>
            </w:pPr>
            <w:r>
              <w:rPr>
                <w:rFonts w:eastAsia="Consolas" w:cs="Consolas" w:ascii="Consolas" w:hAnsi="Consolas"/>
                <w:sz w:val="20"/>
                <w:szCs w:val="20"/>
              </w:rPr>
              <w:t xml:space="preserve">            </w:t>
            </w:r>
            <w:r>
              <w:rPr>
                <w:rFonts w:eastAsia="Consolas" w:cs="Consolas" w:ascii="Consolas" w:hAnsi="Consolas"/>
                <w:sz w:val="20"/>
                <w:szCs w:val="20"/>
              </w:rPr>
              <w:t>n_splits=self.n_folds, shuffle=True, random_state=42</w:t>
            </w:r>
          </w:p>
          <w:p>
            <w:pPr>
              <w:pStyle w:val="normal1"/>
              <w:spacing w:lineRule="auto" w:line="276" w:before="0" w:after="0"/>
              <w:jc w:val="start"/>
              <w:rPr/>
            </w:pPr>
            <w:r>
              <w:rPr>
                <w:rFonts w:eastAsia="Consolas" w:cs="Consolas" w:ascii="Consolas" w:hAnsi="Consolas"/>
                <w:sz w:val="20"/>
                <w:szCs w:val="20"/>
              </w:rPr>
              <w:t xml:space="preserve">        </w:t>
            </w:r>
            <w:r>
              <w:rPr>
                <w:rFonts w:eastAsia="Consolas" w:cs="Consolas" w:ascii="Consolas" w:hAnsi="Consolas"/>
                <w:sz w:val="20"/>
                <w:szCs w:val="20"/>
              </w:rPr>
              <w:t>)</w:t>
            </w:r>
          </w:p>
          <w:p>
            <w:pPr>
              <w:pStyle w:val="normal1"/>
              <w:spacing w:lineRule="auto" w:line="276" w:before="0" w:after="0"/>
              <w:jc w:val="start"/>
              <w:rPr/>
            </w:pPr>
            <w:r>
              <w:rPr>
                <w:rFonts w:eastAsia="Consolas" w:cs="Consolas" w:ascii="Consolas" w:hAnsi="Consolas"/>
                <w:sz w:val="20"/>
                <w:szCs w:val="20"/>
              </w:rPr>
              <w:t xml:space="preserve">        </w:t>
            </w:r>
            <w:r>
              <w:rPr>
                <w:rFonts w:eastAsia="Consolas" w:cs="Consolas" w:ascii="Consolas" w:hAnsi="Consolas"/>
                <w:sz w:val="20"/>
                <w:szCs w:val="20"/>
              </w:rPr>
              <w:t>oof = cross_val_predict(</w:t>
            </w:r>
          </w:p>
          <w:p>
            <w:pPr>
              <w:pStyle w:val="normal1"/>
              <w:spacing w:lineRule="auto" w:line="276" w:before="0" w:after="0"/>
              <w:jc w:val="start"/>
              <w:rPr/>
            </w:pPr>
            <w:r>
              <w:rPr>
                <w:rFonts w:eastAsia="Consolas" w:cs="Consolas" w:ascii="Consolas" w:hAnsi="Consolas"/>
                <w:sz w:val="20"/>
                <w:szCs w:val="20"/>
              </w:rPr>
              <w:t xml:space="preserve">            </w:t>
            </w:r>
            <w:r>
              <w:rPr>
                <w:rFonts w:eastAsia="Consolas" w:cs="Consolas" w:ascii="Consolas" w:hAnsi="Consolas"/>
                <w:sz w:val="20"/>
                <w:szCs w:val="20"/>
              </w:rPr>
              <w:t>clone(self.estimator), X, y,</w:t>
            </w:r>
          </w:p>
          <w:p>
            <w:pPr>
              <w:pStyle w:val="normal1"/>
              <w:spacing w:lineRule="auto" w:line="276" w:before="0" w:after="0"/>
              <w:jc w:val="start"/>
              <w:rPr/>
            </w:pPr>
            <w:r>
              <w:rPr>
                <w:rFonts w:eastAsia="Consolas" w:cs="Consolas" w:ascii="Consolas" w:hAnsi="Consolas"/>
                <w:sz w:val="20"/>
                <w:szCs w:val="20"/>
              </w:rPr>
              <w:t xml:space="preserve">            </w:t>
            </w:r>
            <w:r>
              <w:rPr>
                <w:rFonts w:eastAsia="Consolas" w:cs="Consolas" w:ascii="Consolas" w:hAnsi="Consolas"/>
                <w:sz w:val="20"/>
                <w:szCs w:val="20"/>
              </w:rPr>
              <w:t>groups=groups, cv=cv,</w:t>
            </w:r>
          </w:p>
          <w:p>
            <w:pPr>
              <w:pStyle w:val="normal1"/>
              <w:spacing w:lineRule="auto" w:line="276" w:before="0" w:after="0"/>
              <w:jc w:val="start"/>
              <w:rPr/>
            </w:pPr>
            <w:r>
              <w:rPr>
                <w:rFonts w:eastAsia="Consolas" w:cs="Consolas" w:ascii="Consolas" w:hAnsi="Consolas"/>
                <w:sz w:val="20"/>
                <w:szCs w:val="20"/>
              </w:rPr>
              <w:t xml:space="preserve">            </w:t>
            </w:r>
            <w:r>
              <w:rPr>
                <w:rFonts w:eastAsia="Consolas" w:cs="Consolas" w:ascii="Consolas" w:hAnsi="Consolas"/>
                <w:sz w:val="20"/>
                <w:szCs w:val="20"/>
              </w:rPr>
              <w:t>method="predict_proba", n_jobs=-1,</w:t>
            </w:r>
          </w:p>
          <w:p>
            <w:pPr>
              <w:pStyle w:val="normal1"/>
              <w:spacing w:lineRule="auto" w:line="276" w:before="0" w:after="0"/>
              <w:jc w:val="start"/>
              <w:rPr/>
            </w:pPr>
            <w:r>
              <w:rPr>
                <w:rFonts w:eastAsia="Consolas" w:cs="Consolas" w:ascii="Consolas" w:hAnsi="Consolas"/>
                <w:sz w:val="20"/>
                <w:szCs w:val="20"/>
              </w:rPr>
              <w:t xml:space="preserve">        </w:t>
            </w:r>
            <w:r>
              <w:rPr>
                <w:rFonts w:eastAsia="Consolas" w:cs="Consolas" w:ascii="Consolas" w:hAnsi="Consolas"/>
                <w:sz w:val="20"/>
                <w:szCs w:val="20"/>
              </w:rPr>
              <w:t>)[:, 1]</w:t>
            </w:r>
          </w:p>
          <w:p>
            <w:pPr>
              <w:pStyle w:val="normal1"/>
              <w:spacing w:lineRule="auto" w:line="276" w:before="0" w:after="0"/>
              <w:jc w:val="start"/>
              <w:rPr/>
            </w:pPr>
            <w:r>
              <w:rPr>
                <w:rFonts w:eastAsia="Consolas" w:cs="Consolas" w:ascii="Consolas" w:hAnsi="Consolas"/>
                <w:sz w:val="20"/>
                <w:szCs w:val="20"/>
              </w:rPr>
              <w:t xml:space="preserve">        </w:t>
            </w:r>
            <w:r>
              <w:rPr>
                <w:rFonts w:eastAsia="Consolas" w:cs="Consolas" w:ascii="Consolas" w:hAnsi="Consolas"/>
                <w:sz w:val="20"/>
                <w:szCs w:val="20"/>
              </w:rPr>
              <w:t>self.sigmoid_ = _SigmoidCalibration().fit(oof, y)</w:t>
            </w:r>
          </w:p>
          <w:p>
            <w:pPr>
              <w:pStyle w:val="normal1"/>
              <w:spacing w:lineRule="auto" w:line="276" w:before="0" w:after="0"/>
              <w:jc w:val="start"/>
              <w:rPr/>
            </w:pPr>
            <w:r>
              <w:rPr>
                <w:rFonts w:eastAsia="Consolas" w:cs="Consolas" w:ascii="Consolas" w:hAnsi="Consolas"/>
                <w:sz w:val="20"/>
                <w:szCs w:val="20"/>
              </w:rPr>
              <w:t xml:space="preserve">        </w:t>
            </w:r>
            <w:r>
              <w:rPr>
                <w:rFonts w:eastAsia="Consolas" w:cs="Consolas" w:ascii="Consolas" w:hAnsi="Consolas"/>
                <w:sz w:val="20"/>
                <w:szCs w:val="20"/>
              </w:rPr>
              <w:t>self.estimator_ = clone(self.estimator).fit(X, y)</w:t>
            </w:r>
          </w:p>
          <w:p>
            <w:pPr>
              <w:pStyle w:val="normal1"/>
              <w:spacing w:lineRule="auto" w:line="276" w:before="0" w:after="0"/>
              <w:jc w:val="start"/>
              <w:rPr/>
            </w:pPr>
            <w:r>
              <w:rPr>
                <w:rFonts w:eastAsia="Consolas" w:cs="Consolas" w:ascii="Consolas" w:hAnsi="Consolas"/>
                <w:sz w:val="20"/>
                <w:szCs w:val="20"/>
              </w:rPr>
              <w:t xml:space="preserve">        </w:t>
            </w:r>
            <w:r>
              <w:rPr>
                <w:rFonts w:eastAsia="Consolas" w:cs="Consolas" w:ascii="Consolas" w:hAnsi="Consolas"/>
                <w:sz w:val="20"/>
                <w:szCs w:val="20"/>
              </w:rPr>
              <w:t>return self</w:t>
            </w:r>
          </w:p>
          <w:p>
            <w:pPr>
              <w:pStyle w:val="normal1"/>
              <w:spacing w:lineRule="auto" w:line="276" w:before="0" w:after="0"/>
              <w:jc w:val="start"/>
              <w:rPr/>
            </w:pPr>
            <w:r>
              <w:rPr>
                <w:rFonts w:eastAsia="Consolas" w:cs="Consolas" w:ascii="Consolas" w:hAnsi="Consolas"/>
                <w:sz w:val="20"/>
                <w:szCs w:val="20"/>
              </w:rPr>
              <w:t xml:space="preserve"> </w:t>
            </w:r>
          </w:p>
          <w:p>
            <w:pPr>
              <w:pStyle w:val="normal1"/>
              <w:spacing w:lineRule="auto" w:line="276" w:before="0" w:after="0"/>
              <w:jc w:val="start"/>
              <w:rPr/>
            </w:pPr>
            <w:r>
              <w:rPr>
                <w:rFonts w:eastAsia="Consolas" w:cs="Consolas" w:ascii="Consolas" w:hAnsi="Consolas"/>
                <w:sz w:val="20"/>
                <w:szCs w:val="20"/>
              </w:rPr>
              <w:t xml:space="preserve">    </w:t>
            </w:r>
            <w:r>
              <w:rPr>
                <w:rFonts w:eastAsia="Consolas" w:cs="Consolas" w:ascii="Consolas" w:hAnsi="Consolas"/>
                <w:sz w:val="20"/>
                <w:szCs w:val="20"/>
              </w:rPr>
              <w:t>def predict_proba(self, X):</w:t>
            </w:r>
          </w:p>
          <w:p>
            <w:pPr>
              <w:pStyle w:val="normal1"/>
              <w:spacing w:lineRule="auto" w:line="276" w:before="0" w:after="0"/>
              <w:jc w:val="start"/>
              <w:rPr/>
            </w:pPr>
            <w:r>
              <w:rPr>
                <w:rFonts w:eastAsia="Consolas" w:cs="Consolas" w:ascii="Consolas" w:hAnsi="Consolas"/>
                <w:sz w:val="20"/>
                <w:szCs w:val="20"/>
              </w:rPr>
              <w:t xml:space="preserve">        </w:t>
            </w:r>
            <w:r>
              <w:rPr>
                <w:rFonts w:eastAsia="Consolas" w:cs="Consolas" w:ascii="Consolas" w:hAnsi="Consolas"/>
                <w:sz w:val="20"/>
                <w:szCs w:val="20"/>
              </w:rPr>
              <w:t>raw = self.estimator_.predict_proba(X)[:, 1]</w:t>
            </w:r>
          </w:p>
          <w:p>
            <w:pPr>
              <w:pStyle w:val="normal1"/>
              <w:spacing w:lineRule="auto" w:line="276" w:before="0" w:after="0"/>
              <w:jc w:val="start"/>
              <w:rPr/>
            </w:pPr>
            <w:r>
              <w:rPr>
                <w:rFonts w:eastAsia="Consolas" w:cs="Consolas" w:ascii="Consolas" w:hAnsi="Consolas"/>
                <w:sz w:val="20"/>
                <w:szCs w:val="20"/>
              </w:rPr>
              <w:t xml:space="preserve">        </w:t>
            </w:r>
            <w:r>
              <w:rPr>
                <w:rFonts w:eastAsia="Consolas" w:cs="Consolas" w:ascii="Consolas" w:hAnsi="Consolas"/>
                <w:sz w:val="20"/>
                <w:szCs w:val="20"/>
              </w:rPr>
              <w:t>cal = np.clip(self.sigmoid_.predict(raw), 0.0, 1.0)</w:t>
            </w:r>
          </w:p>
          <w:p>
            <w:pPr>
              <w:pStyle w:val="normal1"/>
              <w:spacing w:lineRule="auto" w:line="276" w:before="0" w:after="0"/>
              <w:jc w:val="start"/>
              <w:rPr/>
            </w:pPr>
            <w:r>
              <w:rPr>
                <w:rFonts w:eastAsia="Consolas" w:cs="Consolas" w:ascii="Consolas" w:hAnsi="Consolas"/>
                <w:sz w:val="20"/>
                <w:szCs w:val="20"/>
              </w:rPr>
              <w:t xml:space="preserve">        </w:t>
            </w:r>
            <w:r>
              <w:rPr>
                <w:rFonts w:eastAsia="Consolas" w:cs="Consolas" w:ascii="Consolas" w:hAnsi="Consolas"/>
                <w:sz w:val="20"/>
                <w:szCs w:val="20"/>
              </w:rPr>
              <w:t>return np.column_stack([1.0 - cal, cal])</w:t>
            </w:r>
          </w:p>
        </w:tc>
      </w:tr>
    </w:tbl>
    <w:p>
      <w:pPr>
        <w:pStyle w:val="normal1"/>
        <w:spacing w:lineRule="auto" w:line="240" w:before="0" w:after="0"/>
        <w:rPr/>
      </w:pPr>
      <w:r>
        <w:rPr/>
      </w:r>
    </w:p>
    <w:p>
      <w:pPr>
        <w:pStyle w:val="normal1"/>
        <w:spacing w:lineRule="auto" w:line="240" w:before="0" w:after="0"/>
        <w:rPr/>
      </w:pPr>
      <w:r>
        <w:rPr/>
      </w:r>
    </w:p>
    <w:sectPr>
      <w:footerReference w:type="even" r:id="rId20"/>
      <w:footerReference w:type="default" r:id="rId21"/>
      <w:footerReference w:type="first" r:id="rId22"/>
      <w:type w:val="nextPage"/>
      <w:pgSz w:w="11906" w:h="16838"/>
      <w:pgMar w:left="2268" w:right="1417" w:gutter="0" w:header="0" w:top="1417" w:footer="72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Times New Roman">
    <w:charset w:val="a2" w:characterSet="windows-1254"/>
    <w:family w:val="roman"/>
    <w:pitch w:val="variable"/>
  </w:font>
  <w:font w:name="Calibri">
    <w:charset w:val="a2" w:characterSet="windows-1254"/>
    <w:family w:val="roman"/>
    <w:pitch w:val="variable"/>
  </w:font>
  <w:font w:name="Liberation Sans">
    <w:altName w:val="Arial"/>
    <w:charset w:val="a2" w:characterSet="windows-1254"/>
    <w:family w:val="swiss"/>
    <w:pitch w:val="variable"/>
  </w:font>
  <w:font w:name="Consolas">
    <w:charset w:val="a2" w:characterSet="windows-1254"/>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fldChar w:fldCharType="begin"/>
    </w:r>
    <w:r>
      <w:rPr/>
      <w:instrText xml:space="preserve"> PAGE </w:instrText>
    </w:r>
    <w:r>
      <w:rPr/>
      <w:fldChar w:fldCharType="separate"/>
    </w:r>
    <w:r>
      <w:rPr/>
      <w:t>34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fldChar w:fldCharType="begin"/>
    </w:r>
    <w:r>
      <w:rPr/>
      <w:instrText xml:space="preserve"> PAGE </w:instrText>
    </w:r>
    <w:r>
      <w:rPr/>
      <w:fldChar w:fldCharType="separate"/>
    </w:r>
    <w:r>
      <w:rPr/>
      <w:t>34</w:t>
    </w:r>
    <w:r>
      <w:rPr/>
      <w:fldChar w:fldCharType="end"/>
    </w:r>
  </w:p>
</w:ftr>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start"/>
    </w:pPr>
    <w:rPr>
      <w:rFonts w:ascii="Times New Roman" w:hAnsi="Times New Roman" w:eastAsia="NSimSun" w:cs="Arial"/>
      <w:color w:val="auto"/>
      <w:kern w:val="0"/>
      <w:sz w:val="24"/>
      <w:szCs w:val="24"/>
      <w:lang w:val="en-US" w:eastAsia="zh-CN" w:bidi="hi-IN"/>
    </w:rPr>
  </w:style>
  <w:style w:type="paragraph" w:styleId="Heading1">
    <w:name w:val="heading 1"/>
    <w:basedOn w:val="normal1"/>
    <w:next w:val="normal1"/>
    <w:qFormat/>
    <w:pPr>
      <w:keepNext w:val="true"/>
      <w:keepLines/>
      <w:spacing w:lineRule="auto" w:line="240" w:before="480" w:after="0"/>
    </w:pPr>
    <w:rPr>
      <w:rFonts w:ascii="Calibri" w:hAnsi="Calibri" w:eastAsia="Calibri" w:cs="Calibri"/>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 w:type="paragraph" w:styleId="normal1" w:default="1">
    <w:name w:val="normal1"/>
    <w:qFormat/>
    <w:pPr>
      <w:widowControl/>
      <w:suppressAutoHyphens w:val="true"/>
      <w:bidi w:val="0"/>
      <w:spacing w:lineRule="auto" w:line="276" w:before="0" w:after="200"/>
      <w:jc w:val="start"/>
    </w:pPr>
    <w:rPr>
      <w:rFonts w:ascii="Times New Roman" w:hAnsi="Times New Roman" w:eastAsia="NSimSun" w:cs="Arial"/>
      <w:color w:val="auto"/>
      <w:kern w:val="0"/>
      <w:sz w:val="24"/>
      <w:szCs w:val="24"/>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paragraph" w:styleId="stBilgiveAltBilgiuser">
    <w:name w:val="Üst Bilgi ve Alt Bilgi (user)"/>
    <w:basedOn w:val="Normal"/>
    <w:qFormat/>
    <w:pPr/>
    <w:rPr/>
  </w:style>
  <w:style w:type="paragraph" w:styleId="stBilgiveAltBilgi">
    <w:name w:val="Üst Bilgi ve Alt Bilgi"/>
    <w:basedOn w:val="Normal"/>
    <w:qFormat/>
    <w:pPr/>
    <w:rPr/>
  </w:style>
  <w:style w:type="paragraph" w:styleId="Footer">
    <w:name w:val="footer"/>
    <w:basedOn w:val="stBilgiveAltBilgius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2.png"/><Relationship Id="rId6" Type="http://schemas.openxmlformats.org/officeDocument/2006/relationships/image" Target="media/image4.jpe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LibreOffice/26.2.4.2$Windows_X86_64 LibreOffice_project/0229ac93fcf0d7cbc6376066c6f35021cef002dc</Application>
  <AppVersion>15.0000</AppVersion>
  <Pages>34</Pages>
  <Words>5094</Words>
  <Characters>34271</Characters>
  <CharactersWithSpaces>39069</CharactersWithSpaces>
  <Paragraphs>512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tr-TR</dc:language>
  <cp:lastModifiedBy/>
  <dcterms:modified xsi:type="dcterms:W3CDTF">2026-06-22T08:54:39Z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