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2"/>
          <w:szCs w:val="32"/>
        </w:rPr>
        <w:t xml:space="preserve">Note interne — Privacy: cosa manca per essere pienamente conformi</w:t>
      </w:r>
    </w:p>
    <w:p>
      <w:pPr>
        <w:spacing w:after="100"/>
      </w:pPr>
      <w:r>
        <w:rPr>
          <w:rFonts w:ascii="Calibri" w:cs="Calibri" w:eastAsia="Calibri" w:hAnsi="Calibri"/>
          <w:b/>
          <w:bCs/>
          <w:color w:val="B91C1C"/>
          <w:sz w:val="22"/>
          <w:szCs w:val="22"/>
        </w:rPr>
        <w:t xml:space="preserve">USO INTERNO — NON PUBBLICARE SUL SITO</w:t>
      </w:r>
    </w:p>
    <w:p>
      <w:pPr>
        <w:spacing w:after="300"/>
      </w:pPr>
      <w:r>
        <w:rPr>
          <w:rFonts w:ascii="Calibri" w:cs="Calibri" w:eastAsia="Calibri" w:hAnsi="Calibri"/>
          <w:i/>
          <w:iCs/>
          <w:color w:val="666666"/>
          <w:sz w:val="20"/>
          <w:szCs w:val="20"/>
        </w:rPr>
        <w:t xml:space="preserve">16 ottobre 2026</w:t>
      </w:r>
    </w:p>
    <w:p>
      <w:pPr>
        <w:spacing w:after="160"/>
        <w:jc w:val="both"/>
      </w:pPr>
      <w:r>
        <w:rPr>
          <w:rFonts w:ascii="Calibri" w:cs="Calibri" w:eastAsia="Calibri" w:hAnsi="Calibri"/>
          <w:b w:val="false"/>
          <w:bCs w:val="false"/>
          <w:sz w:val="22"/>
          <w:szCs w:val="22"/>
        </w:rPr>
        <w:t xml:space="preserve">Questo documento accompagna "Informativa_Privacy_ValutaFacile.docx". L’informativa descrive la policy dichiarata; qui elenco i punti in cui, controllando il codice reale, ho trovato una differenza tra quello che il sito dovrebbe fare secondo l’informativa e quello che fa davvero oggi. Vanno sistemati (lato codice) perché un’informativa corretta ma non rispettata nei fatti espone comunque a contestazioni.</w:t>
      </w:r>
    </w:p>
    <w:p>
      <w:pPr>
        <w:pStyle w:val="Heading1"/>
        <w:spacing w:after="160" w:before="320"/>
      </w:pPr>
      <w:r>
        <w:t xml:space="preserve">1. Google Analytics non è bloccato dal banner cookie [RISOLTO 16/10/2026]</w:t>
      </w:r>
    </w:p>
    <w:p>
      <w:pPr>
        <w:spacing w:after="160"/>
        <w:jc w:val="both"/>
      </w:pPr>
      <w:r>
        <w:rPr>
          <w:rFonts w:ascii="Calibri" w:cs="Calibri" w:eastAsia="Calibri" w:hAnsi="Calibri"/>
          <w:b w:val="false"/>
          <w:bCs w:val="false"/>
          <w:sz w:val="22"/>
          <w:szCs w:val="22"/>
        </w:rPr>
        <w:t xml:space="preserve">Il banner cookie esiste e funziona (si vede, salva la scelta, ha le categorie "statistiche" e "marketing"), ma lo script di Google Analytics in index.html viene caricato sempre, appena si apre il sito, a prescindere dalla scelta dell’utente nel banner. Stessa cosa per le statistiche interne sulle pagine città (province_analytics_events): partono comunque, senza controllare il consenso.</w:t>
      </w:r>
    </w:p>
    <w:p>
      <w:pPr>
        <w:spacing w:after="160"/>
        <w:jc w:val="both"/>
      </w:pPr>
      <w:r>
        <w:rPr>
          <w:rFonts w:ascii="Calibri" w:cs="Calibri" w:eastAsia="Calibri" w:hAnsi="Calibri"/>
          <w:b w:val="true"/>
          <w:bCs w:val="true"/>
          <w:color w:val="1F7A3D"/>
          <w:sz w:val="22"/>
          <w:szCs w:val="22"/>
        </w:rPr>
        <w:t xml:space="preserve">Risolto: Google Analytics ora viene iniettato dinamicamente solo dopo il consenso alla categoria "statistiche" (con anche il flag ufficiale di opt-out ga-disable-[ID] per fermare l’invio anche se già caricato). Lo stesso controllo è stato aggiunto all’invio delle statistiche interne sulle pagine città.</w:t>
      </w:r>
    </w:p>
    <w:p>
      <w:pPr>
        <w:spacing w:after="160"/>
        <w:jc w:val="both"/>
      </w:pPr>
      <w:r>
        <w:rPr>
          <w:rFonts w:ascii="Calibri" w:cs="Calibri" w:eastAsia="Calibri" w:hAnsi="Calibri"/>
          <w:b w:val="false"/>
          <w:bCs w:val="false"/>
          <w:sz w:val="22"/>
          <w:szCs w:val="22"/>
        </w:rPr>
        <w:t xml:space="preserve">Rischio: l’informativa promette "solo con consenso", ma tecnicamente il tracciamento parte comunque. È la cosa più urgente da correggere.</w:t>
      </w:r>
    </w:p>
    <w:p>
      <w:pPr>
        <w:spacing w:after="160"/>
        <w:jc w:val="both"/>
      </w:pPr>
      <w:r>
        <w:rPr>
          <w:rFonts w:ascii="Calibri" w:cs="Calibri" w:eastAsia="Calibri" w:hAnsi="Calibri"/>
          <w:b/>
          <w:bCs/>
          <w:sz w:val="22"/>
          <w:szCs w:val="22"/>
        </w:rPr>
        <w:t xml:space="preserve">Correzione suggerita: caricare lo script gtag.js solo dopo che l’utente ha accettato la categoria "statistiche" nel banner (o rimuoverlo/bloccarlo se rifiuta), e far controllare la stessa cosa alla funzione che invia gli eventi delle pagine città.</w:t>
      </w:r>
    </w:p>
    <w:p>
      <w:pPr>
        <w:pStyle w:val="Heading1"/>
        <w:spacing w:after="160" w:before="320"/>
      </w:pPr>
      <w:r>
        <w:t xml:space="preserve">2. Nessun registro di chi accede ai dati da pannello admin</w:t>
      </w:r>
    </w:p>
    <w:p>
      <w:pPr>
        <w:spacing w:after="160"/>
        <w:jc w:val="both"/>
      </w:pPr>
      <w:r>
        <w:rPr>
          <w:rFonts w:ascii="Calibri" w:cs="Calibri" w:eastAsia="Calibri" w:hAnsi="Calibri"/>
          <w:b w:val="false"/>
          <w:bCs w:val="false"/>
          <w:sz w:val="22"/>
          <w:szCs w:val="22"/>
        </w:rPr>
        <w:t xml:space="preserve">Il pannello staff è protetto da password (e TOTP se attivo), ma non esiste da nessuna parte un log di "chi ha aperto quale lead e quando". Non è obbligatorio per legge in senso stretto, ma è una buona pratica che rafforza la tua posizione in caso di controllo o di incidente, e aiuta a capire cosa è successo se un domani un account admin viene compromesso.</w:t>
      </w:r>
    </w:p>
    <w:p>
      <w:pPr>
        <w:pStyle w:val="Heading1"/>
        <w:spacing w:after="160" w:before="320"/>
      </w:pPr>
      <w:r>
        <w:t xml:space="preserve">3. Chiave di sicurezza admin con valore di default debole [ATTENUATO 16/10/2026]</w:t>
      </w:r>
    </w:p>
    <w:p>
      <w:pPr>
        <w:spacing w:after="160"/>
        <w:jc w:val="both"/>
      </w:pPr>
      <w:r>
        <w:rPr>
          <w:rFonts w:ascii="Calibri" w:cs="Calibri" w:eastAsia="Calibri" w:hAnsi="Calibri"/>
          <w:b w:val="false"/>
          <w:bCs w:val="false"/>
          <w:sz w:val="22"/>
          <w:szCs w:val="22"/>
        </w:rPr>
        <w:t xml:space="preserve">La variabile ADMIN_JWT_SECRET, se non impostata nel file .env del server, usa un valore scritto nel codice stesso come ripiego ("dev-secret-change-in-production"). Va verificato che sul server in produzione sia impostata una variabile vera e robusta, perché quel valore di scorta, essendo nel codice, è prevedibile da chiunque legga il sorgente.</w:t>
      </w:r>
    </w:p>
    <w:p>
      <w:pPr>
        <w:spacing w:after="160"/>
        <w:jc w:val="both"/>
      </w:pPr>
      <w:r>
        <w:rPr>
          <w:rFonts w:ascii="Calibri" w:cs="Calibri" w:eastAsia="Calibri" w:hAnsi="Calibri"/>
          <w:b w:val="true"/>
          <w:bCs w:val="true"/>
          <w:color w:val="1F7A3D"/>
          <w:sz w:val="22"/>
          <w:szCs w:val="22"/>
        </w:rPr>
        <w:t xml:space="preserve">Attenuato: se parte in produzione senza ADMIN_JWT_SECRET impostato, il server ora genera da solo un segreto casuale sicuro per quell’avvio invece di usare il valore prevedibile scritto nel codice (e lo segnala forte nei log). Resta comunque fortemente consigliato impostare una variabile ADMIN_JWT_SECRET persistente nel .env, perché altrimenti ogni riavvio del server disconnette tutti gli admin.</w:t>
      </w:r>
    </w:p>
    <w:p>
      <w:pPr>
        <w:pStyle w:val="Heading1"/>
        <w:spacing w:after="160" w:before="320"/>
      </w:pPr>
      <w:r>
        <w:t xml:space="preserve">4. Cancellazione dei lead: oggi solo manuale [RISOLTO PARZIALMENTE 16/10/2026]</w:t>
      </w:r>
    </w:p>
    <w:p>
      <w:pPr>
        <w:spacing w:after="160"/>
        <w:jc w:val="both"/>
      </w:pPr>
      <w:r>
        <w:rPr>
          <w:rFonts w:ascii="Calibri" w:cs="Calibri" w:eastAsia="Calibri" w:hAnsi="Calibri"/>
          <w:b w:val="false"/>
          <w:bCs w:val="false"/>
          <w:sz w:val="22"/>
          <w:szCs w:val="22"/>
        </w:rPr>
        <w:t xml:space="preserve">Il sito non cancella mai automaticamente un lead/valutazione: resta nel database finché non lo elimini tu a mano dal pannello admin. L’informativa dichiara un periodo di conservazione di 24 mesi: per essere coerenti con quanto scritto, servirebbe o un controllo periodico tuo (ricordati di ripulire i lead più vecchi di 24 mesi ogni tanto) oppure, meglio, un automatismo lato server che lo faccia da solo con una certa cadenza.</w:t>
      </w:r>
    </w:p>
    <w:p>
      <w:pPr>
        <w:spacing w:after="160"/>
        <w:jc w:val="both"/>
      </w:pPr>
      <w:r>
        <w:rPr>
          <w:rFonts w:ascii="Calibri" w:cs="Calibri" w:eastAsia="Calibri" w:hAnsi="Calibri"/>
          <w:b w:val="true"/>
          <w:bCs w:val="true"/>
          <w:color w:val="1F7A3D"/>
          <w:sz w:val="22"/>
          <w:szCs w:val="22"/>
        </w:rPr>
        <w:t xml:space="preserve">Risolto per chi ha un account: cancellare l’account ora cancella davvero (non solo scollega) i lead/valutazioni collegati, insieme a foto/planimetrie e analisi AI. Resta da fare l’automatismo per le valutazioni fatte SENZA creare un account: quelle vanno ancora ripulite a mano dopo i 24 mesi dichiarati nell’informativa, oppure va costruito un automatismo lato server dedicato.</w:t>
      </w:r>
    </w:p>
    <w:p>
      <w:pPr>
        <w:pStyle w:val="Heading1"/>
        <w:spacing w:after="160" w:before="320"/>
      </w:pPr>
      <w:r>
        <w:t xml:space="preserve">5. Nessuna conferma scritta del fornitore che invia le email</w:t>
      </w:r>
    </w:p>
    <w:p>
      <w:pPr>
        <w:spacing w:after="160"/>
        <w:jc w:val="both"/>
      </w:pPr>
      <w:r>
        <w:rPr>
          <w:rFonts w:ascii="Calibri" w:cs="Calibri" w:eastAsia="Calibri" w:hAnsi="Calibri"/>
          <w:b w:val="false"/>
          <w:bCs w:val="false"/>
          <w:sz w:val="22"/>
          <w:szCs w:val="22"/>
        </w:rPr>
        <w:t xml:space="preserve">Le email (conferma, recupero password, eventuali newsletter) passano da un sistema di invio email che gestisci tu (Listmonk), installato sul tuo stesso server: va bene, ma se in futuro usi anche un servizio esterno per la consegna effettiva (es. un provider SMTP terzo), quel fornitore va aggiunto all’elenco dei destinatari nell’informativa.</w:t>
      </w:r>
    </w:p>
    <w:p>
      <w:pPr>
        <w:pStyle w:val="Heading1"/>
        <w:spacing w:after="160" w:before="320"/>
      </w:pPr>
      <w:r>
        <w:t xml:space="preserve">6. Campi anagrafici del Titolare ancora da completare</w:t>
      </w:r>
    </w:p>
    <w:p>
      <w:pPr>
        <w:spacing w:after="160"/>
        <w:jc w:val="both"/>
      </w:pPr>
      <w:r>
        <w:rPr>
          <w:rFonts w:ascii="Calibri" w:cs="Calibri" w:eastAsia="Calibri" w:hAnsi="Calibri"/>
          <w:b w:val="false"/>
          <w:bCs w:val="false"/>
          <w:sz w:val="22"/>
          <w:szCs w:val="22"/>
        </w:rPr>
        <w:t xml:space="preserve">Nell’informativa pubblica restano tra parentesi quadre: indirizzo della sede legale, codice fiscale/partita IVA, PEC e numero di telefono. Vanno inseriti prima di pubblicare il documento, altrimenti il documento non è valido come informativa reale (deve identificare con certezza il Titolare).</w:t>
      </w:r>
    </w:p>
    <w:p>
      <w:pPr>
        <w:pStyle w:val="Heading1"/>
        <w:spacing w:after="160" w:before="320"/>
      </w:pPr>
      <w:r>
        <w:t xml:space="preserve">7. Iscrizione automatica alla lista email “tutti gli utenti”</w:t>
      </w:r>
    </w:p>
    <w:p>
      <w:pPr>
        <w:spacing w:after="160"/>
        <w:jc w:val="both"/>
      </w:pPr>
      <w:r>
        <w:rPr>
          <w:rFonts w:ascii="Calibri" w:cs="Calibri" w:eastAsia="Calibri" w:hAnsi="Calibri"/>
          <w:sz w:val="22"/>
          <w:szCs w:val="22"/>
        </w:rPr>
        <w:t xml:space="preserve">Ogni nuovo utente registrato viene iscritto automaticamente a una lista email generale su Listmonk, senza un consenso specifico e distinto dalla registrazione stessa. L’ho descritta nell’informativa aggiornata come lista di sole comunicazioni di servizio (base giuridica: esecuzione del contratto, con disiscrizione sempre possibile), distinta dalla newsletter facoltativa separata.</w:t>
      </w:r>
    </w:p>
    <w:p>
      <w:pPr>
        <w:spacing w:after="160"/>
        <w:jc w:val="both"/>
      </w:pPr>
      <w:r>
        <w:rPr>
          <w:rFonts w:ascii="Calibri" w:cs="Calibri" w:eastAsia="Calibri" w:hAnsi="Calibri"/>
          <w:sz w:val="22"/>
          <w:szCs w:val="22"/>
        </w:rPr>
        <w:t xml:space="preserve">Perché la descrizione resti vera nei fatti, questa lista va usata SOLO per comunicazioni di servizio (es. novità sul funzionamento, manutenzioni, cambi importanti) e MAI per promozioni/offerte commerciali: se in futuro vuoi usarla anche per marketing, serve prima raccogliere un consenso specifico e distinto (opt-in), non basta l’iscrizione automatica attuale.</w:t>
      </w:r>
    </w:p>
    <w:p>
      <w:pPr>
        <w:pStyle w:val="Heading1"/>
        <w:spacing w:after="160" w:before="320"/>
      </w:pPr>
      <w:r>
        <w:t xml:space="preserve">8. Risposta all’avvocato: cosa manca ancora da parte tua</w:t>
      </w:r>
    </w:p>
    <w:p>
      <w:pPr>
        <w:spacing w:after="160"/>
        <w:jc w:val="both"/>
      </w:pPr>
      <w:r>
        <w:rPr>
          <w:rFonts w:ascii="Calibri" w:cs="Calibri" w:eastAsia="Calibri" w:hAnsi="Calibri"/>
          <w:sz w:val="22"/>
          <w:szCs w:val="22"/>
        </w:rPr>
        <w:t xml:space="preserve">Ho risposto a tutti i punti tecnici della sua email del 9 ottobre sulla base del codice reale (funzionamento app, dati raccolti, registrazione, finalità, comunicazione a terzi, fornitori esterni, geolocalizzazione, conservazione, distribuzione). Restano da fornire solo i dati che non sono nel codice:</w:t>
      </w:r>
    </w:p>
    <w:p>
      <w:pPr>
        <w:pStyle w:val="ListParagraph"/>
        <w:numPr>
          <w:ilvl w:val="0"/>
          <w:numId w:val="2"/>
        </w:numPr>
        <w:spacing w:after="90"/>
      </w:pPr>
      <w:r>
        <w:rPr>
          <w:rFonts w:ascii="Calibri" w:cs="Calibri" w:eastAsia="Calibri" w:hAnsi="Calibri"/>
          <w:sz w:val="22"/>
          <w:szCs w:val="22"/>
        </w:rPr>
        <w:t xml:space="preserve">Punto 1 (titolare): ragione sociale/nominativo, sede legale, P.IVA/C.F., e-mail e/o PEC di riferimento — vedi anche punto 6 qui sopra.</w:t>
      </w:r>
    </w:p>
    <w:p>
      <w:pPr>
        <w:pStyle w:val="ListParagraph"/>
        <w:numPr>
          <w:ilvl w:val="0"/>
          <w:numId w:val="2"/>
        </w:numPr>
        <w:spacing w:after="90"/>
      </w:pPr>
      <w:r>
        <w:rPr>
          <w:rFonts w:ascii="Calibri" w:cs="Calibri" w:eastAsia="Calibri" w:hAnsi="Calibri"/>
          <w:sz w:val="22"/>
          <w:szCs w:val="22"/>
        </w:rPr>
        <w:t xml:space="preserve">Punto 5 (utilizzo dati): conferma se la lista “tutti gli utenti” di Listmonk userà mai contenuti commerciali/promozionali, o solo comunicazioni di servizio come descritto sopra.</w:t>
      </w:r>
    </w:p>
    <w:p>
      <w:pPr>
        <w:pStyle w:val="ListParagraph"/>
        <w:numPr>
          <w:ilvl w:val="0"/>
          <w:numId w:val="2"/>
        </w:numPr>
        <w:spacing w:after="90"/>
      </w:pPr>
      <w:r>
        <w:rPr>
          <w:rFonts w:ascii="Calibri" w:cs="Calibri" w:eastAsia="Calibri" w:hAnsi="Calibri"/>
          <w:sz w:val="22"/>
          <w:szCs w:val="22"/>
        </w:rPr>
        <w:t xml:space="preserve">Punto 9 (conservazione): quale politica di conservazione vuoi adottare per i lead (es. cancellazione dopo 24 mesi di inattività) — l’informativa la dichiara già come termine, ma va resa effettiva lato codice (vedi punto 4 sopra).</w:t>
      </w:r>
    </w:p>
    <w:p>
      <w:pPr>
        <w:pStyle w:val="ListParagraph"/>
        <w:numPr>
          <w:ilvl w:val="0"/>
          <w:numId w:val="2"/>
        </w:numPr>
        <w:spacing w:after="90"/>
      </w:pPr>
      <w:r>
        <w:rPr>
          <w:rFonts w:ascii="Calibri" w:cs="Calibri" w:eastAsia="Calibri" w:hAnsi="Calibri"/>
          <w:sz w:val="22"/>
          <w:szCs w:val="22"/>
        </w:rPr>
        <w:t xml:space="preserve">Punto 11 (accessibilità digitale): numero di dipendenti/occupati e fatturato annuo o totale di bilancio dell’impresa, necessari all’avvocato per valutare se si applicano gli obblighi di accessibilità (EN 301 549/WCAG). Nel frattempo gli ho già confermato, dal codice, che il Servizio consente anche l’acquisto online a pagamento del report (non solo consultazione), dato rilevante per la sua valutazione.</w:t>
      </w:r>
    </w:p>
    <w:p>
      <w:pPr>
        <w:spacing w:after="160"/>
        <w:jc w:val="both"/>
      </w:pPr>
      <w:r>
        <w:rPr>
          <w:rFonts w:ascii="Calibri" w:cs="Calibri" w:eastAsia="Calibri" w:hAnsi="Calibri"/>
          <w:sz w:val="22"/>
          <w:szCs w:val="22"/>
        </w:rPr>
        <w:t xml:space="preserve">Il punto 10 (distribuzione) è già risposto con certezza dal codice: solo sito web, nessuna app nativa iOS/Android.</w:t>
      </w:r>
    </w:p>
    <w:p>
      <w:pPr>
        <w:pStyle w:val="Heading1"/>
        <w:spacing w:after="160" w:before="320"/>
      </w:pPr>
      <w:r>
        <w:t xml:space="preserve">Riepilogo priorità</w:t>
      </w:r>
    </w:p>
    <w:p>
      <w:pPr>
        <w:pStyle w:val="ListParagraph"/>
        <w:numPr>
          <w:ilvl w:val="0"/>
          <w:numId w:val="2"/>
        </w:numPr>
        <w:spacing w:after="90"/>
      </w:pPr>
      <w:r>
        <w:rPr>
          <w:rFonts w:ascii="Calibri" w:cs="Calibri" w:eastAsia="Calibri" w:hAnsi="Calibri"/>
          <w:sz w:val="22"/>
          <w:szCs w:val="22"/>
        </w:rPr>
        <w:t xml:space="preserve">RISOLTO 16/10/2026: Google Analytics ora gated dal consenso (punto 1)</w:t>
      </w:r>
    </w:p>
    <w:p>
      <w:pPr>
        <w:pStyle w:val="ListParagraph"/>
        <w:numPr>
          <w:ilvl w:val="0"/>
          <w:numId w:val="2"/>
        </w:numPr>
        <w:spacing w:after="90"/>
      </w:pPr>
      <w:r>
        <w:rPr>
          <w:rFonts w:ascii="Calibri" w:cs="Calibri" w:eastAsia="Calibri" w:hAnsi="Calibri"/>
          <w:sz w:val="22"/>
          <w:szCs w:val="22"/>
        </w:rPr>
        <w:t xml:space="preserve">Da completare subito: dati anagrafici del Titolare (punto 6)</w:t>
      </w:r>
    </w:p>
    <w:p>
      <w:pPr>
        <w:pStyle w:val="ListParagraph"/>
        <w:numPr>
          <w:ilvl w:val="0"/>
          <w:numId w:val="2"/>
        </w:numPr>
        <w:spacing w:after="90"/>
      </w:pPr>
      <w:r>
        <w:rPr>
          <w:rFonts w:ascii="Calibri" w:cs="Calibri" w:eastAsia="Calibri" w:hAnsi="Calibri"/>
          <w:sz w:val="22"/>
          <w:szCs w:val="22"/>
        </w:rPr>
        <w:t xml:space="preserve">Da completare subito: informazioni mancanti per la risposta all’avvocato — dati anagrafici, uso futuro della lista email, politica di conservazione, dipendenti/fatturato (punto 8)</w:t>
      </w:r>
    </w:p>
    <w:p>
      <w:pPr>
        <w:pStyle w:val="ListParagraph"/>
        <w:numPr>
          <w:ilvl w:val="0"/>
          <w:numId w:val="2"/>
        </w:numPr>
        <w:spacing w:after="90"/>
      </w:pPr>
      <w:r>
        <w:rPr>
          <w:rFonts w:ascii="Calibri" w:cs="Calibri" w:eastAsia="Calibri" w:hAnsi="Calibri"/>
          <w:sz w:val="22"/>
          <w:szCs w:val="22"/>
        </w:rPr>
        <w:t xml:space="preserve">Risolto per gli account (punto 4); resta da pianificare l’automatismo per le valutazioni senza account. ADMIN_JWT_SECRET: attenuato con fallback sicuro, ma verifica comunque che sul server in produzione sia impostata una variabile persistente (punto 3)</w:t>
      </w:r>
    </w:p>
    <w:p>
      <w:pPr>
        <w:pStyle w:val="ListParagraph"/>
        <w:numPr>
          <w:ilvl w:val="0"/>
          <w:numId w:val="2"/>
        </w:numPr>
        <w:spacing w:after="90"/>
      </w:pPr>
      <w:r>
        <w:rPr>
          <w:rFonts w:ascii="Calibri" w:cs="Calibri" w:eastAsia="Calibri" w:hAnsi="Calibri"/>
          <w:sz w:val="22"/>
          <w:szCs w:val="22"/>
        </w:rPr>
        <w:t xml:space="preserve">Buona pratica, non urgente: log di accesso admin (punto 2), verifica fornitore invio email (punto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2026-10-07T15:30:47.372Z</dcterms:created>
  <dcterms:modified xsi:type="dcterms:W3CDTF">2026-10-07T15:30:47.373Z</dcterms:modified>
</cp:coreProperties>
</file>

<file path=docProps/custom.xml><?xml version="1.0" encoding="utf-8"?>
<Properties xmlns="http://schemas.openxmlformats.org/officeDocument/2006/custom-properties" xmlns:vt="http://schemas.openxmlformats.org/officeDocument/2006/docPropsVTypes"/>
</file>