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rHeight w:val="120" w:hRule="exact"/>
        </w:trPr>
        <w:tc>
          <w:tcPr>
            <w:tcW w:type="dxa" w:w="3008"/>
            <w:tcBorders>
              <w:top w:val="none" w:sz="0"/>
              <w:left w:val="none" w:sz="0"/>
              <w:bottom w:val="none" w:sz="0"/>
              <w:right w:val="none" w:sz="0"/>
            </w:tcBorders>
            <w:shd w:fill="009E49" w:val="clear"/>
          </w:tcPr>
          <w:p>
            <w:r>
              <w:t xml:space="preserve"/>
            </w:r>
          </w:p>
        </w:tc>
        <w:tc>
          <w:tcPr>
            <w:tcW w:type="dxa" w:w="3008"/>
            <w:tcBorders>
              <w:top w:val="none" w:sz="0"/>
              <w:left w:val="none" w:sz="0"/>
              <w:bottom w:val="none" w:sz="0"/>
              <w:right w:val="none" w:sz="0"/>
            </w:tcBorders>
            <w:shd w:fill="FCD116" w:val="clear"/>
          </w:tcPr>
          <w:p>
            <w:r>
              <w:t xml:space="preserve"/>
            </w:r>
          </w:p>
        </w:tc>
        <w:tc>
          <w:tcPr>
            <w:tcW w:type="dxa" w:w="3010"/>
            <w:tcBorders>
              <w:top w:val="none" w:sz="0"/>
              <w:left w:val="none" w:sz="0"/>
              <w:bottom w:val="none" w:sz="0"/>
              <w:right w:val="none" w:sz="0"/>
            </w:tcBorders>
            <w:shd w:fill="3A75C4" w:val="clear"/>
          </w:tcPr>
          <w:p>
            <w:r>
              <w:t xml:space="preserve"/>
            </w:r>
          </w:p>
        </w:tc>
      </w:tr>
    </w:tbl>
    <w:p>
      <w:pPr>
        <w:spacing w:after="200" w:before="600"/>
        <w:jc w:val="center"/>
      </w:pPr>
      <w:r>
        <w:rPr>
          <w:rFonts w:ascii="Arial" w:cs="Arial" w:eastAsia="Arial" w:hAnsi="Arial"/>
          <w:color w:val="374151"/>
          <w:sz w:val="20"/>
          <w:szCs w:val="20"/>
        </w:rPr>
        <w:t xml:space="preserve">REPUBLIQUE GABONAISE</w:t>
      </w:r>
    </w:p>
    <w:p>
      <w:pPr>
        <w:spacing w:after="600"/>
        <w:jc w:val="center"/>
      </w:pPr>
      <w:r>
        <w:rPr>
          <w:rFonts w:ascii="Arial" w:cs="Arial" w:eastAsia="Arial" w:hAnsi="Arial"/>
          <w:i/>
          <w:iCs/>
          <w:color w:val="374151"/>
          <w:sz w:val="20"/>
          <w:szCs w:val="20"/>
        </w:rPr>
        <w:t xml:space="preserve">Affaires Diplomatiques — Pipeline IA</w:t>
      </w:r>
    </w:p>
    <w:p>
      <w:pPr>
        <w:spacing w:after="120"/>
        <w:jc w:val="center"/>
      </w:pPr>
      <w:r>
        <w:rPr>
          <w:rFonts w:ascii="Arial" w:cs="Arial" w:eastAsia="Arial" w:hAnsi="Arial"/>
          <w:b/>
          <w:bCs/>
          <w:color w:val="1A1A2E"/>
          <w:sz w:val="48"/>
          <w:szCs w:val="48"/>
        </w:rPr>
        <w:t xml:space="preserve">SPECIFICATION TECHNIQUE</w:t>
      </w:r>
    </w:p>
    <w:p>
      <w:pPr>
        <w:spacing w:after="60"/>
        <w:jc w:val="center"/>
      </w:pPr>
      <w:r>
        <w:rPr>
          <w:rFonts w:ascii="Arial" w:cs="Arial" w:eastAsia="Arial" w:hAnsi="Arial"/>
          <w:b/>
          <w:bCs/>
          <w:color w:val="009E49"/>
          <w:sz w:val="32"/>
          <w:szCs w:val="32"/>
        </w:rPr>
        <w:t xml:space="preserve">Système de Dossiers Opérateurs Économiques</w:t>
      </w:r>
    </w:p>
    <w:p>
      <w:pPr>
        <w:spacing w:after="120"/>
        <w:jc w:val="center"/>
      </w:pPr>
      <w:r>
        <w:rPr>
          <w:rFonts w:ascii="Arial" w:cs="Arial" w:eastAsia="Arial" w:hAnsi="Arial"/>
          <w:i/>
          <w:iCs/>
          <w:color w:val="374151"/>
          <w:sz w:val="24"/>
          <w:szCs w:val="24"/>
        </w:rPr>
        <w:t xml:space="preserve">Gestion documentaire automatique par cible</w:t>
      </w:r>
    </w:p>
    <w:p>
      <w:pP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rHeight w:val="120" w:hRule="exact"/>
        </w:trPr>
        <w:tc>
          <w:tcPr>
            <w:tcW w:type="dxa" w:w="3008"/>
            <w:tcBorders>
              <w:top w:val="none" w:sz="0"/>
              <w:left w:val="none" w:sz="0"/>
              <w:bottom w:val="none" w:sz="0"/>
              <w:right w:val="none" w:sz="0"/>
            </w:tcBorders>
            <w:shd w:fill="009E49" w:val="clear"/>
          </w:tcPr>
          <w:p>
            <w:r>
              <w:t xml:space="preserve"/>
            </w:r>
          </w:p>
        </w:tc>
        <w:tc>
          <w:tcPr>
            <w:tcW w:type="dxa" w:w="3008"/>
            <w:tcBorders>
              <w:top w:val="none" w:sz="0"/>
              <w:left w:val="none" w:sz="0"/>
              <w:bottom w:val="none" w:sz="0"/>
              <w:right w:val="none" w:sz="0"/>
            </w:tcBorders>
            <w:shd w:fill="FCD116" w:val="clear"/>
          </w:tcPr>
          <w:p>
            <w:r>
              <w:t xml:space="preserve"/>
            </w:r>
          </w:p>
        </w:tc>
        <w:tc>
          <w:tcPr>
            <w:tcW w:type="dxa" w:w="3010"/>
            <w:tcBorders>
              <w:top w:val="none" w:sz="0"/>
              <w:left w:val="none" w:sz="0"/>
              <w:bottom w:val="none" w:sz="0"/>
              <w:right w:val="none" w:sz="0"/>
            </w:tcBorders>
            <w:shd w:fill="3A75C4" w:val="clear"/>
          </w:tcPr>
          <w:p>
            <w:r>
              <w:t xml:space="preserve"/>
            </w:r>
          </w:p>
        </w:tc>
      </w:tr>
    </w:tbl>
    <w:p>
      <w:pPr>
        <w:spacing w:before="6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A1A2E"/>
                <w:sz w:val="20"/>
                <w:szCs w:val="20"/>
              </w:rPr>
              <w:t xml:space="preserve">Version</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1.0</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A1A2E"/>
                <w:sz w:val="20"/>
                <w:szCs w:val="20"/>
              </w:rPr>
              <w:t xml:space="preserve">Date</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8 avril 2026</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A1A2E"/>
                <w:sz w:val="20"/>
                <w:szCs w:val="20"/>
              </w:rPr>
              <w:t xml:space="preserve">Auteur</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OkaTech — Consulat.ga</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A1A2E"/>
                <w:sz w:val="20"/>
                <w:szCs w:val="20"/>
              </w:rPr>
              <w:t xml:space="preserve">Statut</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Proposition technique</w:t>
            </w:r>
          </w:p>
        </w:tc>
      </w:tr>
    </w:tbl>
    <w:p>
      <w:pPr>
        <w:sectPr>
          <w:pgSz w:w="11906" w:h="16838" w:orient="portrait"/>
          <w:pgMar w:top="2160" w:right="1440" w:bottom="1440" w:left="1440" w:header="708" w:footer="708" w:gutter="0"/>
          <w:pgNumType/>
          <w:docGrid w:linePitch="360"/>
        </w:sectPr>
      </w:pPr>
    </w:p>
    <w:p>
      <w:pPr>
        <w:pStyle w:val="Heading1"/>
        <w:spacing w:after="120" w:before="360"/>
      </w:pPr>
      <w:r>
        <w:rPr>
          <w:rFonts w:ascii="Arial" w:cs="Arial" w:eastAsia="Arial" w:hAnsi="Arial"/>
        </w:rPr>
        <w:t xml:space="preserve">1. Contexte et objectifs</w:t>
      </w:r>
    </w:p>
    <w:p>
      <w:pPr>
        <w:pStyle w:val="Heading2"/>
        <w:spacing w:after="120" w:before="240"/>
      </w:pPr>
      <w:r>
        <w:rPr>
          <w:rFonts w:ascii="Arial" w:cs="Arial" w:eastAsia="Arial" w:hAnsi="Arial"/>
        </w:rPr>
        <w:t xml:space="preserve">1.1 Situation actuelle</w:t>
      </w:r>
    </w:p>
    <w:p>
      <w:pPr>
        <w:spacing w:after="120"/>
        <w:jc w:val="both"/>
      </w:pPr>
      <w:r>
        <w:rPr>
          <w:rFonts w:ascii="Arial" w:cs="Arial" w:eastAsia="Arial" w:hAnsi="Arial"/>
          <w:b w:val="false"/>
          <w:bCs w:val="false"/>
          <w:i w:val="false"/>
          <w:iCs w:val="false"/>
          <w:color w:val="374151"/>
          <w:sz w:val="22"/>
          <w:szCs w:val="22"/>
        </w:rPr>
        <w:t xml:space="preserve">Le module Affaires Diplomatiques dispose d’un pipeline IA en 5 phases : Cibles → Plan Stratégique → Lettres → Rapports → Projets. Chaque phase est gérée par une table Convex dédiée avec des fonctions CRUD et des actions IA (découverte Gemini, génération de stratégie, rédaction de lettres, compilation de rapports, structuration de projets).</w:t>
      </w:r>
    </w:p>
    <w:p>
      <w:pPr>
        <w:spacing w:after="120"/>
        <w:jc w:val="both"/>
      </w:pPr>
      <w:r>
        <w:rPr>
          <w:rFonts w:ascii="Arial" w:cs="Arial" w:eastAsia="Arial" w:hAnsi="Arial"/>
          <w:b w:val="false"/>
          <w:bCs w:val="false"/>
          <w:i w:val="false"/>
          <w:iCs w:val="false"/>
          <w:color w:val="374151"/>
          <w:sz w:val="22"/>
          <w:szCs w:val="22"/>
        </w:rPr>
        <w:t xml:space="preserve">Cependant, lorsqu’une cible est identifiée et validée, il n’existe actuellement aucun système pour organiser physiquement les documents produits (plans, lettres, rapports, projets) dans une arborescence structurée et exportable.</w:t>
      </w:r>
    </w:p>
    <w:p>
      <w:pPr>
        <w:pStyle w:val="Heading2"/>
        <w:spacing w:after="120" w:before="240"/>
      </w:pPr>
      <w:r>
        <w:rPr>
          <w:rFonts w:ascii="Arial" w:cs="Arial" w:eastAsia="Arial" w:hAnsi="Arial"/>
        </w:rPr>
        <w:t xml:space="preserve">1.2 Objectif</w:t>
      </w:r>
    </w:p>
    <w:p>
      <w:pPr>
        <w:spacing w:after="120"/>
        <w:jc w:val="both"/>
      </w:pPr>
      <w:r>
        <w:rPr>
          <w:rFonts w:ascii="Arial" w:cs="Arial" w:eastAsia="Arial" w:hAnsi="Arial"/>
          <w:b w:val="false"/>
          <w:bCs w:val="false"/>
          <w:i w:val="false"/>
          <w:iCs w:val="false"/>
          <w:color w:val="374151"/>
          <w:sz w:val="22"/>
          <w:szCs w:val="22"/>
        </w:rPr>
        <w:t xml:space="preserve">Mettre en place un système hybride de gestion documentaire qui, dès la création d’une cible, crée automatiquement :</w:t>
      </w:r>
    </w:p>
    <w:p>
      <w:pPr>
        <w:pStyle w:val="ListParagraph"/>
        <w:numPr>
          <w:ilvl w:val="0"/>
          <w:numId w:val="2"/>
        </w:numPr>
        <w:spacing w:after="60"/>
      </w:pPr>
      <w:r>
        <w:rPr>
          <w:rFonts w:ascii="Arial" w:cs="Arial" w:eastAsia="Arial" w:hAnsi="Arial"/>
          <w:color w:val="374151"/>
          <w:sz w:val="22"/>
          <w:szCs w:val="22"/>
        </w:rPr>
        <w:t xml:space="preserve">Une structure virtuelle de dossiers dans Convex (métadonnées, liens aux documents)</w:t>
      </w:r>
    </w:p>
    <w:p>
      <w:pPr>
        <w:pStyle w:val="ListParagraph"/>
        <w:numPr>
          <w:ilvl w:val="0"/>
          <w:numId w:val="2"/>
        </w:numPr>
        <w:spacing w:after="60"/>
      </w:pPr>
      <w:r>
        <w:rPr>
          <w:rFonts w:ascii="Arial" w:cs="Arial" w:eastAsia="Arial" w:hAnsi="Arial"/>
          <w:color w:val="374151"/>
          <w:sz w:val="22"/>
          <w:szCs w:val="22"/>
        </w:rPr>
        <w:t xml:space="preserve">Une fiche synthétique de la cible auto-générée (DOCX + PDF)</w:t>
      </w:r>
    </w:p>
    <w:p>
      <w:pPr>
        <w:pStyle w:val="ListParagraph"/>
        <w:numPr>
          <w:ilvl w:val="0"/>
          <w:numId w:val="2"/>
        </w:numPr>
        <w:spacing w:after="60"/>
      </w:pPr>
      <w:r>
        <w:rPr>
          <w:rFonts w:ascii="Arial" w:cs="Arial" w:eastAsia="Arial" w:hAnsi="Arial"/>
          <w:color w:val="374151"/>
          <w:sz w:val="22"/>
          <w:szCs w:val="22"/>
        </w:rPr>
        <w:t xml:space="preserve">Un bouton « Exporter le dossier » générant l’arborescence complète en local</w:t>
      </w:r>
    </w:p>
    <w:p>
      <w:pPr>
        <w:pStyle w:val="Heading2"/>
        <w:spacing w:after="120" w:before="240"/>
      </w:pPr>
      <w:r>
        <w:rPr>
          <w:rFonts w:ascii="Arial" w:cs="Arial" w:eastAsia="Arial" w:hAnsi="Arial"/>
        </w:rPr>
        <w:t xml:space="preserve">1.3 Formats des documents</w:t>
      </w:r>
    </w:p>
    <w:p>
      <w:pPr>
        <w:spacing w:after="120"/>
        <w:jc w:val="both"/>
      </w:pPr>
      <w:r>
        <w:rPr>
          <w:rFonts w:ascii="Arial" w:cs="Arial" w:eastAsia="Arial" w:hAnsi="Arial"/>
          <w:b w:val="false"/>
          <w:bCs w:val="false"/>
          <w:i w:val="false"/>
          <w:iCs w:val="false"/>
          <w:color w:val="374151"/>
          <w:sz w:val="22"/>
          <w:szCs w:val="22"/>
        </w:rPr>
        <w:t xml:space="preserve">Tous les documents du dossier seront disponibles en trois formats :</w:t>
      </w:r>
    </w:p>
    <w:p>
      <w:pPr>
        <w:pStyle w:val="ListParagraph"/>
        <w:numPr>
          <w:ilvl w:val="0"/>
          <w:numId w:val="3"/>
        </w:numPr>
        <w:spacing w:after="60"/>
      </w:pPr>
      <w:r>
        <w:rPr>
          <w:rFonts w:ascii="Arial" w:cs="Arial" w:eastAsia="Arial" w:hAnsi="Arial"/>
          <w:color w:val="374151"/>
          <w:sz w:val="22"/>
          <w:szCs w:val="22"/>
        </w:rPr>
        <w:t xml:space="preserve">DOCX — Documents Word éditables (lettres, rapports, fiches)</w:t>
      </w:r>
    </w:p>
    <w:p>
      <w:pPr>
        <w:pStyle w:val="ListParagraph"/>
        <w:numPr>
          <w:ilvl w:val="0"/>
          <w:numId w:val="3"/>
        </w:numPr>
        <w:spacing w:after="60"/>
      </w:pPr>
      <w:r>
        <w:rPr>
          <w:rFonts w:ascii="Arial" w:cs="Arial" w:eastAsia="Arial" w:hAnsi="Arial"/>
          <w:color w:val="374151"/>
          <w:sz w:val="22"/>
          <w:szCs w:val="22"/>
        </w:rPr>
        <w:t xml:space="preserve">PPTX — Présentations PowerPoint (plans stratégiques, synthèses visuelles)</w:t>
      </w:r>
    </w:p>
    <w:p>
      <w:pPr>
        <w:pStyle w:val="ListParagraph"/>
        <w:numPr>
          <w:ilvl w:val="0"/>
          <w:numId w:val="3"/>
        </w:numPr>
        <w:spacing w:after="60"/>
      </w:pPr>
      <w:r>
        <w:rPr>
          <w:rFonts w:ascii="Arial" w:cs="Arial" w:eastAsia="Arial" w:hAnsi="Arial"/>
          <w:color w:val="374151"/>
          <w:sz w:val="22"/>
          <w:szCs w:val="22"/>
        </w:rPr>
        <w:t xml:space="preserve">PDF — Version archivage et envoi officiel de chaque document</w:t>
      </w:r>
    </w:p>
    <w:p>
      <w:r>
        <w:br w:type="page"/>
      </w:r>
    </w:p>
    <w:p>
      <w:pPr>
        <w:pStyle w:val="Heading1"/>
        <w:spacing w:after="120" w:before="360"/>
      </w:pPr>
      <w:r>
        <w:rPr>
          <w:rFonts w:ascii="Arial" w:cs="Arial" w:eastAsia="Arial" w:hAnsi="Arial"/>
        </w:rPr>
        <w:t xml:space="preserve">2. Arborescence des dossiers</w:t>
      </w:r>
    </w:p>
    <w:p>
      <w:pPr>
        <w:pStyle w:val="Heading2"/>
        <w:spacing w:after="120" w:before="240"/>
      </w:pPr>
      <w:r>
        <w:rPr>
          <w:rFonts w:ascii="Arial" w:cs="Arial" w:eastAsia="Arial" w:hAnsi="Arial"/>
        </w:rPr>
        <w:t xml:space="preserve">2.1 Structure : Par secteur puis par cible</w:t>
      </w:r>
    </w:p>
    <w:p>
      <w:pPr>
        <w:spacing w:after="120"/>
        <w:jc w:val="both"/>
      </w:pPr>
      <w:r>
        <w:rPr>
          <w:rFonts w:ascii="Arial" w:cs="Arial" w:eastAsia="Arial" w:hAnsi="Arial"/>
          <w:b w:val="false"/>
          <w:bCs w:val="false"/>
          <w:i w:val="false"/>
          <w:iCs w:val="false"/>
          <w:color w:val="374151"/>
          <w:sz w:val="22"/>
          <w:szCs w:val="22"/>
        </w:rPr>
        <w:t xml:space="preserve">L’organisation adoptée regroupe les opérateurs économiques d’abord par secteur d’activité, puis par nom de cible. Cette approche facilite l’analyse sectorielle et le reporting thématique.</w:t>
      </w:r>
    </w:p>
    <w:p>
      <w:pPr>
        <w:spacing w:after="60" w:before="120"/>
      </w:pPr>
      <w:r>
        <w:rPr>
          <w:rFonts w:ascii="Arial" w:cs="Arial" w:eastAsia="Arial" w:hAnsi="Arial"/>
          <w:b/>
          <w:bCs/>
          <w:color w:val="1A1A2E"/>
          <w:sz w:val="22"/>
          <w:szCs w:val="22"/>
        </w:rPr>
        <w:t xml:space="preserve">Exemple d’arborescence :</w:t>
      </w:r>
    </w:p>
    <w:p>
      <w:pPr>
        <w:spacing w:after="80" w:before="80"/>
        <w:ind w:left="360"/>
      </w:pPr>
      <w:r>
        <w:rPr>
          <w:rFonts w:ascii="Courier New" w:cs="Courier New" w:eastAsia="Courier New" w:hAnsi="Courier New"/>
          <w:color w:val="1A1A2E"/>
          <w:sz w:val="18"/>
          <w:szCs w:val="18"/>
        </w:rPr>
        <w:t xml:space="preserve">📁 Opérateurs Économiques/</w:t>
      </w:r>
    </w:p>
    <w:p>
      <w:pPr>
        <w:spacing w:after="80" w:before="80"/>
        <w:ind w:left="360"/>
      </w:pPr>
      <w:r>
        <w:rPr>
          <w:rFonts w:ascii="Courier New" w:cs="Courier New" w:eastAsia="Courier New" w:hAnsi="Courier New"/>
          <w:color w:val="1A1A2E"/>
          <w:sz w:val="18"/>
          <w:szCs w:val="18"/>
        </w:rPr>
        <w:t xml:space="preserve">    📁 Énergie Renouvelable/</w:t>
      </w:r>
    </w:p>
    <w:p>
      <w:pPr>
        <w:spacing w:after="80" w:before="80"/>
        <w:ind w:left="360"/>
      </w:pPr>
      <w:r>
        <w:rPr>
          <w:rFonts w:ascii="Courier New" w:cs="Courier New" w:eastAsia="Courier New" w:hAnsi="Courier New"/>
          <w:color w:val="1A1A2E"/>
          <w:sz w:val="18"/>
          <w:szCs w:val="18"/>
        </w:rPr>
        <w:t xml:space="preserve">        📁 Acciona S.A./</w:t>
      </w:r>
    </w:p>
    <w:p>
      <w:pPr>
        <w:spacing w:after="80" w:before="80"/>
        <w:ind w:left="360"/>
      </w:pPr>
      <w:r>
        <w:rPr>
          <w:rFonts w:ascii="Courier New" w:cs="Courier New" w:eastAsia="Courier New" w:hAnsi="Courier New"/>
          <w:color w:val="1A1A2E"/>
          <w:sz w:val="18"/>
          <w:szCs w:val="18"/>
        </w:rPr>
        <w:t xml:space="preserve">            📄 Fiche_Cible_Acciona.docx</w:t>
      </w:r>
    </w:p>
    <w:p>
      <w:pPr>
        <w:spacing w:after="80" w:before="80"/>
        <w:ind w:left="360"/>
      </w:pPr>
      <w:r>
        <w:rPr>
          <w:rFonts w:ascii="Courier New" w:cs="Courier New" w:eastAsia="Courier New" w:hAnsi="Courier New"/>
          <w:color w:val="1A1A2E"/>
          <w:sz w:val="18"/>
          <w:szCs w:val="18"/>
        </w:rPr>
        <w:t xml:space="preserve">            📄 Fiche_Cible_Acciona.pdf</w:t>
      </w:r>
    </w:p>
    <w:p>
      <w:pPr>
        <w:spacing w:after="80" w:before="80"/>
        <w:ind w:left="360"/>
      </w:pPr>
      <w:r>
        <w:rPr>
          <w:rFonts w:ascii="Courier New" w:cs="Courier New" w:eastAsia="Courier New" w:hAnsi="Courier New"/>
          <w:color w:val="1A1A2E"/>
          <w:sz w:val="18"/>
          <w:szCs w:val="18"/>
        </w:rPr>
        <w:t xml:space="preserve">            📁 Plans Stratégiques/</w:t>
      </w:r>
    </w:p>
    <w:p>
      <w:pPr>
        <w:spacing w:after="80" w:before="80"/>
        <w:ind w:left="360"/>
      </w:pPr>
      <w:r>
        <w:rPr>
          <w:rFonts w:ascii="Courier New" w:cs="Courier New" w:eastAsia="Courier New" w:hAnsi="Courier New"/>
          <w:color w:val="1A1A2E"/>
          <w:sz w:val="18"/>
          <w:szCs w:val="18"/>
        </w:rPr>
        <w:t xml:space="preserve">                📄 Plan_Bilateral_Acciona_2026.pptx</w:t>
      </w:r>
    </w:p>
    <w:p>
      <w:pPr>
        <w:spacing w:after="80" w:before="80"/>
        <w:ind w:left="360"/>
      </w:pPr>
      <w:r>
        <w:rPr>
          <w:rFonts w:ascii="Courier New" w:cs="Courier New" w:eastAsia="Courier New" w:hAnsi="Courier New"/>
          <w:color w:val="1A1A2E"/>
          <w:sz w:val="18"/>
          <w:szCs w:val="18"/>
        </w:rPr>
        <w:t xml:space="preserve">                📄 Plan_Bilateral_Acciona_2026.pdf</w:t>
      </w:r>
    </w:p>
    <w:p>
      <w:pPr>
        <w:spacing w:after="80" w:before="80"/>
        <w:ind w:left="360"/>
      </w:pPr>
      <w:r>
        <w:rPr>
          <w:rFonts w:ascii="Courier New" w:cs="Courier New" w:eastAsia="Courier New" w:hAnsi="Courier New"/>
          <w:color w:val="1A1A2E"/>
          <w:sz w:val="18"/>
          <w:szCs w:val="18"/>
        </w:rPr>
        <w:t xml:space="preserve">            📁 Lettres/</w:t>
      </w:r>
    </w:p>
    <w:p>
      <w:pPr>
        <w:spacing w:after="80" w:before="80"/>
        <w:ind w:left="360"/>
      </w:pPr>
      <w:r>
        <w:rPr>
          <w:rFonts w:ascii="Courier New" w:cs="Courier New" w:eastAsia="Courier New" w:hAnsi="Courier New"/>
          <w:color w:val="1A1A2E"/>
          <w:sz w:val="18"/>
          <w:szCs w:val="18"/>
        </w:rPr>
        <w:t xml:space="preserve">                📄 LD_2026_ABC12_Introduction.docx</w:t>
      </w:r>
    </w:p>
    <w:p>
      <w:pPr>
        <w:spacing w:after="80" w:before="80"/>
        <w:ind w:left="360"/>
      </w:pPr>
      <w:r>
        <w:rPr>
          <w:rFonts w:ascii="Courier New" w:cs="Courier New" w:eastAsia="Courier New" w:hAnsi="Courier New"/>
          <w:color w:val="1A1A2E"/>
          <w:sz w:val="18"/>
          <w:szCs w:val="18"/>
        </w:rPr>
        <w:t xml:space="preserve">                📄 LD_2026_ABC12_Introduction.pdf</w:t>
      </w:r>
    </w:p>
    <w:p>
      <w:pPr>
        <w:spacing w:after="80" w:before="80"/>
        <w:ind w:left="360"/>
      </w:pPr>
      <w:r>
        <w:rPr>
          <w:rFonts w:ascii="Courier New" w:cs="Courier New" w:eastAsia="Courier New" w:hAnsi="Courier New"/>
          <w:color w:val="1A1A2E"/>
          <w:sz w:val="18"/>
          <w:szCs w:val="18"/>
        </w:rPr>
        <w:t xml:space="preserve">            📁 Rapports/</w:t>
      </w:r>
    </w:p>
    <w:p>
      <w:pPr>
        <w:spacing w:after="80" w:before="80"/>
        <w:ind w:left="360"/>
      </w:pPr>
      <w:r>
        <w:rPr>
          <w:rFonts w:ascii="Courier New" w:cs="Courier New" w:eastAsia="Courier New" w:hAnsi="Courier New"/>
          <w:color w:val="1A1A2E"/>
          <w:sz w:val="18"/>
          <w:szCs w:val="18"/>
        </w:rPr>
        <w:t xml:space="preserve">                📄 Rapport_Activite_Q1_2026.docx</w:t>
      </w:r>
    </w:p>
    <w:p>
      <w:pPr>
        <w:spacing w:after="80" w:before="80"/>
        <w:ind w:left="360"/>
      </w:pPr>
      <w:r>
        <w:rPr>
          <w:rFonts w:ascii="Courier New" w:cs="Courier New" w:eastAsia="Courier New" w:hAnsi="Courier New"/>
          <w:color w:val="1A1A2E"/>
          <w:sz w:val="18"/>
          <w:szCs w:val="18"/>
        </w:rPr>
        <w:t xml:space="preserve">                📄 Rapport_Activite_Q1_2026.pdf</w:t>
      </w:r>
    </w:p>
    <w:p>
      <w:pPr>
        <w:spacing w:after="80" w:before="80"/>
        <w:ind w:left="360"/>
      </w:pPr>
      <w:r>
        <w:rPr>
          <w:rFonts w:ascii="Courier New" w:cs="Courier New" w:eastAsia="Courier New" w:hAnsi="Courier New"/>
          <w:color w:val="1A1A2E"/>
          <w:sz w:val="18"/>
          <w:szCs w:val="18"/>
        </w:rPr>
        <w:t xml:space="preserve">            📁 Projets/</w:t>
      </w:r>
    </w:p>
    <w:p>
      <w:pPr>
        <w:spacing w:after="80" w:before="80"/>
        <w:ind w:left="360"/>
      </w:pPr>
      <w:r>
        <w:rPr>
          <w:rFonts w:ascii="Courier New" w:cs="Courier New" w:eastAsia="Courier New" w:hAnsi="Courier New"/>
          <w:color w:val="1A1A2E"/>
          <w:sz w:val="18"/>
          <w:szCs w:val="18"/>
        </w:rPr>
        <w:t xml:space="preserve">                📄 Projet_Cooperation_Solaire.docx</w:t>
      </w:r>
    </w:p>
    <w:p>
      <w:pPr>
        <w:spacing w:after="80" w:before="80"/>
        <w:ind w:left="360"/>
      </w:pPr>
      <w:r>
        <w:rPr>
          <w:rFonts w:ascii="Courier New" w:cs="Courier New" w:eastAsia="Courier New" w:hAnsi="Courier New"/>
          <w:color w:val="1A1A2E"/>
          <w:sz w:val="18"/>
          <w:szCs w:val="18"/>
        </w:rPr>
        <w:t xml:space="preserve">                📄 Projet_Cooperation_Solaire.pdf</w:t>
      </w:r>
    </w:p>
    <w:p>
      <w:pPr>
        <w:spacing w:after="80" w:before="80"/>
        <w:ind w:left="360"/>
      </w:pPr>
      <w:r>
        <w:rPr>
          <w:rFonts w:ascii="Courier New" w:cs="Courier New" w:eastAsia="Courier New" w:hAnsi="Courier New"/>
          <w:color w:val="1A1A2E"/>
          <w:sz w:val="18"/>
          <w:szCs w:val="18"/>
        </w:rPr>
        <w:t xml:space="preserve">    📁 Numérique/</w:t>
      </w:r>
    </w:p>
    <w:p>
      <w:pPr>
        <w:spacing w:after="80" w:before="80"/>
        <w:ind w:left="360"/>
      </w:pPr>
      <w:r>
        <w:rPr>
          <w:rFonts w:ascii="Courier New" w:cs="Courier New" w:eastAsia="Courier New" w:hAnsi="Courier New"/>
          <w:color w:val="1A1A2E"/>
          <w:sz w:val="18"/>
          <w:szCs w:val="18"/>
        </w:rPr>
        <w:t xml:space="preserve">        📁 Telefónica S.A./</w:t>
      </w:r>
    </w:p>
    <w:p>
      <w:pPr>
        <w:spacing w:after="80" w:before="80"/>
        <w:ind w:left="360"/>
      </w:pPr>
      <w:r>
        <w:rPr>
          <w:rFonts w:ascii="Courier New" w:cs="Courier New" w:eastAsia="Courier New" w:hAnsi="Courier New"/>
          <w:color w:val="1A1A2E"/>
          <w:sz w:val="18"/>
          <w:szCs w:val="18"/>
        </w:rPr>
        <w:t xml:space="preserve">            ...</w:t>
      </w:r>
    </w:p>
    <w:p>
      <w:pPr>
        <w:spacing w:after="80" w:before="80"/>
        <w:ind w:left="360"/>
      </w:pPr>
      <w:r>
        <w:rPr>
          <w:rFonts w:ascii="Courier New" w:cs="Courier New" w:eastAsia="Courier New" w:hAnsi="Courier New"/>
          <w:color w:val="1A1A2E"/>
          <w:sz w:val="18"/>
          <w:szCs w:val="18"/>
        </w:rPr>
        <w:t xml:space="preserve">    📁 Financement du Développement/</w:t>
      </w:r>
    </w:p>
    <w:p>
      <w:pPr>
        <w:spacing w:after="80" w:before="80"/>
        <w:ind w:left="360"/>
      </w:pPr>
      <w:r>
        <w:rPr>
          <w:rFonts w:ascii="Courier New" w:cs="Courier New" w:eastAsia="Courier New" w:hAnsi="Courier New"/>
          <w:color w:val="1A1A2E"/>
          <w:sz w:val="18"/>
          <w:szCs w:val="18"/>
        </w:rPr>
        <w:t xml:space="preserve">        📁 COFIDES/</w:t>
      </w:r>
    </w:p>
    <w:p>
      <w:pPr>
        <w:spacing w:after="80" w:before="80"/>
        <w:ind w:left="360"/>
      </w:pPr>
      <w:r>
        <w:rPr>
          <w:rFonts w:ascii="Courier New" w:cs="Courier New" w:eastAsia="Courier New" w:hAnsi="Courier New"/>
          <w:color w:val="1A1A2E"/>
          <w:sz w:val="18"/>
          <w:szCs w:val="18"/>
        </w:rPr>
        <w:t xml:space="preserve">            ...</w:t>
      </w:r>
    </w:p>
    <w:p>
      <w:r>
        <w:br w:type="page"/>
      </w:r>
    </w:p>
    <w:p>
      <w:pPr>
        <w:pStyle w:val="Heading1"/>
        <w:spacing w:after="120" w:before="360"/>
      </w:pPr>
      <w:r>
        <w:rPr>
          <w:rFonts w:ascii="Arial" w:cs="Arial" w:eastAsia="Arial" w:hAnsi="Arial"/>
        </w:rPr>
        <w:t xml:space="preserve">3. Architecture backend (Convex)</w:t>
      </w:r>
    </w:p>
    <w:p>
      <w:pPr>
        <w:pStyle w:val="Heading2"/>
        <w:spacing w:after="120" w:before="240"/>
      </w:pPr>
      <w:r>
        <w:rPr>
          <w:rFonts w:ascii="Arial" w:cs="Arial" w:eastAsia="Arial" w:hAnsi="Arial"/>
        </w:rPr>
        <w:t xml:space="preserve">3.1 Nouvelle table : diplomaticFolders</w:t>
      </w:r>
    </w:p>
    <w:p>
      <w:pPr>
        <w:spacing w:after="120"/>
        <w:jc w:val="both"/>
      </w:pPr>
      <w:r>
        <w:rPr>
          <w:rFonts w:ascii="Arial" w:cs="Arial" w:eastAsia="Arial" w:hAnsi="Arial"/>
          <w:b w:val="false"/>
          <w:bCs w:val="false"/>
          <w:i w:val="false"/>
          <w:iCs w:val="false"/>
          <w:color w:val="374151"/>
          <w:sz w:val="22"/>
          <w:szCs w:val="22"/>
        </w:rPr>
        <w:t xml:space="preserve">Une nouvelle table Convex gère la structure virtuelle des dossiers. Elle ne stocke pas les fichiers eux-mêmes (qui restent dans _storage via les tables existantes) mais organise les références.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c>
          <w:tcPr>
            <w:tcW w:type="dxa" w:w="2200"/>
            <w:tcBorders>
              <w:top w:val="single" w:color="D1D5DB" w:sz="1"/>
              <w:left w:val="single" w:color="D1D5DB" w:sz="1"/>
              <w:bottom w:val="single" w:color="D1D5DB" w:sz="1"/>
              <w:right w:val="single" w:color="D1D5DB" w:sz="1"/>
            </w:tcBorders>
            <w:shd w:fill="009E4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Champ</w:t>
            </w:r>
          </w:p>
        </w:tc>
        <w:tc>
          <w:tcPr>
            <w:tcW w:type="dxa" w:w="1800"/>
            <w:tcBorders>
              <w:top w:val="single" w:color="D1D5DB" w:sz="1"/>
              <w:left w:val="single" w:color="D1D5DB" w:sz="1"/>
              <w:bottom w:val="single" w:color="D1D5DB" w:sz="1"/>
              <w:right w:val="single" w:color="D1D5DB" w:sz="1"/>
            </w:tcBorders>
            <w:shd w:fill="009E4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5026"/>
            <w:tcBorders>
              <w:top w:val="single" w:color="D1D5DB" w:sz="1"/>
              <w:left w:val="single" w:color="D1D5DB" w:sz="1"/>
              <w:bottom w:val="single" w:color="D1D5DB" w:sz="1"/>
              <w:right w:val="single" w:color="D1D5DB" w:sz="1"/>
            </w:tcBorders>
            <w:shd w:fill="009E4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orgId</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id&lt;orgs&gt;</w:t>
            </w:r>
          </w:p>
        </w:tc>
        <w:tc>
          <w:tcPr>
            <w:tcW w:type="dxa" w:w="5026"/>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Organisation propriétaire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targetId</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id&lt;targets&gt;</w:t>
            </w:r>
          </w:p>
        </w:tc>
        <w:tc>
          <w:tcPr>
            <w:tcW w:type="dxa" w:w="5026"/>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Cible diplomatique associée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folderPath</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string</w:t>
            </w:r>
          </w:p>
        </w:tc>
        <w:tc>
          <w:tcPr>
            <w:tcW w:type="dxa" w:w="5026"/>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Chemin virtuel : « Secteur/NomCible »</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sector</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string</w:t>
            </w:r>
          </w:p>
        </w:tc>
        <w:tc>
          <w:tcPr>
            <w:tcW w:type="dxa" w:w="5026"/>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Secteur d’activité (clé de regroupement)</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targetName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string</w:t>
            </w:r>
          </w:p>
        </w:tc>
        <w:tc>
          <w:tcPr>
            <w:tcW w:type="dxa" w:w="5026"/>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Nom de la cible (dénormalisé pour perf)</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ficheStorageId</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id&lt;_storage&gt;?</w:t>
            </w:r>
          </w:p>
        </w:tc>
        <w:tc>
          <w:tcPr>
            <w:tcW w:type="dxa" w:w="5026"/>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Fiche cible DOCX auto-générée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fichePdfStorageId</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id&lt;_storage&gt;?</w:t>
            </w:r>
          </w:p>
        </w:tc>
        <w:tc>
          <w:tcPr>
            <w:tcW w:type="dxa" w:w="5026"/>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Fiche cible PDF auto-générée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status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enum</w:t>
            </w:r>
          </w:p>
        </w:tc>
        <w:tc>
          <w:tcPr>
            <w:tcW w:type="dxa" w:w="5026"/>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active | archived | exported</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lastExportedAt</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number?</w:t>
            </w:r>
          </w:p>
        </w:tc>
        <w:tc>
          <w:tcPr>
            <w:tcW w:type="dxa" w:w="5026"/>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Timestamp du dernier export local</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createdAt</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number</w:t>
            </w:r>
          </w:p>
        </w:tc>
        <w:tc>
          <w:tcPr>
            <w:tcW w:type="dxa" w:w="5026"/>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Date de création automatique</w:t>
            </w:r>
          </w:p>
        </w:tc>
      </w:tr>
    </w:tbl>
    <w:p>
      <w:pPr>
        <w:pStyle w:val="Heading2"/>
        <w:spacing w:after="120" w:before="240"/>
      </w:pPr>
      <w:r>
        <w:rPr>
          <w:rFonts w:ascii="Arial" w:cs="Arial" w:eastAsia="Arial" w:hAnsi="Arial"/>
        </w:rPr>
        <w:t xml:space="preserve">3.2 Table des documents du dossier : diplomaticDocuments</w:t>
      </w:r>
    </w:p>
    <w:p>
      <w:pPr>
        <w:spacing w:after="120"/>
        <w:jc w:val="both"/>
      </w:pPr>
      <w:r>
        <w:rPr>
          <w:rFonts w:ascii="Arial" w:cs="Arial" w:eastAsia="Arial" w:hAnsi="Arial"/>
          <w:b w:val="false"/>
          <w:bCs w:val="false"/>
          <w:i w:val="false"/>
          <w:iCs w:val="false"/>
          <w:color w:val="374151"/>
          <w:sz w:val="22"/>
          <w:szCs w:val="22"/>
        </w:rPr>
        <w:t xml:space="preserve">Chaque document produit (plan, lettre, rapport, projet) est référencé dans cette table pour assurer la traçabilité complète.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c>
          <w:tcPr>
            <w:tcW w:type="dxa" w:w="2200"/>
            <w:tcBorders>
              <w:top w:val="single" w:color="D1D5DB" w:sz="1"/>
              <w:left w:val="single" w:color="D1D5DB" w:sz="1"/>
              <w:bottom w:val="single" w:color="D1D5DB" w:sz="1"/>
              <w:right w:val="single" w:color="D1D5DB" w:sz="1"/>
            </w:tcBorders>
            <w:shd w:fill="009E4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Champ</w:t>
            </w:r>
          </w:p>
        </w:tc>
        <w:tc>
          <w:tcPr>
            <w:tcW w:type="dxa" w:w="1800"/>
            <w:tcBorders>
              <w:top w:val="single" w:color="D1D5DB" w:sz="1"/>
              <w:left w:val="single" w:color="D1D5DB" w:sz="1"/>
              <w:bottom w:val="single" w:color="D1D5DB" w:sz="1"/>
              <w:right w:val="single" w:color="D1D5DB" w:sz="1"/>
            </w:tcBorders>
            <w:shd w:fill="009E4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5026"/>
            <w:tcBorders>
              <w:top w:val="single" w:color="D1D5DB" w:sz="1"/>
              <w:left w:val="single" w:color="D1D5DB" w:sz="1"/>
              <w:bottom w:val="single" w:color="D1D5DB" w:sz="1"/>
              <w:right w:val="single" w:color="D1D5DB" w:sz="1"/>
            </w:tcBorders>
            <w:shd w:fill="009E4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folderId</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id&lt;folders&gt;</w:t>
            </w:r>
          </w:p>
        </w:tc>
        <w:tc>
          <w:tcPr>
            <w:tcW w:type="dxa" w:w="5026"/>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Dossier parent</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sourceType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enum</w:t>
            </w:r>
          </w:p>
        </w:tc>
        <w:tc>
          <w:tcPr>
            <w:tcW w:type="dxa" w:w="5026"/>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plan | letter | report | project | fiche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sourceId</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id&lt;*&gt;</w:t>
            </w:r>
          </w:p>
        </w:tc>
        <w:tc>
          <w:tcPr>
            <w:tcW w:type="dxa" w:w="5026"/>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ID de l’entité source (plan, lettre, etc.)</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subfolder</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string</w:t>
            </w:r>
          </w:p>
        </w:tc>
        <w:tc>
          <w:tcPr>
            <w:tcW w:type="dxa" w:w="5026"/>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Sous-dossier : Plans, Lettres, Rapports, Projets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filename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string</w:t>
            </w:r>
          </w:p>
        </w:tc>
        <w:tc>
          <w:tcPr>
            <w:tcW w:type="dxa" w:w="5026"/>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Nom du fichier généré</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format</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enum</w:t>
            </w:r>
          </w:p>
        </w:tc>
        <w:tc>
          <w:tcPr>
            <w:tcW w:type="dxa" w:w="5026"/>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docx | pptx | pdf</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storageId</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id&lt;_storage&gt;</w:t>
            </w:r>
          </w:p>
        </w:tc>
        <w:tc>
          <w:tcPr>
            <w:tcW w:type="dxa" w:w="5026"/>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Référence Convex Storage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generatedAt</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number</w:t>
            </w:r>
          </w:p>
        </w:tc>
        <w:tc>
          <w:tcPr>
            <w:tcW w:type="dxa" w:w="5026"/>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Date de génération</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version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number</w:t>
            </w:r>
          </w:p>
        </w:tc>
        <w:tc>
          <w:tcPr>
            <w:tcW w:type="dxa" w:w="5026"/>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Numéro de version (incrémental)</w:t>
            </w:r>
          </w:p>
        </w:tc>
      </w:tr>
    </w:tbl>
    <w:p>
      <w:r>
        <w:br w:type="page"/>
      </w:r>
    </w:p>
    <w:p>
      <w:pPr>
        <w:pStyle w:val="Heading1"/>
        <w:spacing w:after="120" w:before="360"/>
      </w:pPr>
      <w:r>
        <w:rPr>
          <w:rFonts w:ascii="Arial" w:cs="Arial" w:eastAsia="Arial" w:hAnsi="Arial"/>
        </w:rPr>
        <w:t xml:space="preserve">4. Workflow automatique</w:t>
      </w:r>
    </w:p>
    <w:p>
      <w:pPr>
        <w:pStyle w:val="Heading2"/>
        <w:spacing w:after="120" w:before="240"/>
      </w:pPr>
      <w:r>
        <w:rPr>
          <w:rFonts w:ascii="Arial" w:cs="Arial" w:eastAsia="Arial" w:hAnsi="Arial"/>
        </w:rPr>
        <w:t xml:space="preserve">4.1 Déclenchement : création d’une cible</w:t>
      </w:r>
    </w:p>
    <w:p>
      <w:pPr>
        <w:spacing w:after="120"/>
        <w:jc w:val="both"/>
      </w:pPr>
      <w:r>
        <w:rPr>
          <w:rFonts w:ascii="Arial" w:cs="Arial" w:eastAsia="Arial" w:hAnsi="Arial"/>
          <w:b w:val="false"/>
          <w:bCs w:val="false"/>
          <w:i w:val="false"/>
          <w:iCs w:val="false"/>
          <w:color w:val="374151"/>
          <w:sz w:val="22"/>
          <w:szCs w:val="22"/>
        </w:rPr>
        <w:t xml:space="preserve">Dès qu’une cible est créée (manuellement ou via découverte IA), le système exécute automatiquement la séquence suivante :</w:t>
      </w:r>
    </w:p>
    <w:p>
      <w:pPr>
        <w:pStyle w:val="ListParagraph"/>
        <w:numPr>
          <w:ilvl w:val="0"/>
          <w:numId w:val="4"/>
        </w:numPr>
        <w:spacing w:after="60"/>
      </w:pPr>
      <w:r>
        <w:rPr>
          <w:rFonts w:ascii="Arial" w:cs="Arial" w:eastAsia="Arial" w:hAnsi="Arial"/>
          <w:color w:val="374151"/>
          <w:sz w:val="22"/>
          <w:szCs w:val="22"/>
        </w:rPr>
        <w:t xml:space="preserve">Création du dossier virtuel (diplomaticFolders) avec le chemin Secteur/NomCible</w:t>
      </w:r>
    </w:p>
    <w:p>
      <w:pPr>
        <w:pStyle w:val="ListParagraph"/>
        <w:numPr>
          <w:ilvl w:val="0"/>
          <w:numId w:val="4"/>
        </w:numPr>
        <w:spacing w:after="60"/>
      </w:pPr>
      <w:r>
        <w:rPr>
          <w:rFonts w:ascii="Arial" w:cs="Arial" w:eastAsia="Arial" w:hAnsi="Arial"/>
          <w:color w:val="374151"/>
          <w:sz w:val="22"/>
          <w:szCs w:val="22"/>
        </w:rPr>
        <w:t xml:space="preserve">Génération de la Fiche Cible en DOCX contenant : nom, type, secteur, pays, contact, score d’opportunité, description IA, tags</w:t>
      </w:r>
    </w:p>
    <w:p>
      <w:pPr>
        <w:pStyle w:val="ListParagraph"/>
        <w:numPr>
          <w:ilvl w:val="0"/>
          <w:numId w:val="4"/>
        </w:numPr>
        <w:spacing w:after="60"/>
      </w:pPr>
      <w:r>
        <w:rPr>
          <w:rFonts w:ascii="Arial" w:cs="Arial" w:eastAsia="Arial" w:hAnsi="Arial"/>
          <w:color w:val="374151"/>
          <w:sz w:val="22"/>
          <w:szCs w:val="22"/>
        </w:rPr>
        <w:t xml:space="preserve">Conversion automatique de la fiche en PDF</w:t>
      </w:r>
    </w:p>
    <w:p>
      <w:pPr>
        <w:pStyle w:val="ListParagraph"/>
        <w:numPr>
          <w:ilvl w:val="0"/>
          <w:numId w:val="4"/>
        </w:numPr>
        <w:spacing w:after="60"/>
      </w:pPr>
      <w:r>
        <w:rPr>
          <w:rFonts w:ascii="Arial" w:cs="Arial" w:eastAsia="Arial" w:hAnsi="Arial"/>
          <w:color w:val="374151"/>
          <w:sz w:val="22"/>
          <w:szCs w:val="22"/>
        </w:rPr>
        <w:t xml:space="preserve">Stockage des deux fichiers dans Convex Storage</w:t>
      </w:r>
    </w:p>
    <w:p>
      <w:pPr>
        <w:pStyle w:val="ListParagraph"/>
        <w:numPr>
          <w:ilvl w:val="0"/>
          <w:numId w:val="4"/>
        </w:numPr>
        <w:spacing w:after="60"/>
      </w:pPr>
      <w:r>
        <w:rPr>
          <w:rFonts w:ascii="Arial" w:cs="Arial" w:eastAsia="Arial" w:hAnsi="Arial"/>
          <w:color w:val="374151"/>
          <w:sz w:val="22"/>
          <w:szCs w:val="22"/>
        </w:rPr>
        <w:t xml:space="preserve">Création des entrées diplomaticDocuments correspondantes</w:t>
      </w:r>
    </w:p>
    <w:p>
      <w:pPr>
        <w:pStyle w:val="Heading2"/>
        <w:spacing w:after="120" w:before="240"/>
      </w:pPr>
      <w:r>
        <w:rPr>
          <w:rFonts w:ascii="Arial" w:cs="Arial" w:eastAsia="Arial" w:hAnsi="Arial"/>
        </w:rPr>
        <w:t xml:space="preserve">4.2 Enrichissement progressif</w:t>
      </w:r>
    </w:p>
    <w:p>
      <w:pPr>
        <w:spacing w:after="120"/>
        <w:jc w:val="both"/>
      </w:pPr>
      <w:r>
        <w:rPr>
          <w:rFonts w:ascii="Arial" w:cs="Arial" w:eastAsia="Arial" w:hAnsi="Arial"/>
          <w:b w:val="false"/>
          <w:bCs w:val="false"/>
          <w:i w:val="false"/>
          <w:iCs w:val="false"/>
          <w:color w:val="374151"/>
          <w:sz w:val="22"/>
          <w:szCs w:val="22"/>
        </w:rPr>
        <w:t xml:space="preserve">Au fur et à mesure que l’agent diplomatique avance dans le pipeline, chaque nouveau document est automatiquement rattaché au dossier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200"/>
        <w:gridCol w:w="3426"/>
      </w:tblGrid>
      <w:tr>
        <w:tc>
          <w:tcPr>
            <w:tcW w:type="dxa" w:w="1800"/>
            <w:tcBorders>
              <w:top w:val="single" w:color="D1D5DB" w:sz="1"/>
              <w:left w:val="single" w:color="D1D5DB" w:sz="1"/>
              <w:bottom w:val="single" w:color="D1D5DB" w:sz="1"/>
              <w:right w:val="single" w:color="D1D5DB" w:sz="1"/>
            </w:tcBorders>
            <w:shd w:fill="009E4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1600"/>
            <w:tcBorders>
              <w:top w:val="single" w:color="D1D5DB" w:sz="1"/>
              <w:left w:val="single" w:color="D1D5DB" w:sz="1"/>
              <w:bottom w:val="single" w:color="D1D5DB" w:sz="1"/>
              <w:right w:val="single" w:color="D1D5DB" w:sz="1"/>
            </w:tcBorders>
            <w:shd w:fill="009E4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Format</w:t>
            </w:r>
          </w:p>
        </w:tc>
        <w:tc>
          <w:tcPr>
            <w:tcW w:type="dxa" w:w="2200"/>
            <w:tcBorders>
              <w:top w:val="single" w:color="D1D5DB" w:sz="1"/>
              <w:left w:val="single" w:color="D1D5DB" w:sz="1"/>
              <w:bottom w:val="single" w:color="D1D5DB" w:sz="1"/>
              <w:right w:val="single" w:color="D1D5DB" w:sz="1"/>
            </w:tcBorders>
            <w:shd w:fill="009E4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Sous-dossier</w:t>
            </w:r>
          </w:p>
        </w:tc>
        <w:tc>
          <w:tcPr>
            <w:tcW w:type="dxa" w:w="3426"/>
            <w:tcBorders>
              <w:top w:val="single" w:color="D1D5DB" w:sz="1"/>
              <w:left w:val="single" w:color="D1D5DB" w:sz="1"/>
              <w:bottom w:val="single" w:color="D1D5DB" w:sz="1"/>
              <w:right w:val="single" w:color="D1D5DB" w:sz="1"/>
            </w:tcBorders>
            <w:shd w:fill="009E4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Déclencheur</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Stratégie</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PPTX + PDF</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Plans Stratégiques/</w:t>
            </w:r>
          </w:p>
        </w:tc>
        <w:tc>
          <w:tcPr>
            <w:tcW w:type="dxa" w:w="3426"/>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Création ou mise à jour d’un plan</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Contact</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DOCX + PDF</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Lettres/</w:t>
            </w:r>
          </w:p>
        </w:tc>
        <w:tc>
          <w:tcPr>
            <w:tcW w:type="dxa" w:w="3426"/>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Approbation d’une lettre (status = approved)</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Reporting</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DOCX + PDF</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Rapports/</w:t>
            </w:r>
          </w:p>
        </w:tc>
        <w:tc>
          <w:tcPr>
            <w:tcW w:type="dxa" w:w="3426"/>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Soumission d’un rapport (status = submitted)</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Projet</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DOCX + PDF</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Projets/</w:t>
            </w:r>
          </w:p>
        </w:tc>
        <w:tc>
          <w:tcPr>
            <w:tcW w:type="dxa" w:w="3426"/>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Validation d’un projet (status = validated)</w:t>
            </w:r>
          </w:p>
        </w:tc>
      </w:tr>
    </w:tbl>
    <w:p>
      <w:pPr>
        <w:pStyle w:val="Heading2"/>
        <w:spacing w:after="120" w:before="240"/>
      </w:pPr>
      <w:r>
        <w:rPr>
          <w:rFonts w:ascii="Arial" w:cs="Arial" w:eastAsia="Arial" w:hAnsi="Arial"/>
        </w:rPr>
        <w:t xml:space="preserve">4.3 Fonction d’export local</w:t>
      </w:r>
    </w:p>
    <w:p>
      <w:pPr>
        <w:spacing w:after="120"/>
        <w:jc w:val="both"/>
      </w:pPr>
      <w:r>
        <w:rPr>
          <w:rFonts w:ascii="Arial" w:cs="Arial" w:eastAsia="Arial" w:hAnsi="Arial"/>
          <w:b w:val="false"/>
          <w:bCs w:val="false"/>
          <w:i w:val="false"/>
          <w:iCs w:val="false"/>
          <w:color w:val="374151"/>
          <w:sz w:val="22"/>
          <w:szCs w:val="22"/>
        </w:rPr>
        <w:t xml:space="preserve">Le bouton « Exporter le dossier » déclenche une action Convex qui :</w:t>
      </w:r>
    </w:p>
    <w:p>
      <w:pPr>
        <w:pStyle w:val="ListParagraph"/>
        <w:numPr>
          <w:ilvl w:val="0"/>
          <w:numId w:val="5"/>
        </w:numPr>
        <w:spacing w:after="60"/>
      </w:pPr>
      <w:r>
        <w:rPr>
          <w:rFonts w:ascii="Arial" w:cs="Arial" w:eastAsia="Arial" w:hAnsi="Arial"/>
          <w:color w:val="374151"/>
          <w:sz w:val="22"/>
          <w:szCs w:val="22"/>
        </w:rPr>
        <w:t xml:space="preserve">Récupère tous les diplomaticDocuments liés au dossier</w:t>
      </w:r>
    </w:p>
    <w:p>
      <w:pPr>
        <w:pStyle w:val="ListParagraph"/>
        <w:numPr>
          <w:ilvl w:val="0"/>
          <w:numId w:val="5"/>
        </w:numPr>
        <w:spacing w:after="60"/>
      </w:pPr>
      <w:r>
        <w:rPr>
          <w:rFonts w:ascii="Arial" w:cs="Arial" w:eastAsia="Arial" w:hAnsi="Arial"/>
          <w:color w:val="374151"/>
          <w:sz w:val="22"/>
          <w:szCs w:val="22"/>
        </w:rPr>
        <w:t xml:space="preserve">Génère un fichier ZIP avec l’arborescence complète (Secteur/Cible/sous-dossiers)</w:t>
      </w:r>
    </w:p>
    <w:p>
      <w:pPr>
        <w:pStyle w:val="ListParagraph"/>
        <w:numPr>
          <w:ilvl w:val="0"/>
          <w:numId w:val="5"/>
        </w:numPr>
        <w:spacing w:after="60"/>
      </w:pPr>
      <w:r>
        <w:rPr>
          <w:rFonts w:ascii="Arial" w:cs="Arial" w:eastAsia="Arial" w:hAnsi="Arial"/>
          <w:color w:val="374151"/>
          <w:sz w:val="22"/>
          <w:szCs w:val="22"/>
        </w:rPr>
        <w:t xml:space="preserve">Inclut tous les fichiers DOCX, PPTX et PDF</w:t>
      </w:r>
    </w:p>
    <w:p>
      <w:pPr>
        <w:pStyle w:val="ListParagraph"/>
        <w:numPr>
          <w:ilvl w:val="0"/>
          <w:numId w:val="5"/>
        </w:numPr>
        <w:spacing w:after="60"/>
      </w:pPr>
      <w:r>
        <w:rPr>
          <w:rFonts w:ascii="Arial" w:cs="Arial" w:eastAsia="Arial" w:hAnsi="Arial"/>
          <w:color w:val="374151"/>
          <w:sz w:val="22"/>
          <w:szCs w:val="22"/>
        </w:rPr>
        <w:t xml:space="preserve">Retourne l’URL de téléchargement du ZIP via Convex Storage</w:t>
      </w:r>
    </w:p>
    <w:p>
      <w:r>
        <w:br w:type="page"/>
      </w:r>
    </w:p>
    <w:p>
      <w:pPr>
        <w:pStyle w:val="Heading1"/>
        <w:spacing w:after="120" w:before="360"/>
      </w:pPr>
      <w:r>
        <w:rPr>
          <w:rFonts w:ascii="Arial" w:cs="Arial" w:eastAsia="Arial" w:hAnsi="Arial"/>
        </w:rPr>
        <w:t xml:space="preserve">5. Fiche Cible auto-générée</w:t>
      </w:r>
    </w:p>
    <w:p>
      <w:pPr>
        <w:pStyle w:val="Heading2"/>
        <w:spacing w:after="120" w:before="240"/>
      </w:pPr>
      <w:r>
        <w:rPr>
          <w:rFonts w:ascii="Arial" w:cs="Arial" w:eastAsia="Arial" w:hAnsi="Arial"/>
        </w:rPr>
        <w:t xml:space="preserve">5.1 Contenu de la fiche</w:t>
      </w:r>
    </w:p>
    <w:p>
      <w:pPr>
        <w:spacing w:after="120"/>
        <w:jc w:val="both"/>
      </w:pPr>
      <w:r>
        <w:rPr>
          <w:rFonts w:ascii="Arial" w:cs="Arial" w:eastAsia="Arial" w:hAnsi="Arial"/>
          <w:b w:val="false"/>
          <w:bCs w:val="false"/>
          <w:i w:val="false"/>
          <w:iCs w:val="false"/>
          <w:color w:val="374151"/>
          <w:sz w:val="22"/>
          <w:szCs w:val="22"/>
        </w:rPr>
        <w:t xml:space="preserve">La fiche synthétique est générée automatiquement en DOCX avec les sections suivantes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1D5DB" w:sz="1"/>
              <w:left w:val="single" w:color="D1D5DB" w:sz="1"/>
              <w:bottom w:val="single" w:color="D1D5DB" w:sz="1"/>
              <w:right w:val="single" w:color="D1D5DB" w:sz="1"/>
            </w:tcBorders>
            <w:shd w:fill="009E4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Section</w:t>
            </w:r>
          </w:p>
        </w:tc>
        <w:tc>
          <w:tcPr>
            <w:tcW w:type="dxa" w:w="6026"/>
            <w:tcBorders>
              <w:top w:val="single" w:color="D1D5DB" w:sz="1"/>
              <w:left w:val="single" w:color="D1D5DB" w:sz="1"/>
              <w:bottom w:val="single" w:color="D1D5DB" w:sz="1"/>
              <w:right w:val="single" w:color="D1D5DB" w:sz="1"/>
            </w:tcBorders>
            <w:shd w:fill="009E4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Contenu</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En-tête</w:t>
            </w:r>
          </w:p>
        </w:tc>
        <w:tc>
          <w:tcPr>
            <w:tcW w:type="dxa" w:w="6026"/>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Bandeau tricolore gabonais + titre « Fiche Opérateur Économique »</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Identification</w:t>
            </w:r>
          </w:p>
        </w:tc>
        <w:tc>
          <w:tcPr>
            <w:tcW w:type="dxa" w:w="6026"/>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Nom, type (entreprise/gouvernement/ONG), secteur, pays, ville, site web</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Contact principal</w:t>
            </w:r>
          </w:p>
        </w:tc>
        <w:tc>
          <w:tcPr>
            <w:tcW w:type="dxa" w:w="6026"/>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Nom, titre, email, téléphone du contact identifié</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Évaluation</w:t>
            </w:r>
          </w:p>
        </w:tc>
        <w:tc>
          <w:tcPr>
            <w:tcW w:type="dxa" w:w="6026"/>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Priorité (low/medium/high/critical), score d’opportunité, statut pipeline</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Analyse IA</w:t>
            </w:r>
          </w:p>
        </w:tc>
        <w:tc>
          <w:tcPr>
            <w:tcW w:type="dxa" w:w="6026"/>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Description générée par IA, raison du match, tags sectoriels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Données découverte</w:t>
            </w:r>
          </w:p>
        </w:tc>
        <w:tc>
          <w:tcPr>
            <w:tcW w:type="dxa" w:w="6026"/>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Source, requête de recherche, confiance IA, priorité exécutive</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Historique pipeline</w:t>
            </w:r>
          </w:p>
        </w:tc>
        <w:tc>
          <w:tcPr>
            <w:tcW w:type="dxa" w:w="6026"/>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Tableau récapitulatif : nb plans, lettres, rapports, projets liés</w:t>
            </w:r>
          </w:p>
        </w:tc>
      </w:tr>
    </w:tbl>
    <w:p>
      <w:pPr>
        <w:pStyle w:val="Heading2"/>
        <w:spacing w:after="120" w:before="240"/>
      </w:pPr>
      <w:r>
        <w:rPr>
          <w:rFonts w:ascii="Arial" w:cs="Arial" w:eastAsia="Arial" w:hAnsi="Arial"/>
        </w:rPr>
        <w:t xml:space="preserve">5.2 Mise à jour automatique</w:t>
      </w:r>
    </w:p>
    <w:p>
      <w:pPr>
        <w:spacing w:after="120"/>
        <w:jc w:val="both"/>
      </w:pPr>
      <w:r>
        <w:rPr>
          <w:rFonts w:ascii="Arial" w:cs="Arial" w:eastAsia="Arial" w:hAnsi="Arial"/>
          <w:b w:val="false"/>
          <w:bCs w:val="false"/>
          <w:i w:val="false"/>
          <w:iCs w:val="false"/>
          <w:color w:val="374151"/>
          <w:sz w:val="22"/>
          <w:szCs w:val="22"/>
        </w:rPr>
        <w:t xml:space="preserve">La fiche est regénérée automatiquement à chaque changement de phase du pipeline (targeting → strategy → outreach → reporting → project), garantissant que le document reflète toujours l’état actuel de la relation avec l’opérateur.</w:t>
      </w:r>
    </w:p>
    <w:p>
      <w:r>
        <w:br w:type="page"/>
      </w:r>
    </w:p>
    <w:p>
      <w:pPr>
        <w:pStyle w:val="Heading1"/>
        <w:spacing w:after="120" w:before="360"/>
      </w:pPr>
      <w:r>
        <w:rPr>
          <w:rFonts w:ascii="Arial" w:cs="Arial" w:eastAsia="Arial" w:hAnsi="Arial"/>
        </w:rPr>
        <w:t xml:space="preserve">6. Nouvelles fonctions Convex</w:t>
      </w:r>
    </w:p>
    <w:p>
      <w:pPr>
        <w:pStyle w:val="Heading2"/>
        <w:spacing w:after="120" w:before="240"/>
      </w:pPr>
      <w:r>
        <w:rPr>
          <w:rFonts w:ascii="Arial" w:cs="Arial" w:eastAsia="Arial" w:hAnsi="Arial"/>
        </w:rPr>
        <w:t xml:space="preserve">6.1 Mutations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D1D5DB" w:sz="1"/>
              <w:left w:val="single" w:color="D1D5DB" w:sz="1"/>
              <w:bottom w:val="single" w:color="D1D5DB" w:sz="1"/>
              <w:right w:val="single" w:color="D1D5DB" w:sz="1"/>
            </w:tcBorders>
            <w:shd w:fill="009E4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Fonction</w:t>
            </w:r>
          </w:p>
        </w:tc>
        <w:tc>
          <w:tcPr>
            <w:tcW w:type="dxa" w:w="5526"/>
            <w:tcBorders>
              <w:top w:val="single" w:color="D1D5DB" w:sz="1"/>
              <w:left w:val="single" w:color="D1D5DB" w:sz="1"/>
              <w:bottom w:val="single" w:color="D1D5DB" w:sz="1"/>
              <w:right w:val="single" w:color="D1D5DB" w:sz="1"/>
            </w:tcBorders>
            <w:shd w:fill="009E4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createTargetFolder</w:t>
            </w:r>
          </w:p>
        </w:tc>
        <w:tc>
          <w:tcPr>
            <w:tcW w:type="dxa" w:w="5526"/>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Crée le dossier virtuel + génère la fiche cible. Appelée automatiquement par createTarget.</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addDocumentToFolder</w:t>
            </w:r>
          </w:p>
        </w:tc>
        <w:tc>
          <w:tcPr>
            <w:tcW w:type="dxa" w:w="5526"/>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Rattache un document généré (plan, lettre, etc.) au dossier de la cible correspondante.</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regenerateTargetFiche</w:t>
            </w:r>
          </w:p>
        </w:tc>
        <w:tc>
          <w:tcPr>
            <w:tcW w:type="dxa" w:w="5526"/>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Regénère la fiche cible avec les données à jour. Appelée à chaque changement de phase.</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archiveFolder</w:t>
            </w:r>
          </w:p>
        </w:tc>
        <w:tc>
          <w:tcPr>
            <w:tcW w:type="dxa" w:w="5526"/>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Archive un dossier quand la cible passe en status inactive.</w:t>
            </w:r>
          </w:p>
        </w:tc>
      </w:tr>
    </w:tbl>
    <w:p>
      <w:pPr>
        <w:pStyle w:val="Heading2"/>
        <w:spacing w:after="120" w:before="240"/>
      </w:pPr>
      <w:r>
        <w:rPr>
          <w:rFonts w:ascii="Arial" w:cs="Arial" w:eastAsia="Arial" w:hAnsi="Arial"/>
        </w:rPr>
        <w:t xml:space="preserve">6.2 Actions (async)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D1D5DB" w:sz="1"/>
              <w:left w:val="single" w:color="D1D5DB" w:sz="1"/>
              <w:bottom w:val="single" w:color="D1D5DB" w:sz="1"/>
              <w:right w:val="single" w:color="D1D5DB" w:sz="1"/>
            </w:tcBorders>
            <w:shd w:fill="009E4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c>
          <w:tcPr>
            <w:tcW w:type="dxa" w:w="5526"/>
            <w:tcBorders>
              <w:top w:val="single" w:color="D1D5DB" w:sz="1"/>
              <w:left w:val="single" w:color="D1D5DB" w:sz="1"/>
              <w:bottom w:val="single" w:color="D1D5DB" w:sz="1"/>
              <w:right w:val="single" w:color="D1D5DB" w:sz="1"/>
            </w:tcBorders>
            <w:shd w:fill="009E4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generateTargetFicheDocx</w:t>
            </w:r>
          </w:p>
        </w:tc>
        <w:tc>
          <w:tcPr>
            <w:tcW w:type="dxa" w:w="5526"/>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Génère le DOCX de la fiche cible via docx-js côté action Convex.</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convertDocxToPdf</w:t>
            </w:r>
          </w:p>
        </w:tc>
        <w:tc>
          <w:tcPr>
            <w:tcW w:type="dxa" w:w="5526"/>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Convertit un DOCX en PDF (via LibreOffice headless ou API externe).</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generatePlanPptx</w:t>
            </w:r>
          </w:p>
        </w:tc>
        <w:tc>
          <w:tcPr>
            <w:tcW w:type="dxa" w:w="5526"/>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Génère la présentation PPTX du plan stratégique via pptxgenjs.</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exportFolderAsZip</w:t>
            </w:r>
          </w:p>
        </w:tc>
        <w:tc>
          <w:tcPr>
            <w:tcW w:type="dxa" w:w="5526"/>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Compile tous les documents du dossier dans un ZIP téléchargeable.</w:t>
            </w:r>
          </w:p>
        </w:tc>
      </w:tr>
    </w:tbl>
    <w:p>
      <w:pPr>
        <w:pStyle w:val="Heading2"/>
        <w:spacing w:after="120" w:before="240"/>
      </w:pPr>
      <w:r>
        <w:rPr>
          <w:rFonts w:ascii="Arial" w:cs="Arial" w:eastAsia="Arial" w:hAnsi="Arial"/>
        </w:rPr>
        <w:t xml:space="preserve">6.3 Queries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D1D5DB" w:sz="1"/>
              <w:left w:val="single" w:color="D1D5DB" w:sz="1"/>
              <w:bottom w:val="single" w:color="D1D5DB" w:sz="1"/>
              <w:right w:val="single" w:color="D1D5DB" w:sz="1"/>
            </w:tcBorders>
            <w:shd w:fill="009E4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Query</w:t>
            </w:r>
          </w:p>
        </w:tc>
        <w:tc>
          <w:tcPr>
            <w:tcW w:type="dxa" w:w="5526"/>
            <w:tcBorders>
              <w:top w:val="single" w:color="D1D5DB" w:sz="1"/>
              <w:left w:val="single" w:color="D1D5DB" w:sz="1"/>
              <w:bottom w:val="single" w:color="D1D5DB" w:sz="1"/>
              <w:right w:val="single" w:color="D1D5DB" w:sz="1"/>
            </w:tcBorders>
            <w:shd w:fill="009E4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getFolderByTarget</w:t>
            </w:r>
          </w:p>
        </w:tc>
        <w:tc>
          <w:tcPr>
            <w:tcW w:type="dxa" w:w="5526"/>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Retourne le dossier virtuel et ses documents pour une cible donnée.</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listFoldersBySector</w:t>
            </w:r>
          </w:p>
        </w:tc>
        <w:tc>
          <w:tcPr>
            <w:tcW w:type="dxa" w:w="5526"/>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Liste les dossiers groupés par secteur pour la vue d’ensemble.</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getFolderDocuments</w:t>
            </w:r>
          </w:p>
        </w:tc>
        <w:tc>
          <w:tcPr>
            <w:tcW w:type="dxa" w:w="5526"/>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Liste tous les documents d’un dossier avec URLs de téléchargement.</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getFolderStats</w:t>
            </w:r>
          </w:p>
        </w:tc>
        <w:tc>
          <w:tcPr>
            <w:tcW w:type="dxa" w:w="5526"/>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Statistiques : nombre de documents par type, dernière mise à jour, taille totale.</w:t>
            </w:r>
          </w:p>
        </w:tc>
      </w:tr>
    </w:tbl>
    <w:p>
      <w:r>
        <w:br w:type="page"/>
      </w:r>
    </w:p>
    <w:p>
      <w:pPr>
        <w:pStyle w:val="Heading1"/>
        <w:spacing w:after="120" w:before="360"/>
      </w:pPr>
      <w:r>
        <w:rPr>
          <w:rFonts w:ascii="Arial" w:cs="Arial" w:eastAsia="Arial" w:hAnsi="Arial"/>
        </w:rPr>
        <w:t xml:space="preserve">7. Interface utilisateur</w:t>
      </w:r>
    </w:p>
    <w:p>
      <w:pPr>
        <w:pStyle w:val="Heading2"/>
        <w:spacing w:after="120" w:before="240"/>
      </w:pPr>
      <w:r>
        <w:rPr>
          <w:rFonts w:ascii="Arial" w:cs="Arial" w:eastAsia="Arial" w:hAnsi="Arial"/>
        </w:rPr>
        <w:t xml:space="preserve">7.1 Vue détail d’une cible (modifiée)</w:t>
      </w:r>
    </w:p>
    <w:p>
      <w:pPr>
        <w:spacing w:after="120"/>
        <w:jc w:val="both"/>
      </w:pPr>
      <w:r>
        <w:rPr>
          <w:rFonts w:ascii="Arial" w:cs="Arial" w:eastAsia="Arial" w:hAnsi="Arial"/>
          <w:b w:val="false"/>
          <w:bCs w:val="false"/>
          <w:i w:val="false"/>
          <w:iCs w:val="false"/>
          <w:color w:val="374151"/>
          <w:sz w:val="22"/>
          <w:szCs w:val="22"/>
        </w:rPr>
        <w:t xml:space="preserve">La page détail d’une cible (/affaires-diplomatiques/$targetId) sera enrichie d’une nouvelle section « Dossier Opérateur » affichant :</w:t>
      </w:r>
    </w:p>
    <w:p>
      <w:pPr>
        <w:pStyle w:val="ListParagraph"/>
        <w:numPr>
          <w:ilvl w:val="0"/>
          <w:numId w:val="3"/>
        </w:numPr>
        <w:spacing w:after="60"/>
      </w:pPr>
      <w:r>
        <w:rPr>
          <w:rFonts w:ascii="Arial" w:cs="Arial" w:eastAsia="Arial" w:hAnsi="Arial"/>
          <w:color w:val="374151"/>
          <w:sz w:val="22"/>
          <w:szCs w:val="22"/>
        </w:rPr>
        <w:t xml:space="preserve">L’arborescence visuelle des sous-dossiers avec compteurs de documents</w:t>
      </w:r>
    </w:p>
    <w:p>
      <w:pPr>
        <w:pStyle w:val="ListParagraph"/>
        <w:numPr>
          <w:ilvl w:val="0"/>
          <w:numId w:val="3"/>
        </w:numPr>
        <w:spacing w:after="60"/>
      </w:pPr>
      <w:r>
        <w:rPr>
          <w:rFonts w:ascii="Arial" w:cs="Arial" w:eastAsia="Arial" w:hAnsi="Arial"/>
          <w:color w:val="374151"/>
          <w:sz w:val="22"/>
          <w:szCs w:val="22"/>
        </w:rPr>
        <w:t xml:space="preserve">Un aperçu de la fiche cible générée</w:t>
      </w:r>
    </w:p>
    <w:p>
      <w:pPr>
        <w:pStyle w:val="ListParagraph"/>
        <w:numPr>
          <w:ilvl w:val="0"/>
          <w:numId w:val="3"/>
        </w:numPr>
        <w:spacing w:after="60"/>
      </w:pPr>
      <w:r>
        <w:rPr>
          <w:rFonts w:ascii="Arial" w:cs="Arial" w:eastAsia="Arial" w:hAnsi="Arial"/>
          <w:color w:val="374151"/>
          <w:sz w:val="22"/>
          <w:szCs w:val="22"/>
        </w:rPr>
        <w:t xml:space="preserve">Les boutons de téléchargement individuel (DOCX, PPTX, PDF) par document</w:t>
      </w:r>
    </w:p>
    <w:p>
      <w:pPr>
        <w:pStyle w:val="ListParagraph"/>
        <w:numPr>
          <w:ilvl w:val="0"/>
          <w:numId w:val="3"/>
        </w:numPr>
        <w:spacing w:after="60"/>
      </w:pPr>
      <w:r>
        <w:rPr>
          <w:rFonts w:ascii="Arial" w:cs="Arial" w:eastAsia="Arial" w:hAnsi="Arial"/>
          <w:color w:val="374151"/>
          <w:sz w:val="22"/>
          <w:szCs w:val="22"/>
        </w:rPr>
        <w:t xml:space="preserve">Le bouton « Exporter tout le dossier » (ZIP)</w:t>
      </w:r>
    </w:p>
    <w:p>
      <w:pPr>
        <w:pStyle w:val="ListParagraph"/>
        <w:numPr>
          <w:ilvl w:val="0"/>
          <w:numId w:val="3"/>
        </w:numPr>
        <w:spacing w:after="60"/>
      </w:pPr>
      <w:r>
        <w:rPr>
          <w:rFonts w:ascii="Arial" w:cs="Arial" w:eastAsia="Arial" w:hAnsi="Arial"/>
          <w:color w:val="374151"/>
          <w:sz w:val="22"/>
          <w:szCs w:val="22"/>
        </w:rPr>
        <w:t xml:space="preserve">L’indicateur de dernière mise à jour du dossier</w:t>
      </w:r>
    </w:p>
    <w:p>
      <w:pPr>
        <w:pStyle w:val="Heading2"/>
        <w:spacing w:after="120" w:before="240"/>
      </w:pPr>
      <w:r>
        <w:rPr>
          <w:rFonts w:ascii="Arial" w:cs="Arial" w:eastAsia="Arial" w:hAnsi="Arial"/>
        </w:rPr>
        <w:t xml:space="preserve">7.2 Vue d’ensemble par secteur</w:t>
      </w:r>
    </w:p>
    <w:p>
      <w:pPr>
        <w:spacing w:after="120"/>
        <w:jc w:val="both"/>
      </w:pPr>
      <w:r>
        <w:rPr>
          <w:rFonts w:ascii="Arial" w:cs="Arial" w:eastAsia="Arial" w:hAnsi="Arial"/>
          <w:b w:val="false"/>
          <w:bCs w:val="false"/>
          <w:i w:val="false"/>
          <w:iCs w:val="false"/>
          <w:color w:val="374151"/>
          <w:sz w:val="22"/>
          <w:szCs w:val="22"/>
        </w:rPr>
        <w:t xml:space="preserve">Une nouvelle vue accessible depuis l’onglet « Vue d’ensemble » regroupera les dossiers par secteur sous forme de grille d’explorateur de fichiers, avec pour chaque dossier : le nom de la cible, le nombre de documents, et un badge de statut pipeline.</w:t>
      </w:r>
    </w:p>
    <w:p>
      <w:pPr>
        <w:pStyle w:val="Heading2"/>
        <w:spacing w:after="120" w:before="240"/>
      </w:pPr>
      <w:r>
        <w:rPr>
          <w:rFonts w:ascii="Arial" w:cs="Arial" w:eastAsia="Arial" w:hAnsi="Arial"/>
        </w:rPr>
        <w:t xml:space="preserve">7.3 Composants UI à créer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D1D5DB" w:sz="1"/>
              <w:left w:val="single" w:color="D1D5DB" w:sz="1"/>
              <w:bottom w:val="single" w:color="D1D5DB" w:sz="1"/>
              <w:right w:val="single" w:color="D1D5DB" w:sz="1"/>
            </w:tcBorders>
            <w:shd w:fill="009E4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Composant</w:t>
            </w:r>
          </w:p>
        </w:tc>
        <w:tc>
          <w:tcPr>
            <w:tcW w:type="dxa" w:w="5826"/>
            <w:tcBorders>
              <w:top w:val="single" w:color="D1D5DB" w:sz="1"/>
              <w:left w:val="single" w:color="D1D5DB" w:sz="1"/>
              <w:bottom w:val="single" w:color="D1D5DB" w:sz="1"/>
              <w:right w:val="single" w:color="D1D5DB" w:sz="1"/>
            </w:tcBorders>
            <w:shd w:fill="009E4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Rôle</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FolderExplorer.tsx</w:t>
            </w:r>
          </w:p>
        </w:tc>
        <w:tc>
          <w:tcPr>
            <w:tcW w:type="dxa" w:w="5826"/>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Arborescence interactive avec icônes lucide-react (FolderOpen, FileText, FileSpreadsheet)</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FichePreview.tsx</w:t>
            </w:r>
          </w:p>
        </w:tc>
        <w:tc>
          <w:tcPr>
            <w:tcW w:type="dxa" w:w="5826"/>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Aperçu de la fiche cible avec données clés (score, contact, secteur)</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DocumentDownload.tsx</w:t>
            </w:r>
          </w:p>
        </w:tc>
        <w:tc>
          <w:tcPr>
            <w:tcW w:type="dxa" w:w="5826"/>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Boutons de téléchargement par format (DOCX/PPTX/PDF) avec icônes</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ExportZipButton.tsx</w:t>
            </w:r>
          </w:p>
        </w:tc>
        <w:tc>
          <w:tcPr>
            <w:tcW w:type="dxa" w:w="5826"/>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Bouton d’export complet avec barre de progression</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SectorGrid.tsx</w:t>
            </w:r>
          </w:p>
        </w:tc>
        <w:tc>
          <w:tcPr>
            <w:tcW w:type="dxa" w:w="5826"/>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Vue grille des dossiers regroupés par secteur</w:t>
            </w:r>
          </w:p>
        </w:tc>
      </w:tr>
    </w:tbl>
    <w:p>
      <w:r>
        <w:br w:type="page"/>
      </w:r>
    </w:p>
    <w:p>
      <w:pPr>
        <w:pStyle w:val="Heading1"/>
        <w:spacing w:after="120" w:before="360"/>
      </w:pPr>
      <w:r>
        <w:rPr>
          <w:rFonts w:ascii="Arial" w:cs="Arial" w:eastAsia="Arial" w:hAnsi="Arial"/>
        </w:rPr>
        <w:t xml:space="preserve">8. Intégration dans le pipeline existant</w:t>
      </w:r>
    </w:p>
    <w:p>
      <w:pPr>
        <w:pStyle w:val="Heading2"/>
        <w:spacing w:after="120" w:before="240"/>
      </w:pPr>
      <w:r>
        <w:rPr>
          <w:rFonts w:ascii="Arial" w:cs="Arial" w:eastAsia="Arial" w:hAnsi="Arial"/>
        </w:rPr>
        <w:t xml:space="preserve">8.1 Hook sur createTarget</w:t>
      </w:r>
    </w:p>
    <w:p>
      <w:pPr>
        <w:spacing w:after="120"/>
        <w:jc w:val="both"/>
      </w:pPr>
      <w:r>
        <w:rPr>
          <w:rFonts w:ascii="Arial" w:cs="Arial" w:eastAsia="Arial" w:hAnsi="Arial"/>
          <w:b w:val="false"/>
          <w:bCs w:val="false"/>
          <w:i w:val="false"/>
          <w:iCs w:val="false"/>
          <w:color w:val="374151"/>
          <w:sz w:val="22"/>
          <w:szCs w:val="22"/>
        </w:rPr>
        <w:t xml:space="preserve">La mutation createTarget existante sera modifiée pour appeler createTargetFolder en cascade. Cela garantit que chaque cible a son dossier dès sa création, qu’elle soit ajoutée manuellement ou découverte par l’IA.</w:t>
      </w:r>
    </w:p>
    <w:p>
      <w:pPr>
        <w:pStyle w:val="Heading2"/>
        <w:spacing w:after="120" w:before="240"/>
      </w:pPr>
      <w:r>
        <w:rPr>
          <w:rFonts w:ascii="Arial" w:cs="Arial" w:eastAsia="Arial" w:hAnsi="Arial"/>
        </w:rPr>
        <w:t xml:space="preserve">8.2 Hook sur les changements de statut</w:t>
      </w:r>
    </w:p>
    <w:p>
      <w:pPr>
        <w:spacing w:after="120"/>
        <w:jc w:val="both"/>
      </w:pPr>
      <w:r>
        <w:rPr>
          <w:rFonts w:ascii="Arial" w:cs="Arial" w:eastAsia="Arial" w:hAnsi="Arial"/>
          <w:b w:val="false"/>
          <w:bCs w:val="false"/>
          <w:i w:val="false"/>
          <w:iCs w:val="false"/>
          <w:color w:val="374151"/>
          <w:sz w:val="22"/>
          <w:szCs w:val="22"/>
        </w:rPr>
        <w:t xml:space="preserve">Les mutations existantes updateLetterStatus, updateReportStatus, updateProjectStatus et createPlan seront enrichies pour appeler addDocumentToFolder aux moments clés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c>
          <w:tcPr>
            <w:tcW w:type="dxa" w:w="3000"/>
            <w:tcBorders>
              <w:top w:val="single" w:color="D1D5DB" w:sz="1"/>
              <w:left w:val="single" w:color="D1D5DB" w:sz="1"/>
              <w:bottom w:val="single" w:color="D1D5DB" w:sz="1"/>
              <w:right w:val="single" w:color="D1D5DB" w:sz="1"/>
            </w:tcBorders>
            <w:shd w:fill="009E4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Mutation existante</w:t>
            </w:r>
          </w:p>
        </w:tc>
        <w:tc>
          <w:tcPr>
            <w:tcW w:type="dxa" w:w="2500"/>
            <w:tcBorders>
              <w:top w:val="single" w:color="D1D5DB" w:sz="1"/>
              <w:left w:val="single" w:color="D1D5DB" w:sz="1"/>
              <w:bottom w:val="single" w:color="D1D5DB" w:sz="1"/>
              <w:right w:val="single" w:color="D1D5DB" w:sz="1"/>
            </w:tcBorders>
            <w:shd w:fill="009E4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Condition</w:t>
            </w:r>
          </w:p>
        </w:tc>
        <w:tc>
          <w:tcPr>
            <w:tcW w:type="dxa" w:w="3526"/>
            <w:tcBorders>
              <w:top w:val="single" w:color="D1D5DB" w:sz="1"/>
              <w:left w:val="single" w:color="D1D5DB" w:sz="1"/>
              <w:bottom w:val="single" w:color="D1D5DB" w:sz="1"/>
              <w:right w:val="single" w:color="D1D5DB" w:sz="1"/>
            </w:tcBorders>
            <w:shd w:fill="009E4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 déclenchée</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createPlan</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Toujours</w:t>
            </w:r>
          </w:p>
        </w:tc>
        <w:tc>
          <w:tcPr>
            <w:tcW w:type="dxa" w:w="3526"/>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Génère PPTX + PDF → Plans/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updateLetterStatus</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status = approved</w:t>
            </w:r>
          </w:p>
        </w:tc>
        <w:tc>
          <w:tcPr>
            <w:tcW w:type="dxa" w:w="3526"/>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Génère DOCX + PDF → Lettres/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updateReportStatus</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status = submitted</w:t>
            </w:r>
          </w:p>
        </w:tc>
        <w:tc>
          <w:tcPr>
            <w:tcW w:type="dxa" w:w="3526"/>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Génère DOCX + PDF → Rapports/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updateProjectStatus</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status = validated</w:t>
            </w:r>
          </w:p>
        </w:tc>
        <w:tc>
          <w:tcPr>
            <w:tcW w:type="dxa" w:w="3526"/>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Génère DOCX + PDF → Projets/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advancePhase</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Toute transition</w:t>
            </w:r>
          </w:p>
        </w:tc>
        <w:tc>
          <w:tcPr>
            <w:tcW w:type="dxa" w:w="3526"/>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Regénère la fiche cible</w:t>
            </w:r>
          </w:p>
        </w:tc>
      </w:tr>
    </w:tbl>
    <w:p>
      <w:pPr>
        <w:pStyle w:val="Heading2"/>
        <w:spacing w:after="120" w:before="240"/>
      </w:pPr>
      <w:r>
        <w:rPr>
          <w:rFonts w:ascii="Arial" w:cs="Arial" w:eastAsia="Arial" w:hAnsi="Arial"/>
        </w:rPr>
        <w:t xml:space="preserve">8.3 Diagramme de flux</w:t>
      </w:r>
    </w:p>
    <w:p>
      <w:pPr>
        <w:spacing w:after="120"/>
        <w:jc w:val="both"/>
      </w:pPr>
      <w:r>
        <w:rPr>
          <w:rFonts w:ascii="Arial" w:cs="Arial" w:eastAsia="Arial" w:hAnsi="Arial"/>
          <w:b w:val="false"/>
          <w:bCs w:val="false"/>
          <w:i w:val="false"/>
          <w:iCs w:val="false"/>
          <w:color w:val="374151"/>
          <w:sz w:val="22"/>
          <w:szCs w:val="22"/>
        </w:rPr>
        <w:t xml:space="preserve">Le flux complet depuis la découverte d’une cible jusqu’à l’export du dossier suit cette logique :</w:t>
      </w:r>
    </w:p>
    <w:p>
      <w:pPr>
        <w:spacing w:after="60" w:before="120"/>
      </w:pPr>
    </w:p>
    <w:p>
      <w:pPr>
        <w:spacing w:after="80" w:before="80"/>
        <w:ind w:left="360"/>
      </w:pPr>
      <w:r>
        <w:rPr>
          <w:rFonts w:ascii="Courier New" w:cs="Courier New" w:eastAsia="Courier New" w:hAnsi="Courier New"/>
          <w:color w:val="1A1A2E"/>
          <w:sz w:val="18"/>
          <w:szCs w:val="18"/>
        </w:rPr>
        <w:t xml:space="preserve">Découverte IA / Ajout manuel</w:t>
      </w:r>
    </w:p>
    <w:p>
      <w:pPr>
        <w:spacing w:after="80" w:before="80"/>
        <w:ind w:left="360"/>
      </w:pPr>
      <w:r>
        <w:rPr>
          <w:rFonts w:ascii="Courier New" w:cs="Courier New" w:eastAsia="Courier New" w:hAnsi="Courier New"/>
          <w:color w:val="1A1A2E"/>
          <w:sz w:val="18"/>
          <w:szCs w:val="18"/>
        </w:rPr>
        <w:t xml:space="preserve">        │</w:t>
      </w:r>
    </w:p>
    <w:p>
      <w:pPr>
        <w:spacing w:after="80" w:before="80"/>
        <w:ind w:left="360"/>
      </w:pPr>
      <w:r>
        <w:rPr>
          <w:rFonts w:ascii="Courier New" w:cs="Courier New" w:eastAsia="Courier New" w:hAnsi="Courier New"/>
          <w:color w:val="1A1A2E"/>
          <w:sz w:val="18"/>
          <w:szCs w:val="18"/>
        </w:rPr>
        <w:t xml:space="preserve">        ▼</w:t>
      </w:r>
    </w:p>
    <w:p>
      <w:pPr>
        <w:spacing w:after="80" w:before="80"/>
        <w:ind w:left="360"/>
      </w:pPr>
      <w:r>
        <w:rPr>
          <w:rFonts w:ascii="Courier New" w:cs="Courier New" w:eastAsia="Courier New" w:hAnsi="Courier New"/>
          <w:color w:val="1A1A2E"/>
          <w:sz w:val="18"/>
          <w:szCs w:val="18"/>
        </w:rPr>
        <w:t xml:space="preserve">  createTarget()</w:t>
      </w:r>
    </w:p>
    <w:p>
      <w:pPr>
        <w:spacing w:after="80" w:before="80"/>
        <w:ind w:left="360"/>
      </w:pPr>
      <w:r>
        <w:rPr>
          <w:rFonts w:ascii="Courier New" w:cs="Courier New" w:eastAsia="Courier New" w:hAnsi="Courier New"/>
          <w:color w:val="1A1A2E"/>
          <w:sz w:val="18"/>
          <w:szCs w:val="18"/>
        </w:rPr>
        <w:t xml:space="preserve">        │</w:t>
      </w:r>
    </w:p>
    <w:p>
      <w:pPr>
        <w:spacing w:after="80" w:before="80"/>
        <w:ind w:left="360"/>
      </w:pPr>
      <w:r>
        <w:rPr>
          <w:rFonts w:ascii="Courier New" w:cs="Courier New" w:eastAsia="Courier New" w:hAnsi="Courier New"/>
          <w:color w:val="1A1A2E"/>
          <w:sz w:val="18"/>
          <w:szCs w:val="18"/>
        </w:rPr>
        <w:t xml:space="preserve">        ├───────────────────────────────┬──────────────────────┐</w:t>
      </w:r>
    </w:p>
    <w:p>
      <w:pPr>
        <w:spacing w:after="80" w:before="80"/>
        <w:ind w:left="360"/>
      </w:pPr>
      <w:r>
        <w:rPr>
          <w:rFonts w:ascii="Courier New" w:cs="Courier New" w:eastAsia="Courier New" w:hAnsi="Courier New"/>
          <w:color w:val="1A1A2E"/>
          <w:sz w:val="18"/>
          <w:szCs w:val="18"/>
        </w:rPr>
        <w:t xml:space="preserve">        ▼                               ▼                      ▼</w:t>
      </w:r>
    </w:p>
    <w:p>
      <w:pPr>
        <w:spacing w:after="80" w:before="80"/>
        <w:ind w:left="360"/>
      </w:pPr>
      <w:r>
        <w:rPr>
          <w:rFonts w:ascii="Courier New" w:cs="Courier New" w:eastAsia="Courier New" w:hAnsi="Courier New"/>
          <w:color w:val="1A1A2E"/>
          <w:sz w:val="18"/>
          <w:szCs w:val="18"/>
        </w:rPr>
        <w:t xml:space="preserve"> Cible en DB               createTargetFolder()    Générer Fiche DOCX+PDF</w:t>
      </w:r>
    </w:p>
    <w:p>
      <w:pPr>
        <w:spacing w:after="80" w:before="80"/>
        <w:ind w:left="360"/>
      </w:pPr>
      <w:r>
        <w:rPr>
          <w:rFonts w:ascii="Courier New" w:cs="Courier New" w:eastAsia="Courier New" w:hAnsi="Courier New"/>
          <w:color w:val="1A1A2E"/>
          <w:sz w:val="18"/>
          <w:szCs w:val="18"/>
        </w:rPr>
        <w:t xml:space="preserve">        │                               │                      │</w:t>
      </w:r>
    </w:p>
    <w:p>
      <w:pPr>
        <w:spacing w:after="80" w:before="80"/>
        <w:ind w:left="360"/>
      </w:pPr>
      <w:r>
        <w:rPr>
          <w:rFonts w:ascii="Courier New" w:cs="Courier New" w:eastAsia="Courier New" w:hAnsi="Courier New"/>
          <w:color w:val="1A1A2E"/>
          <w:sz w:val="18"/>
          <w:szCs w:val="18"/>
        </w:rPr>
        <w:t xml:space="preserve">        ▼                               ▼                      ▼</w:t>
      </w:r>
    </w:p>
    <w:p>
      <w:pPr>
        <w:spacing w:after="80" w:before="80"/>
        <w:ind w:left="360"/>
      </w:pPr>
      <w:r>
        <w:rPr>
          <w:rFonts w:ascii="Courier New" w:cs="Courier New" w:eastAsia="Courier New" w:hAnsi="Courier New"/>
          <w:color w:val="1A1A2E"/>
          <w:sz w:val="18"/>
          <w:szCs w:val="18"/>
        </w:rPr>
        <w:t xml:space="preserve">Pipeline : stratégie → contact → reporting → projet</w:t>
      </w:r>
    </w:p>
    <w:p>
      <w:pPr>
        <w:spacing w:after="80" w:before="80"/>
        <w:ind w:left="360"/>
      </w:pPr>
      <w:r>
        <w:rPr>
          <w:rFonts w:ascii="Courier New" w:cs="Courier New" w:eastAsia="Courier New" w:hAnsi="Courier New"/>
          <w:color w:val="1A1A2E"/>
          <w:sz w:val="18"/>
          <w:szCs w:val="18"/>
        </w:rPr>
        <w:t xml:space="preserve">        │                                                          </w:t>
      </w:r>
    </w:p>
    <w:p>
      <w:pPr>
        <w:spacing w:after="80" w:before="80"/>
        <w:ind w:left="360"/>
      </w:pPr>
      <w:r>
        <w:rPr>
          <w:rFonts w:ascii="Courier New" w:cs="Courier New" w:eastAsia="Courier New" w:hAnsi="Courier New"/>
          <w:color w:val="1A1A2E"/>
          <w:sz w:val="18"/>
          <w:szCs w:val="18"/>
        </w:rPr>
        <w:t xml:space="preserve">   À chaque étape : addDocumentToFolder()  +  regénérer fiche</w:t>
      </w:r>
    </w:p>
    <w:p>
      <w:pPr>
        <w:spacing w:after="80" w:before="80"/>
        <w:ind w:left="360"/>
      </w:pPr>
      <w:r>
        <w:rPr>
          <w:rFonts w:ascii="Courier New" w:cs="Courier New" w:eastAsia="Courier New" w:hAnsi="Courier New"/>
          <w:color w:val="1A1A2E"/>
          <w:sz w:val="18"/>
          <w:szCs w:val="18"/>
        </w:rPr>
        <w:t xml:space="preserve">        │</w:t>
      </w:r>
    </w:p>
    <w:p>
      <w:pPr>
        <w:spacing w:after="80" w:before="80"/>
        <w:ind w:left="360"/>
      </w:pPr>
      <w:r>
        <w:rPr>
          <w:rFonts w:ascii="Courier New" w:cs="Courier New" w:eastAsia="Courier New" w:hAnsi="Courier New"/>
          <w:color w:val="1A1A2E"/>
          <w:sz w:val="18"/>
          <w:szCs w:val="18"/>
        </w:rPr>
        <w:t xml:space="preserve">        ▼</w:t>
      </w:r>
    </w:p>
    <w:p>
      <w:pPr>
        <w:spacing w:after="80" w:before="80"/>
        <w:ind w:left="360"/>
      </w:pPr>
      <w:r>
        <w:rPr>
          <w:rFonts w:ascii="Courier New" w:cs="Courier New" w:eastAsia="Courier New" w:hAnsi="Courier New"/>
          <w:color w:val="1A1A2E"/>
          <w:sz w:val="18"/>
          <w:szCs w:val="18"/>
        </w:rPr>
        <w:t xml:space="preserve">  « Exporter le dossier » → exportFolderAsZip() → ZIP local</w:t>
      </w:r>
    </w:p>
    <w:p>
      <w:r>
        <w:br w:type="page"/>
      </w:r>
    </w:p>
    <w:p>
      <w:pPr>
        <w:pStyle w:val="Heading1"/>
        <w:spacing w:after="120" w:before="360"/>
      </w:pPr>
      <w:r>
        <w:rPr>
          <w:rFonts w:ascii="Arial" w:cs="Arial" w:eastAsia="Arial" w:hAnsi="Arial"/>
        </w:rPr>
        <w:t xml:space="preserve">9. Plan d’implémentation</w:t>
      </w:r>
    </w:p>
    <w:p>
      <w:pPr>
        <w:pStyle w:val="Heading2"/>
        <w:spacing w:after="120" w:before="240"/>
      </w:pPr>
      <w:r>
        <w:rPr>
          <w:rFonts w:ascii="Arial" w:cs="Arial" w:eastAsia="Arial" w:hAnsi="Arial"/>
        </w:rPr>
        <w:t xml:space="preserve">9.1 Phase 1 : Fondations (Semaine 1-2)</w:t>
      </w:r>
    </w:p>
    <w:p>
      <w:pPr>
        <w:pStyle w:val="ListParagraph"/>
        <w:numPr>
          <w:ilvl w:val="0"/>
          <w:numId w:val="6"/>
        </w:numPr>
        <w:spacing w:after="60"/>
      </w:pPr>
      <w:r>
        <w:rPr>
          <w:rFonts w:ascii="Arial" w:cs="Arial" w:eastAsia="Arial" w:hAnsi="Arial"/>
          <w:color w:val="374151"/>
          <w:sz w:val="22"/>
          <w:szCs w:val="22"/>
        </w:rPr>
        <w:t xml:space="preserve">Créer les tables diplomaticFolders et diplomaticDocuments dans le schema Convex</w:t>
      </w:r>
    </w:p>
    <w:p>
      <w:pPr>
        <w:pStyle w:val="ListParagraph"/>
        <w:numPr>
          <w:ilvl w:val="0"/>
          <w:numId w:val="6"/>
        </w:numPr>
        <w:spacing w:after="60"/>
      </w:pPr>
      <w:r>
        <w:rPr>
          <w:rFonts w:ascii="Arial" w:cs="Arial" w:eastAsia="Arial" w:hAnsi="Arial"/>
          <w:color w:val="374151"/>
          <w:sz w:val="22"/>
          <w:szCs w:val="22"/>
        </w:rPr>
        <w:t xml:space="preserve">Implémenter les mutations createTargetFolder et addDocumentToFolder</w:t>
      </w:r>
    </w:p>
    <w:p>
      <w:pPr>
        <w:pStyle w:val="ListParagraph"/>
        <w:numPr>
          <w:ilvl w:val="0"/>
          <w:numId w:val="6"/>
        </w:numPr>
        <w:spacing w:after="60"/>
      </w:pPr>
      <w:r>
        <w:rPr>
          <w:rFonts w:ascii="Arial" w:cs="Arial" w:eastAsia="Arial" w:hAnsi="Arial"/>
          <w:color w:val="374151"/>
          <w:sz w:val="22"/>
          <w:szCs w:val="22"/>
        </w:rPr>
        <w:t xml:space="preserve">Modifier createTarget pour déclencher la création automatique du dossier</w:t>
      </w:r>
    </w:p>
    <w:p>
      <w:pPr>
        <w:pStyle w:val="ListParagraph"/>
        <w:numPr>
          <w:ilvl w:val="0"/>
          <w:numId w:val="6"/>
        </w:numPr>
        <w:spacing w:after="60"/>
      </w:pPr>
      <w:r>
        <w:rPr>
          <w:rFonts w:ascii="Arial" w:cs="Arial" w:eastAsia="Arial" w:hAnsi="Arial"/>
          <w:color w:val="374151"/>
          <w:sz w:val="22"/>
          <w:szCs w:val="22"/>
        </w:rPr>
        <w:t xml:space="preserve">Implémenter generateTargetFicheDocx (action Convex avec docx-js)</w:t>
      </w:r>
    </w:p>
    <w:p>
      <w:pPr>
        <w:pStyle w:val="Heading2"/>
        <w:spacing w:after="120" w:before="240"/>
      </w:pPr>
      <w:r>
        <w:rPr>
          <w:rFonts w:ascii="Arial" w:cs="Arial" w:eastAsia="Arial" w:hAnsi="Arial"/>
        </w:rPr>
        <w:t xml:space="preserve">9.2 Phase 2 : Génération de documents (Semaine 3-4)</w:t>
      </w:r>
    </w:p>
    <w:p>
      <w:pPr>
        <w:pStyle w:val="ListParagraph"/>
        <w:numPr>
          <w:ilvl w:val="0"/>
          <w:numId w:val="7"/>
        </w:numPr>
        <w:spacing w:after="60"/>
      </w:pPr>
      <w:r>
        <w:rPr>
          <w:rFonts w:ascii="Arial" w:cs="Arial" w:eastAsia="Arial" w:hAnsi="Arial"/>
          <w:color w:val="374151"/>
          <w:sz w:val="22"/>
          <w:szCs w:val="22"/>
        </w:rPr>
        <w:t xml:space="preserve">Implémenter generatePlanPptx pour les plans stratégiques</w:t>
      </w:r>
    </w:p>
    <w:p>
      <w:pPr>
        <w:pStyle w:val="ListParagraph"/>
        <w:numPr>
          <w:ilvl w:val="0"/>
          <w:numId w:val="7"/>
        </w:numPr>
        <w:spacing w:after="60"/>
      </w:pPr>
      <w:r>
        <w:rPr>
          <w:rFonts w:ascii="Arial" w:cs="Arial" w:eastAsia="Arial" w:hAnsi="Arial"/>
          <w:color w:val="374151"/>
          <w:sz w:val="22"/>
          <w:szCs w:val="22"/>
        </w:rPr>
        <w:t xml:space="preserve">Implémenter la conversion DOCX → PDF</w:t>
      </w:r>
    </w:p>
    <w:p>
      <w:pPr>
        <w:pStyle w:val="ListParagraph"/>
        <w:numPr>
          <w:ilvl w:val="0"/>
          <w:numId w:val="7"/>
        </w:numPr>
        <w:spacing w:after="60"/>
      </w:pPr>
      <w:r>
        <w:rPr>
          <w:rFonts w:ascii="Arial" w:cs="Arial" w:eastAsia="Arial" w:hAnsi="Arial"/>
          <w:color w:val="374151"/>
          <w:sz w:val="22"/>
          <w:szCs w:val="22"/>
        </w:rPr>
        <w:t xml:space="preserve">Ajouter les hooks sur updateLetterStatus, updateReportStatus, updateProjectStatus</w:t>
      </w:r>
    </w:p>
    <w:p>
      <w:pPr>
        <w:pStyle w:val="ListParagraph"/>
        <w:numPr>
          <w:ilvl w:val="0"/>
          <w:numId w:val="7"/>
        </w:numPr>
        <w:spacing w:after="60"/>
      </w:pPr>
      <w:r>
        <w:rPr>
          <w:rFonts w:ascii="Arial" w:cs="Arial" w:eastAsia="Arial" w:hAnsi="Arial"/>
          <w:color w:val="374151"/>
          <w:sz w:val="22"/>
          <w:szCs w:val="22"/>
        </w:rPr>
        <w:t xml:space="preserve">Implémenter exportFolderAsZip</w:t>
      </w:r>
    </w:p>
    <w:p>
      <w:pPr>
        <w:pStyle w:val="Heading2"/>
        <w:spacing w:after="120" w:before="240"/>
      </w:pPr>
      <w:r>
        <w:rPr>
          <w:rFonts w:ascii="Arial" w:cs="Arial" w:eastAsia="Arial" w:hAnsi="Arial"/>
        </w:rPr>
        <w:t xml:space="preserve">9.3 Phase 3 : Interface utilisateur (Semaine 5-6)</w:t>
      </w:r>
    </w:p>
    <w:p>
      <w:pPr>
        <w:pStyle w:val="ListParagraph"/>
        <w:numPr>
          <w:ilvl w:val="0"/>
          <w:numId w:val="3"/>
        </w:numPr>
        <w:spacing w:after="60"/>
      </w:pPr>
      <w:r>
        <w:rPr>
          <w:rFonts w:ascii="Arial" w:cs="Arial" w:eastAsia="Arial" w:hAnsi="Arial"/>
          <w:color w:val="374151"/>
          <w:sz w:val="22"/>
          <w:szCs w:val="22"/>
        </w:rPr>
        <w:t xml:space="preserve">Créer FolderExplorer.tsx, FichePreview.tsx, DocumentDownload.tsx, ExportZipButton.tsx</w:t>
      </w:r>
    </w:p>
    <w:p>
      <w:pPr>
        <w:pStyle w:val="ListParagraph"/>
        <w:numPr>
          <w:ilvl w:val="0"/>
          <w:numId w:val="3"/>
        </w:numPr>
        <w:spacing w:after="60"/>
      </w:pPr>
      <w:r>
        <w:rPr>
          <w:rFonts w:ascii="Arial" w:cs="Arial" w:eastAsia="Arial" w:hAnsi="Arial"/>
          <w:color w:val="374151"/>
          <w:sz w:val="22"/>
          <w:szCs w:val="22"/>
        </w:rPr>
        <w:t xml:space="preserve">Intégrer la section Dossier Opérateur dans la page détail cible</w:t>
      </w:r>
    </w:p>
    <w:p>
      <w:pPr>
        <w:pStyle w:val="ListParagraph"/>
        <w:numPr>
          <w:ilvl w:val="0"/>
          <w:numId w:val="3"/>
        </w:numPr>
        <w:spacing w:after="60"/>
      </w:pPr>
      <w:r>
        <w:rPr>
          <w:rFonts w:ascii="Arial" w:cs="Arial" w:eastAsia="Arial" w:hAnsi="Arial"/>
          <w:color w:val="374151"/>
          <w:sz w:val="22"/>
          <w:szCs w:val="22"/>
        </w:rPr>
        <w:t xml:space="preserve">Créer la vue SectorGrid.tsx pour la vue d’ensemble</w:t>
      </w:r>
    </w:p>
    <w:p>
      <w:pPr>
        <w:pStyle w:val="ListParagraph"/>
        <w:numPr>
          <w:ilvl w:val="0"/>
          <w:numId w:val="3"/>
        </w:numPr>
        <w:spacing w:after="60"/>
      </w:pPr>
      <w:r>
        <w:rPr>
          <w:rFonts w:ascii="Arial" w:cs="Arial" w:eastAsia="Arial" w:hAnsi="Arial"/>
          <w:color w:val="374151"/>
          <w:sz w:val="22"/>
          <w:szCs w:val="22"/>
        </w:rPr>
        <w:t xml:space="preserve">Tests d’intégration et recette utilisateur</w:t>
      </w:r>
    </w:p>
    <w:p>
      <w:pPr>
        <w:spacing w:before="3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rHeight w:val="120" w:hRule="exact"/>
        </w:trPr>
        <w:tc>
          <w:tcPr>
            <w:tcW w:type="dxa" w:w="3008"/>
            <w:tcBorders>
              <w:top w:val="none" w:sz="0"/>
              <w:left w:val="none" w:sz="0"/>
              <w:bottom w:val="none" w:sz="0"/>
              <w:right w:val="none" w:sz="0"/>
            </w:tcBorders>
            <w:shd w:fill="009E49" w:val="clear"/>
          </w:tcPr>
          <w:p>
            <w:r>
              <w:t xml:space="preserve"/>
            </w:r>
          </w:p>
        </w:tc>
        <w:tc>
          <w:tcPr>
            <w:tcW w:type="dxa" w:w="3008"/>
            <w:tcBorders>
              <w:top w:val="none" w:sz="0"/>
              <w:left w:val="none" w:sz="0"/>
              <w:bottom w:val="none" w:sz="0"/>
              <w:right w:val="none" w:sz="0"/>
            </w:tcBorders>
            <w:shd w:fill="FCD116" w:val="clear"/>
          </w:tcPr>
          <w:p>
            <w:r>
              <w:t xml:space="preserve"/>
            </w:r>
          </w:p>
        </w:tc>
        <w:tc>
          <w:tcPr>
            <w:tcW w:type="dxa" w:w="3010"/>
            <w:tcBorders>
              <w:top w:val="none" w:sz="0"/>
              <w:left w:val="none" w:sz="0"/>
              <w:bottom w:val="none" w:sz="0"/>
              <w:right w:val="none" w:sz="0"/>
            </w:tcBorders>
            <w:shd w:fill="3A75C4" w:val="clear"/>
          </w:tcPr>
          <w:p>
            <w:r>
              <w:t xml:space="preserve"/>
            </w:r>
          </w:p>
        </w:tc>
      </w:tr>
    </w:tbl>
    <w:p>
      <w:pPr>
        <w:spacing w:before="240"/>
        <w:jc w:val="center"/>
      </w:pPr>
      <w:r>
        <w:rPr>
          <w:rFonts w:ascii="Arial" w:cs="Arial" w:eastAsia="Arial" w:hAnsi="Arial"/>
          <w:i/>
          <w:iCs/>
          <w:color w:val="374151"/>
          <w:sz w:val="20"/>
          <w:szCs w:val="20"/>
        </w:rPr>
        <w:t xml:space="preserve">Fin du document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1" w:space="4"/>
      </w:pBdr>
      <w:jc w:val="center"/>
    </w:pPr>
    <w:r>
      <w:rPr>
        <w:rFonts w:ascii="Arial" w:cs="Arial" w:eastAsia="Arial" w:hAnsi="Arial"/>
        <w:color w:val="374151"/>
        <w:sz w:val="16"/>
        <w:szCs w:val="16"/>
      </w:rPr>
      <w:t xml:space="preserve">Consulat.ga — Affaires Diplomatiques  |  Page </w:t>
    </w:r>
    <w:r>
      <w:rPr>
        <w:rFonts w:ascii="Arial" w:cs="Arial" w:eastAsia="Arial" w:hAnsi="Arial"/>
        <w:color w:val="37415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9E49" w:sz="2" w:space="4"/>
      </w:pBdr>
      <w:tabs>
        <w:tab w:val="right" w:pos="9026"/>
      </w:tabs>
    </w:pPr>
    <w:r>
      <w:rPr>
        <w:rFonts w:ascii="Arial" w:cs="Arial" w:eastAsia="Arial" w:hAnsi="Arial"/>
        <w:i/>
        <w:iCs/>
        <w:color w:val="374151"/>
        <w:sz w:val="16"/>
        <w:szCs w:val="16"/>
      </w:rPr>
      <w:t xml:space="preserve">Spécification — Dossiers Opérateurs Économiques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009E49"/>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2026-04-08T03:32:42.876Z</dcterms:created>
  <dcterms:modified xsi:type="dcterms:W3CDTF">2026-04-08T03:32:42.876Z</dcterms:modified>
</cp:coreProperties>
</file>

<file path=docProps/custom.xml><?xml version="1.0" encoding="utf-8"?>
<Properties xmlns="http://schemas.openxmlformats.org/officeDocument/2006/custom-properties" xmlns:vt="http://schemas.openxmlformats.org/officeDocument/2006/docPropsVTypes"/>
</file>