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C0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360" w:type="dxa"/>
              <w:left w:w="400" w:type="dxa"/>
              <w:bottom w:w="260" w:type="dxa"/>
              <w:right w:w="400" w:type="dxa"/>
            </w:tcMar>
            <w:vAlign w:val="top"/>
          </w:tcPr>
          <w:p w14:paraId="764CF4C0">
            <w:pPr>
              <w:spacing w:before="0" w:after="60"/>
              <w:jc w:val="center"/>
              <w:rPr>
                <w:rFonts w:hint="default"/>
                <w:lang w:val="fr-FR"/>
              </w:rPr>
            </w:pPr>
            <w:r>
              <w:rPr>
                <w:rFonts w:ascii="Arial" w:hAnsi="Arial" w:eastAsia="Arial" w:cs="Arial"/>
                <w:color w:val="A8C8E8"/>
                <w:sz w:val="17"/>
                <w:szCs w:val="17"/>
              </w:rPr>
              <w:t xml:space="preserve">MÉMOIRE — UFR SATIC · Université </w:t>
            </w:r>
            <w:r>
              <w:rPr>
                <w:rFonts w:hint="default" w:cs="Arial"/>
                <w:color w:val="A8C8E8"/>
                <w:sz w:val="17"/>
                <w:szCs w:val="17"/>
                <w:lang w:val="fr-FR"/>
              </w:rPr>
              <w:t>Alioune Diop de Bambey</w:t>
            </w:r>
            <w:bookmarkStart w:id="0" w:name="_GoBack"/>
            <w:bookmarkEnd w:id="0"/>
          </w:p>
          <w:p w14:paraId="6BA398C3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2"/>
                <w:szCs w:val="42"/>
              </w:rPr>
              <w:t>PHASE 2 : DÉFINITION</w:t>
            </w:r>
          </w:p>
          <w:p w14:paraId="12AC53E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8C8E8"/>
                <w:sz w:val="22"/>
                <w:szCs w:val="22"/>
              </w:rPr>
              <w:t>Système de Télésurveillance des Examens</w:t>
            </w:r>
          </w:p>
        </w:tc>
      </w:tr>
      <w:tr w14:paraId="03624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A90D9"/>
            <w:tcMar>
              <w:top w:w="100" w:type="dxa"/>
              <w:left w:w="400" w:type="dxa"/>
              <w:bottom w:w="100" w:type="dxa"/>
              <w:right w:w="400" w:type="dxa"/>
            </w:tcMar>
            <w:vAlign w:val="top"/>
          </w:tcPr>
          <w:p w14:paraId="769D1E51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De la recherche terrain aux axes d'innovation · Données collectées Mai 2025</w:t>
            </w:r>
          </w:p>
        </w:tc>
      </w:tr>
    </w:tbl>
    <w:p w14:paraId="74CD13C2">
      <w:pPr>
        <w:spacing w:before="60" w:after="0"/>
      </w:pPr>
    </w:p>
    <w:p w14:paraId="36A98BA2">
      <w:pPr>
        <w:pBdr>
          <w:bottom w:val="single" w:color="2E6DA4" w:sz="8" w:space="4"/>
        </w:pBdr>
        <w:spacing w:before="280" w:after="100"/>
      </w:pPr>
      <w:r>
        <w:rPr>
          <w:rFonts w:ascii="Arial" w:hAnsi="Arial" w:eastAsia="Arial" w:cs="Arial"/>
          <w:b/>
          <w:bCs/>
          <w:color w:val="1B3A6B"/>
          <w:sz w:val="26"/>
          <w:szCs w:val="26"/>
        </w:rPr>
        <w:t>1. REGROUPEMENT THÉMATIQUE — Diagramme d'Affinité</w:t>
      </w:r>
    </w:p>
    <w:p w14:paraId="6BCE8C62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2638"/>
          <w:sz w:val="20"/>
          <w:szCs w:val="20"/>
        </w:rPr>
        <w:t>Six thèmes émergents issus des entretiens menés auprès des quatre groupes de parties prenantes (administration/scolarité, enseignants/surveillants, service informatique, étudiants — Phase Understanding, mai 2025).</w:t>
      </w:r>
    </w:p>
    <w:p w14:paraId="6D9C4EF0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7320"/>
      </w:tblGrid>
      <w:tr w14:paraId="4FDB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EAC5E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THÈME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51A9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DONNÉES ISSUES DES ENTRETIENS DE TERRAIN</w:t>
            </w:r>
          </w:p>
        </w:tc>
      </w:tr>
      <w:tr w14:paraId="5F85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2586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FRAUDE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77A4B4F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~10 cas officiels/session (sous-estimés selon témoignages étudiants) · Intercalaires pré-remplis, téléphone portable, discussion entre étudiants, sortie avec le sujet pour le traiter et revenir · Ratio insuffisant en amphi 300-500 = détection quasi impossible</w:t>
            </w:r>
          </w:p>
        </w:tc>
      </w:tr>
      <w:tr w14:paraId="4A75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6DA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88D6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SURVEILLANCE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8D939C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20 surveillants/session · 2-3 pour 60-80 étudiants, 5-6 pour 300-500 · Retards fréquents, manque de rigueur, absence de formation · Difficulté de joindre l'enseignant en cas d'erreur sur le sujet · Gestion centralisée à la scolarité</w:t>
            </w:r>
          </w:p>
        </w:tc>
      </w:tr>
      <w:tr w14:paraId="5336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A4F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6A7A442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Caméras déjà installées mais NON FONCTIONNELLES · Infrastructure réseau mutualisée (SONATEL + SENUM) · Équipements informatiques disponibles (tous types) · Maintenance interne préventive et curative assurée par le service informatique</w:t>
            </w:r>
          </w:p>
        </w:tc>
      </w:tr>
      <w:tr w14:paraId="5CA52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030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7B32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FINANCES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8772EE1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200 000 FCFA/surveillant/semestre · ~4 000 000 FCFA pour 20 surveillants/session · Budget télésurveillance : inconnu à ce stade · Aucune étude de coût initiée · Financement = premier obstacle cité par l'administration</w:t>
            </w:r>
          </w:p>
        </w:tc>
      </w:tr>
      <w:tr w14:paraId="7548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003C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ÉTHIQUE &amp; CADRE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297546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Nécessité d'autorisation du rectorat + directeur d'UFR · Consentement des étudiants et enseignants requis · Conformité réglementation nationale sur la vidéosurveillance · Hébergement et protection des données non traités institutionnellement</w:t>
            </w:r>
          </w:p>
        </w:tc>
      </w:tr>
      <w:tr w14:paraId="260A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A6E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6AEC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ACCEPTABILITÉ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E862CCF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3 étudiants sur 4 FAVORABLES · Enseignants : très favorables sous conditions légales · Administration : ouverte mais bloquée par l'absence de budget et de cadre · Surprise : les étudiants veulent les caméras pour surveiller aussi les surveillants</w:t>
            </w:r>
          </w:p>
        </w:tc>
      </w:tr>
    </w:tbl>
    <w:p w14:paraId="6EF87DE2">
      <w:pPr>
        <w:spacing w:before="60" w:after="0"/>
      </w:pPr>
    </w:p>
    <w:p w14:paraId="669B1A84">
      <w:pPr>
        <w:pBdr>
          <w:bottom w:val="single" w:color="2E6DA4" w:sz="8" w:space="4"/>
        </w:pBdr>
        <w:spacing w:before="280" w:after="100"/>
      </w:pPr>
      <w:r>
        <w:rPr>
          <w:rFonts w:ascii="Arial" w:hAnsi="Arial" w:eastAsia="Arial" w:cs="Arial"/>
          <w:b/>
          <w:bCs/>
          <w:color w:val="1B3A6B"/>
          <w:sz w:val="26"/>
          <w:szCs w:val="26"/>
        </w:rPr>
        <w:t>2. PROBLÈMES CLÉS IDENTIFIÉS</w:t>
      </w:r>
    </w:p>
    <w:p w14:paraId="37EB26BC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2638"/>
          <w:sz w:val="20"/>
          <w:szCs w:val="20"/>
        </w:rPr>
        <w:t>À partir du diagramme d'affinité, six problèmes structurants ont été formulés selon le format [Acteur · Problème · Cause terrain · Conséquence], en mobilisant directement les verbatims des personas et cartes d'empathie.</w:t>
      </w:r>
    </w:p>
    <w:p w14:paraId="4AD98D89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300"/>
        <w:gridCol w:w="2600"/>
        <w:gridCol w:w="2760"/>
      </w:tblGrid>
      <w:tr w14:paraId="6298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E9D21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1D36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A98FE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CAUSE (terrain)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CE87C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CONSÉQUENCE</w:t>
            </w:r>
          </w:p>
        </w:tc>
      </w:tr>
      <w:tr w14:paraId="309B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9D6744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Surveillants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22B8838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Incapables de couvrir les grands amphis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36BD03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Ratio 5-6/300-500 étudiants — insuffisant structurellement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564574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Zones mortes, fraude non détectée, impunité des tricheurs</w:t>
            </w:r>
          </w:p>
        </w:tc>
      </w:tr>
      <w:tr w14:paraId="1D18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0834B7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Étudiants honnêtes
(Mamadou D.)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5E41BDD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Sentiment profond d'injustice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252BDB9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Fraudeurs non sanctionnés faute de preuves tangibles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680074F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Démotivation, perte de confiance dans la valeur des diplômes</w:t>
            </w:r>
          </w:p>
        </w:tc>
      </w:tr>
      <w:tr w14:paraId="6E5F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19393E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Administration
(Fatou T.)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A0B784B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Impossibilité d'instruire les dossiers disciplinaires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DBBD790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Surveillance humaine subjective, sans preuve documentée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0AA022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10 cas officiels/session vs fraudes réelles — écart non résolu</w:t>
            </w:r>
          </w:p>
        </w:tc>
      </w:tr>
      <w:tr w14:paraId="7C7B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5A1E8E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Service informatique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D4E61A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Ne peut activer un système numérique viable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FF9D78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Caméras existantes hors service, infra non dédiée à l'UFR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F2CE3F3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Dépendance totale aux méthodes manuelles malgré les équipements</w:t>
            </w:r>
          </w:p>
        </w:tc>
      </w:tr>
      <w:tr w14:paraId="7997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96A0B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Institution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337757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Coût de surveillance élevé, efficacité insuffisante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692E376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4 M FCFA/session pour un dispositif lacunaire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2D909D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Gaspillage budgétaire sans réduction avérée de la fraude</w:t>
            </w:r>
          </w:p>
        </w:tc>
      </w:tr>
      <w:tr w14:paraId="20E4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620E1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Parties prenantes
(Ousmane S.)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01E6A6F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Risque de blocage institutionnel du projet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AF3B00">
            <w:pPr>
              <w:spacing w:before="0" w:after="0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Absence de cadre réglementaire interne formalisé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AC36B8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Projet non initiable sans consensus rectorat + directeur UFR</w:t>
            </w:r>
          </w:p>
        </w:tc>
      </w:tr>
    </w:tbl>
    <w:p w14:paraId="0AE8CEA7">
      <w:pPr>
        <w:spacing w:before="60" w:after="0"/>
      </w:pPr>
    </w:p>
    <w:p w14:paraId="5195049C">
      <w:r>
        <w:rPr>
          <w:rFonts w:ascii="Arial" w:hAnsi="Arial" w:eastAsia="Arial" w:cs="Arial"/>
          <w:b/>
          <w:bCs/>
          <w:color w:val="1B3A6B"/>
          <w:sz w:val="26"/>
          <w:szCs w:val="26"/>
        </w:rPr>
        <w:t>3. QUESTIONS « COMMENT POURRIONS-NOUS ? »</w:t>
      </w:r>
    </w:p>
    <w:p w14:paraId="3125B7B7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2638"/>
          <w:sz w:val="20"/>
          <w:szCs w:val="20"/>
        </w:rPr>
        <w:t>Chaque problème clé est transformé en question d'innovation ouverte. Priorité ★★★ = HMW prioritaires qui formeront le cœur de la phase Idéation.</w:t>
      </w:r>
    </w:p>
    <w:p w14:paraId="4F3D9BB3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4360"/>
        <w:gridCol w:w="1000"/>
      </w:tblGrid>
      <w:tr w14:paraId="7A82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943E3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PROBLÈME CLÉ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31414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QUESTION « COMMENT POURRIONS-NOUS ? »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28FF3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PRIO.</w:t>
            </w:r>
          </w:p>
        </w:tc>
      </w:tr>
      <w:tr w14:paraId="1069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B752E8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Ratio surveillant/amphi structurellement insuffisant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45129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pourrions-nous étendre la capacité de surveillance sans multiplier le personnel humain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BD35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★★★</w:t>
            </w:r>
          </w:p>
        </w:tc>
      </w:tr>
      <w:tr w14:paraId="0535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245E302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Fraudes réelles non documentées, preuves absentes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8D93B8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pourrions-nous objectiver et documenter le déroulement des examens pour rendre les sanctions possibles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A5C9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★★★</w:t>
            </w:r>
          </w:p>
        </w:tc>
      </w:tr>
      <w:tr w14:paraId="54E4C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C17C98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Caméras existantes hors service, infra partagée limitée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2215CE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concevoir un système de surveillance fonctionnel même avec une connectivité partielle ou un équipement réhabilité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B087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★★★</w:t>
            </w:r>
          </w:p>
        </w:tc>
      </w:tr>
      <w:tr w14:paraId="22C6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8B32166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4 M FCFA/session pour un dispositif insuffisant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6BDDE0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réduire le coût de la surveillance tout en améliorant son efficacité et son objectivité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8820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6DA4"/>
                <w:sz w:val="20"/>
                <w:szCs w:val="20"/>
              </w:rPr>
              <w:t>★★</w:t>
            </w:r>
          </w:p>
        </w:tc>
      </w:tr>
      <w:tr w14:paraId="695E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ECB49C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Craintes réglementaires et éthiques légitimes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4D47D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garantir un dispositif respectueux de la vie privée, conforme à la loi et consensuel institutionnellement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A06F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6DA4"/>
                <w:sz w:val="20"/>
                <w:szCs w:val="20"/>
              </w:rPr>
              <w:t>★★</w:t>
            </w:r>
          </w:p>
        </w:tc>
      </w:tr>
      <w:tr w14:paraId="7028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2FC984B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Paradoxe : infrastructure disponible mais inexploitée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FFD0A2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Comment mobiliser les ressources techniques et humaines déjà présentes à l'UFR SATIC pour éviter un investissement from scratch ?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8B4F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6DA4"/>
                <w:sz w:val="20"/>
                <w:szCs w:val="20"/>
              </w:rPr>
              <w:t>★★</w:t>
            </w:r>
          </w:p>
        </w:tc>
      </w:tr>
    </w:tbl>
    <w:p w14:paraId="2AECCE55">
      <w:pPr>
        <w:spacing w:before="60" w:after="0"/>
      </w:pPr>
    </w:p>
    <w:p w14:paraId="25B948C0">
      <w:pPr>
        <w:pBdr>
          <w:bottom w:val="single" w:color="2E6DA4" w:sz="8" w:space="4"/>
        </w:pBdr>
        <w:spacing w:before="280" w:after="100"/>
      </w:pPr>
      <w:r>
        <w:rPr>
          <w:rFonts w:ascii="Arial" w:hAnsi="Arial" w:eastAsia="Arial" w:cs="Arial"/>
          <w:b/>
          <w:bCs/>
          <w:color w:val="1B3A6B"/>
          <w:sz w:val="26"/>
          <w:szCs w:val="26"/>
        </w:rPr>
        <w:t>4. MATRICE DE PRIORISATION — Impact × Faisabilité × Acceptabilité × Budget</w:t>
      </w:r>
    </w:p>
    <w:p w14:paraId="642B7C60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2638"/>
          <w:sz w:val="20"/>
          <w:szCs w:val="20"/>
        </w:rPr>
        <w:t>Notation sur 5 par critère. Score total /20. Critères : Impact (acteurs concernés, gravité), Faisabilité technique, Acceptabilité sociale, Contrainte budgétaire.</w:t>
      </w:r>
    </w:p>
    <w:p w14:paraId="2C8083AE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8"/>
        <w:gridCol w:w="950"/>
        <w:gridCol w:w="980"/>
        <w:gridCol w:w="941"/>
        <w:gridCol w:w="1020"/>
        <w:gridCol w:w="901"/>
        <w:gridCol w:w="1470"/>
      </w:tblGrid>
      <w:tr w14:paraId="4500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64CF4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QUESTION HMW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3B1FF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E124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FAISAB.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AEEAC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SOCIAL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6594F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536A2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A1560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ZONE</w:t>
            </w:r>
          </w:p>
        </w:tc>
      </w:tr>
      <w:tr w14:paraId="312D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8A4A57E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Étendre surveillance sans multiplier le personnel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805F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83CC9A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2A688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AF149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EF87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84B3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14:paraId="54E3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DFC7675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Documenter objectivement les examens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A5E8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0F45DB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971C4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F7B52C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86D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A576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14:paraId="26B3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9588929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Réhabiliter infra existante / mode hors-ligne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DB078A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42A314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A06F9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AD3DA7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88D4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40A4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14:paraId="5929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DCCD8C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Réduire coût de la surveillance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FA3B9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26CF9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54FFB3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F972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7064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A840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  <w:tr w14:paraId="1661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72BB2F5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Cadre éthique + consensuel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3176E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C4D644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C2A5BA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000E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2/5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2E9A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B079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À PLANIFIER</w:t>
            </w:r>
          </w:p>
        </w:tc>
      </w:tr>
      <w:tr w14:paraId="313E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37FBEB6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7"/>
                <w:szCs w:val="17"/>
              </w:rPr>
              <w:t>Mobiliser ressources internes existantes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DCAAA1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13CCE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23E06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5919BC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1080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99AB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</w:tbl>
    <w:p w14:paraId="385577F6">
      <w:pPr>
        <w:spacing w:before="60" w:after="0"/>
      </w:pPr>
    </w:p>
    <w:p w14:paraId="511B7F29">
      <w:r>
        <w:br w:type="page"/>
      </w:r>
    </w:p>
    <w:p w14:paraId="539D8106">
      <w:pPr>
        <w:pBdr>
          <w:bottom w:val="single" w:color="2E6DA4" w:sz="8" w:space="4"/>
        </w:pBdr>
        <w:spacing w:before="280" w:after="100"/>
      </w:pPr>
      <w:r>
        <w:rPr>
          <w:rFonts w:ascii="Arial" w:hAnsi="Arial" w:eastAsia="Arial" w:cs="Arial"/>
          <w:b/>
          <w:bCs/>
          <w:color w:val="1B3A6B"/>
          <w:sz w:val="26"/>
          <w:szCs w:val="26"/>
        </w:rPr>
        <w:t>5. PROBLEM STATEMENT CONSOLIDÉ</w:t>
      </w:r>
    </w:p>
    <w:p w14:paraId="07FBA078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A4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220" w:type="dxa"/>
              <w:left w:w="320" w:type="dxa"/>
              <w:bottom w:w="220" w:type="dxa"/>
              <w:right w:w="320" w:type="dxa"/>
            </w:tcMar>
            <w:vAlign w:val="top"/>
          </w:tcPr>
          <w:p w14:paraId="0E2D101E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A8C8E8"/>
                <w:sz w:val="22"/>
                <w:szCs w:val="22"/>
              </w:rPr>
              <w:t>PROBLEM STATEMENT CONSOLIDÉ</w:t>
            </w:r>
          </w:p>
          <w:p w14:paraId="285DC1CE">
            <w:pPr>
              <w:spacing w:before="0" w:after="0"/>
              <w:jc w:val="both"/>
            </w:pPr>
            <w:r>
              <w:rPr>
                <w:rFonts w:ascii="Arial" w:hAnsi="Arial" w:eastAsia="Arial" w:cs="Arial"/>
                <w:color w:val="FFFFFF"/>
                <w:sz w:val="21"/>
                <w:szCs w:val="21"/>
              </w:rPr>
              <w:t>Les acteurs du processus d'évaluation de l'UFR SATIC — étudiants, enseignants et administration — ont besoin d'un système de surveillance des examens fiable, objectif et conforme à la réglementation, parce que le dispositif actuel, exclusivement humain, ne peut couvrir des amphis de 300 à 500 étudiants avec seulement 5 à 6 surveillants, ne produit aucune preuve documentée des fraudes (estimées à une dizaine de cas officiels par session mais réellement sous-comptées), mobilise un budget de ~4 000 000 FCFA/session sans résultat proportionnel, et repose sur une infrastructure de caméras déjà en place mais non fonctionnelle, dont la réhabilitation représente la voie la plus réaliste vers la modernisation.</w:t>
            </w:r>
          </w:p>
        </w:tc>
      </w:tr>
    </w:tbl>
    <w:p w14:paraId="50ED664D">
      <w:pPr>
        <w:spacing w:before="120" w:after="0"/>
      </w:pPr>
    </w:p>
    <w:p w14:paraId="1EB88B25">
      <w:pPr>
        <w:pBdr>
          <w:bottom w:val="single" w:color="2E6DA4" w:sz="8" w:space="4"/>
        </w:pBdr>
        <w:spacing w:before="280" w:after="100"/>
      </w:pPr>
      <w:r>
        <w:rPr>
          <w:rFonts w:ascii="Arial" w:hAnsi="Arial" w:eastAsia="Arial" w:cs="Arial"/>
          <w:b/>
          <w:bCs/>
          <w:color w:val="1B3A6B"/>
          <w:sz w:val="26"/>
          <w:szCs w:val="26"/>
        </w:rPr>
        <w:t>6. AXES D'INNOVATION PRIORITAIRES</w:t>
      </w:r>
    </w:p>
    <w:p w14:paraId="4F5C5D74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2638"/>
          <w:sz w:val="20"/>
          <w:szCs w:val="20"/>
        </w:rPr>
        <w:t>Quatre axes directement issus des HMW prioritaires et des surprises/contradictions identifiées dans la synthèse des insights de la Phase Understanding.</w:t>
      </w:r>
    </w:p>
    <w:p w14:paraId="628F75FB">
      <w:pPr>
        <w:spacing w:before="6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5E71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C32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9E36F8D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Vidéosurveillance intelligente à stockage local (NVR/NAS)</w:t>
            </w:r>
          </w:p>
          <w:p w14:paraId="26F34DAF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Réhabiliter ou remplacer les caméras existantes non fonctionnelles · Enregistrement local sans dépendance au Wi-Fi · Consultation a posteriori par l'administration · Compatible infra mutualisée SONATEL/SENUM</w:t>
            </w:r>
          </w:p>
        </w:tc>
      </w:tr>
      <w:tr w14:paraId="05CD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D354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528D58F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C05820"/>
                <w:sz w:val="20"/>
                <w:szCs w:val="20"/>
              </w:rPr>
              <w:t>Optimisation organisationnelle et réduction des coûts</w:t>
            </w:r>
          </w:p>
          <w:p w14:paraId="5C2BB0BA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Réduire le ratio de surveillants humains grâce à l'appui technologique · Économies sur les ~4 M FCFA actuels · Protocoles renforcés appuyés sur la preuve objective · Réponse directe aux insights de Fatou T. (scolarité)</w:t>
            </w:r>
          </w:p>
        </w:tc>
      </w:tr>
      <w:tr w14:paraId="7D58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99F7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6463F12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2E7D6E"/>
                <w:sz w:val="20"/>
                <w:szCs w:val="20"/>
              </w:rPr>
              <w:t>Architecture résiliente — mode dégradé hors-ligne</w:t>
            </w:r>
          </w:p>
          <w:p w14:paraId="64F45402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Système fonctionnel même en cas de coupure réseau · Stockage local + synchronisation différée · Exploite la capacité de maintenance interne (préventive + curative) déjà disponible au service informatique</w:t>
            </w:r>
          </w:p>
        </w:tc>
      </w:tr>
      <w:tr w14:paraId="3F72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BE97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404F25D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5E4A8A"/>
                <w:sz w:val="20"/>
                <w:szCs w:val="20"/>
              </w:rPr>
              <w:t>Cadre éthique, réglementaire et co-construit</w:t>
            </w:r>
          </w:p>
          <w:p w14:paraId="0C896EF2">
            <w:pPr>
              <w:spacing w:before="0" w:after="0"/>
            </w:pPr>
            <w:r>
              <w:rPr>
                <w:rFonts w:ascii="Arial" w:hAnsi="Arial" w:eastAsia="Arial" w:cs="Arial"/>
                <w:color w:val="1A2638"/>
                <w:sz w:val="18"/>
                <w:szCs w:val="18"/>
              </w:rPr>
              <w:t>Charte interne de vidéosurveillance · Consentement formalisé des étudiants et enseignants · Validation rectorat + directeur UFR · Réponse aux craintes légitimes identifiées dans les cartes d'empathie</w:t>
            </w:r>
          </w:p>
        </w:tc>
      </w:tr>
    </w:tbl>
    <w:p w14:paraId="52901315">
      <w:pPr>
        <w:spacing w:before="120" w:after="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4F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A90D9" w:sz="4" w:space="0"/>
              <w:left w:val="nil"/>
              <w:bottom w:val="nil"/>
              <w:right w:val="nil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5B49C56D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→ PROCHAINE ÉTAPE : PHASE 3 — IDÉATION</w:t>
            </w:r>
          </w:p>
          <w:p w14:paraId="3FB965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4A5568"/>
                <w:sz w:val="17"/>
                <w:szCs w:val="17"/>
              </w:rPr>
              <w:t>Générer des solutions créatives sur les 3 HMW prioritaires · Axe central : réhabilitation de l'infra existante + stockage local</w:t>
            </w:r>
          </w:p>
        </w:tc>
      </w:tr>
    </w:tbl>
    <w:p w14:paraId="45BA1536"/>
    <w:sectPr>
      <w:pgSz w:w="11906" w:h="16838"/>
      <w:pgMar w:top="960" w:right="1000" w:bottom="96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602315"/>
    <w:rsid w:val="59FB3A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518</Words>
  <Characters>3276</Characters>
  <TotalTime>3</TotalTime>
  <ScaleCrop>false</ScaleCrop>
  <LinksUpToDate>false</LinksUpToDate>
  <CharactersWithSpaces>3732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2026-05-13T23:08:00Z</dcterms:created>
  <dc:creator>Un-named</dc:creator>
  <cp:lastModifiedBy>GALLASSE</cp:lastModifiedBy>
  <dcterms:modified xsi:type="dcterms:W3CDTF">2026-05-13T23:13:53Z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eyJoZGlkIjoiNjYwMTY5ZDM5YjJmM2RlNGEzZDc5NDMwYmY4ODE0ZDgiLCJ1c2VySWQiOiIxODE1OTMzMjkyNTE1MiJ9</vt:lpwstr>
  </property>
  <property fmtid="{D5CDD505-2E9C-101B-9397-08002B2CF9AE}" pid="3" name="KSOProductBuildVer">
    <vt:lpwstr>1036-12.1.0.26372</vt:lpwstr>
  </property>
  <property fmtid="{D5CDD505-2E9C-101B-9397-08002B2CF9AE}" pid="4" name="ICV">
    <vt:lpwstr>A593625594EA459C8D2753119BED2930_12</vt:lpwstr>
  </property>
</Properties>
</file>