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T</w:t>
      </w:r>
      <w:r>
        <w:rPr>
          <w:rFonts w:ascii="Arial" w:hAnsi="Arial" w:cs="Arial" w:eastAsia="Arial"/>
          <w:color w:val="252525"/>
          <w:sz w:val="26"/>
        </w:rPr>
        <w:t>he Most Important Technology Or Strategy For Human AI Cooperation is “ Game theory “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Game theory has been shown as a useful tool for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human-machine interaction, speciﬁcally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their cooperation, by creating an environment where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cooperation can initially form before reaching a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continuous and stable presence in a human-machine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system. Additionally, recent developments in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reinforcement learning artiﬁcial intelligence have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>led to artiﬁcial agents cooperating more efﬁciently with</w:t>
      </w:r>
    </w:p>
    <w:p>
      <w:pPr>
        <w:spacing w:line="204" w:lineRule="auto" w:after="0" w:before="0"/>
        <w:ind w:right="0" w:left="0"/>
        <w:rPr>
          <w:rFonts w:ascii="Arial" w:hAnsi="Arial" w:cs="Arial"/>
          <w:sz w:val="2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26"/>
        </w:rPr>
        <w:t xml:space="preserve">humans, especially in more complex environments.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2022-03-26T19:30:52Z</dcterms:created>
  <dc:creator>Apache POI</dc:creator>
</cp:coreProperties>
</file>