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826" w:rsidRDefault="00DC4C01">
      <w:pPr>
        <w:rPr>
          <w:rFonts w:eastAsia="Times New Roman"/>
        </w:rPr>
      </w:pPr>
      <w:r>
        <w:rPr>
          <w:lang w:val="en-US"/>
        </w:rPr>
        <w:t xml:space="preserve">Brain </w:t>
      </w:r>
      <w:r>
        <w:rPr>
          <w:rFonts w:eastAsia="Times New Roman"/>
        </w:rPr>
        <w:t>diseases are a major potential hazard to human life, such as amyotrophic lateral sclerosis, epilepsy,</w:t>
      </w:r>
      <w:r>
        <w:rPr>
          <w:rFonts w:eastAsia="Times New Roman"/>
        </w:rPr>
        <w:br/>
        <w:t xml:space="preserve">dementia, tumors, stroke, cerebral palsy,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 xml:space="preserve"> . The initial goal of BCI was the medical monitoring. There is</w:t>
      </w:r>
      <w:r>
        <w:rPr>
          <w:rFonts w:eastAsia="Times New Roman"/>
        </w:rPr>
        <w:br/>
        <w:t>abundant physiological and pathological information in the brain waves. BCI can monitor the neuron</w:t>
      </w:r>
      <w:r w:rsidR="00AF1F51">
        <w:rPr>
          <w:rFonts w:eastAsia="Times New Roman"/>
        </w:rPr>
        <w:t xml:space="preserve"> </w:t>
      </w:r>
      <w:r>
        <w:rPr>
          <w:rFonts w:eastAsia="Times New Roman"/>
        </w:rPr>
        <w:t>physiological</w:t>
      </w:r>
      <w:r w:rsidR="00AF1F51">
        <w:rPr>
          <w:rFonts w:eastAsia="Times New Roman"/>
        </w:rPr>
        <w:t xml:space="preserve"> </w:t>
      </w:r>
      <w:r>
        <w:rPr>
          <w:rFonts w:eastAsia="Times New Roman"/>
        </w:rPr>
        <w:t>activities of the brain by analyzing brain waves, providing important evidence for the diagnosis of</w:t>
      </w:r>
      <w:r w:rsidR="00DA6C92">
        <w:rPr>
          <w:rFonts w:eastAsia="Times New Roman"/>
        </w:rPr>
        <w:t xml:space="preserve"> </w:t>
      </w:r>
      <w:r>
        <w:rPr>
          <w:rFonts w:eastAsia="Times New Roman"/>
        </w:rPr>
        <w:t>brain diseases.</w:t>
      </w:r>
    </w:p>
    <w:p w:rsidR="00955826" w:rsidRDefault="00955826">
      <w:pPr>
        <w:rPr>
          <w:rFonts w:eastAsia="Times New Roman"/>
        </w:rPr>
      </w:pPr>
    </w:p>
    <w:p w:rsidR="00237E5A" w:rsidRDefault="00D63BDE">
      <w:pPr>
        <w:rPr>
          <w:rFonts w:eastAsia="Times New Roman"/>
        </w:rPr>
      </w:pPr>
      <w:r>
        <w:rPr>
          <w:rFonts w:eastAsia="Times New Roman"/>
        </w:rPr>
        <w:t>the non-intrusive BCI has the performance of security, the quality of the collected signal is poor and</w:t>
      </w:r>
      <w:r>
        <w:rPr>
          <w:rFonts w:eastAsia="Times New Roman"/>
        </w:rPr>
        <w:br/>
        <w:t>unstable. The invasive BCI guarantees the strength and quality of the EEG signal but sacrifices security</w:t>
      </w:r>
      <w:r w:rsidR="007039F8">
        <w:rPr>
          <w:rFonts w:eastAsia="Times New Roman"/>
        </w:rPr>
        <w:t xml:space="preserve"> and it also can also decay.</w:t>
      </w:r>
    </w:p>
    <w:p w:rsidR="001F17E3" w:rsidRPr="00196203" w:rsidRDefault="00DC4C01">
      <w:pPr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</w:rPr>
        <w:t xml:space="preserve"> </w:t>
      </w:r>
      <w:r w:rsidR="001F17E3">
        <w:rPr>
          <w:rFonts w:eastAsia="Times New Roman"/>
        </w:rPr>
        <w:t xml:space="preserve">But </w:t>
      </w:r>
      <w:r w:rsidR="00DE4A53">
        <w:rPr>
          <w:rFonts w:eastAsia="Times New Roman"/>
        </w:rPr>
        <w:t>there</w:t>
      </w:r>
      <w:r w:rsidR="00BA43F4">
        <w:rPr>
          <w:rFonts w:eastAsia="Times New Roman"/>
        </w:rPr>
        <w:t xml:space="preserve"> is need for more durable materials </w:t>
      </w:r>
      <w:r w:rsidR="00BA43F4" w:rsidRPr="00D75239">
        <w:rPr>
          <w:rFonts w:eastAsia="Times New Roman"/>
          <w:sz w:val="20"/>
          <w:szCs w:val="20"/>
        </w:rPr>
        <w:t xml:space="preserve">because </w:t>
      </w:r>
      <w:r w:rsidR="00D75239" w:rsidRPr="00196203">
        <w:rPr>
          <w:rFonts w:eastAsia="Times New Roman"/>
          <w:color w:val="000000"/>
          <w:shd w:val="clear" w:color="auto" w:fill="FFFFFF"/>
        </w:rPr>
        <w:t xml:space="preserve">Implanted materials tend to degrade too quickly within the body, and </w:t>
      </w:r>
      <w:proofErr w:type="spellStart"/>
      <w:r w:rsidR="00D75239" w:rsidRPr="00196203">
        <w:rPr>
          <w:rFonts w:eastAsia="Times New Roman"/>
          <w:color w:val="000000"/>
          <w:shd w:val="clear" w:color="auto" w:fill="FFFFFF"/>
        </w:rPr>
        <w:t>neurotech</w:t>
      </w:r>
      <w:proofErr w:type="spellEnd"/>
      <w:r w:rsidR="00D75239" w:rsidRPr="00196203">
        <w:rPr>
          <w:rFonts w:eastAsia="Times New Roman"/>
          <w:color w:val="000000"/>
          <w:shd w:val="clear" w:color="auto" w:fill="FFFFFF"/>
        </w:rPr>
        <w:t xml:space="preserve"> devices have more complex requirements which make this an even more pressing problem</w:t>
      </w:r>
      <w:r w:rsidR="00062DB2" w:rsidRPr="00196203">
        <w:rPr>
          <w:rFonts w:eastAsia="Times New Roman"/>
          <w:color w:val="000000"/>
          <w:shd w:val="clear" w:color="auto" w:fill="FFFFFF"/>
        </w:rPr>
        <w:t xml:space="preserve"> .</w:t>
      </w:r>
    </w:p>
    <w:p w:rsidR="00062DB2" w:rsidRDefault="00062DB2">
      <w:pPr>
        <w:rPr>
          <w:rFonts w:ascii="Libre Franklin" w:eastAsia="Times New Roman" w:hAnsi="Libre Franklin"/>
          <w:color w:val="000000"/>
          <w:sz w:val="21"/>
          <w:szCs w:val="21"/>
          <w:shd w:val="clear" w:color="auto" w:fill="FFFFFF"/>
        </w:rPr>
      </w:pPr>
    </w:p>
    <w:p w:rsidR="00062DB2" w:rsidRPr="00C3703D" w:rsidRDefault="00062DB2">
      <w:pP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Libre Franklin" w:eastAsia="Times New Roman" w:hAnsi="Libre Franklin"/>
          <w:color w:val="000000"/>
          <w:sz w:val="21"/>
          <w:szCs w:val="21"/>
          <w:shd w:val="clear" w:color="auto" w:fill="FFFFFF"/>
        </w:rPr>
        <w:t xml:space="preserve">  </w:t>
      </w:r>
      <w:r w:rsidRPr="00C3703D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 xml:space="preserve">The solution </w:t>
      </w:r>
    </w:p>
    <w:p w:rsidR="00760D7B" w:rsidRDefault="00760D7B">
      <w:pPr>
        <w:rPr>
          <w:rFonts w:ascii="Libre Franklin" w:eastAsia="Times New Roman" w:hAnsi="Libre Franklin"/>
          <w:b/>
          <w:bCs/>
          <w:color w:val="000000"/>
          <w:sz w:val="21"/>
          <w:szCs w:val="21"/>
          <w:shd w:val="clear" w:color="auto" w:fill="FFFFFF"/>
        </w:rPr>
      </w:pPr>
    </w:p>
    <w:p w:rsidR="001F6864" w:rsidRPr="00760D7B" w:rsidRDefault="00BB78F3">
      <w:pPr>
        <w:rPr>
          <w:rFonts w:eastAsia="Times New Roman"/>
          <w:color w:val="000000"/>
          <w:sz w:val="21"/>
          <w:szCs w:val="21"/>
          <w:shd w:val="clear" w:color="auto" w:fill="FFFFFF"/>
        </w:rPr>
      </w:pPr>
      <w:r w:rsidRPr="00760D7B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Scholars have proposed </w:t>
      </w:r>
      <w:r w:rsidR="00C126B5" w:rsidRPr="00760D7B">
        <w:rPr>
          <w:rFonts w:eastAsia="Times New Roman"/>
          <w:b/>
          <w:bCs/>
          <w:color w:val="000000"/>
          <w:sz w:val="21"/>
          <w:szCs w:val="21"/>
          <w:shd w:val="clear" w:color="auto" w:fill="FFFFFF"/>
        </w:rPr>
        <w:t>semi-invasive</w:t>
      </w:r>
      <w:r w:rsidR="00C126B5" w:rsidRPr="00760D7B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</w:t>
      </w:r>
      <w:r w:rsidR="005470D3" w:rsidRPr="00405900">
        <w:rPr>
          <w:rFonts w:eastAsia="Times New Roman"/>
          <w:b/>
          <w:bCs/>
          <w:color w:val="000000"/>
          <w:sz w:val="21"/>
          <w:szCs w:val="21"/>
          <w:shd w:val="clear" w:color="auto" w:fill="FFFFFF"/>
        </w:rPr>
        <w:t>technology</w:t>
      </w:r>
      <w:r w:rsidR="005470D3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 </w:t>
      </w:r>
      <w:r w:rsidR="00C126B5" w:rsidRPr="00760D7B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as the solution of </w:t>
      </w:r>
      <w:r w:rsidR="009C70CF" w:rsidRPr="00760D7B">
        <w:rPr>
          <w:rFonts w:eastAsia="Times New Roman"/>
          <w:color w:val="000000"/>
          <w:sz w:val="21"/>
          <w:szCs w:val="21"/>
          <w:shd w:val="clear" w:color="auto" w:fill="FFFFFF"/>
        </w:rPr>
        <w:t xml:space="preserve">above mentioned types of </w:t>
      </w:r>
      <w:r w:rsidR="00DA1006" w:rsidRPr="00760D7B">
        <w:rPr>
          <w:rFonts w:eastAsia="Times New Roman"/>
          <w:color w:val="000000"/>
          <w:sz w:val="21"/>
          <w:szCs w:val="21"/>
          <w:shd w:val="clear" w:color="auto" w:fill="FFFFFF"/>
        </w:rPr>
        <w:t>Brain computer interfaces .</w:t>
      </w:r>
    </w:p>
    <w:p w:rsidR="00A96DAE" w:rsidRDefault="00375167">
      <w:pPr>
        <w:rPr>
          <w:rFonts w:eastAsia="Times New Roman"/>
        </w:rPr>
      </w:pPr>
      <w:r>
        <w:rPr>
          <w:rFonts w:eastAsia="Times New Roman"/>
        </w:rPr>
        <w:t>Semi-invasive</w:t>
      </w:r>
      <w:r w:rsidR="001D29EA">
        <w:rPr>
          <w:rFonts w:eastAsia="Times New Roman"/>
        </w:rPr>
        <w:t xml:space="preserve"> </w:t>
      </w:r>
      <w:r>
        <w:rPr>
          <w:rFonts w:eastAsia="Times New Roman"/>
        </w:rPr>
        <w:t xml:space="preserve"> also known as injectable, combines the advantages of non-invasive and invasive, that is, injecting</w:t>
      </w:r>
      <w:r>
        <w:rPr>
          <w:rFonts w:eastAsia="Times New Roman"/>
        </w:rPr>
        <w:br/>
        <w:t>through a syringe can accurately target and locate in specific brain regions, which not only ensures safety but also</w:t>
      </w:r>
      <w:r>
        <w:rPr>
          <w:rFonts w:eastAsia="Times New Roman"/>
        </w:rPr>
        <w:br/>
        <w:t>improves the strength and quality of EEG signals. This minimally invasive procedure reduces the pain of patients,</w:t>
      </w:r>
      <w:r>
        <w:rPr>
          <w:rFonts w:eastAsia="Times New Roman"/>
        </w:rPr>
        <w:br/>
        <w:t>avoids the acute immune response during implantation and minimizes damage to the neural circuit. Further,</w:t>
      </w:r>
      <w:r>
        <w:rPr>
          <w:rFonts w:eastAsia="Times New Roman"/>
        </w:rPr>
        <w:br/>
        <w:t>from the perspective of medical transplants, the damaged parts of brain tissue are usually irregular. Compared with</w:t>
      </w:r>
      <w:r w:rsidR="006B1561">
        <w:rPr>
          <w:rFonts w:eastAsia="Times New Roman"/>
        </w:rPr>
        <w:t xml:space="preserve"> </w:t>
      </w:r>
      <w:r>
        <w:rPr>
          <w:rFonts w:eastAsia="Times New Roman"/>
        </w:rPr>
        <w:t>the pre-molded invasive BCI device, this injectable type can achieve the effect of tight filling.</w:t>
      </w:r>
      <w:r w:rsidR="00F7220D">
        <w:rPr>
          <w:rFonts w:eastAsia="Times New Roman"/>
        </w:rPr>
        <w:t xml:space="preserve"> </w:t>
      </w:r>
    </w:p>
    <w:p w:rsidR="008B08C1" w:rsidRDefault="00375167">
      <w:pPr>
        <w:rPr>
          <w:rFonts w:eastAsia="Times New Roman"/>
        </w:rPr>
      </w:pPr>
      <w:r>
        <w:rPr>
          <w:rFonts w:eastAsia="Times New Roman"/>
        </w:rPr>
        <w:t xml:space="preserve">Semi-invasive BCI electrodes can be subdivided into </w:t>
      </w:r>
      <w:proofErr w:type="spellStart"/>
      <w:r>
        <w:rPr>
          <w:rFonts w:eastAsia="Times New Roman"/>
        </w:rPr>
        <w:t>extraneural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intraneural</w:t>
      </w:r>
      <w:proofErr w:type="spellEnd"/>
      <w:r>
        <w:rPr>
          <w:rFonts w:eastAsia="Times New Roman"/>
        </w:rPr>
        <w:t xml:space="preserve"> electrodes. The </w:t>
      </w:r>
      <w:proofErr w:type="spellStart"/>
      <w:r>
        <w:rPr>
          <w:rFonts w:eastAsia="Times New Roman"/>
        </w:rPr>
        <w:t>socalled</w:t>
      </w:r>
      <w:proofErr w:type="spellEnd"/>
      <w:r>
        <w:rPr>
          <w:rFonts w:eastAsia="Times New Roman"/>
        </w:rPr>
        <w:br/>
        <w:t>external electrodes are in conformal contact with the surface of the brain tissue while the internal</w:t>
      </w:r>
      <w:r w:rsidR="00F7220D">
        <w:rPr>
          <w:rFonts w:eastAsia="Times New Roman"/>
        </w:rPr>
        <w:t xml:space="preserve"> </w:t>
      </w:r>
      <w:r>
        <w:rPr>
          <w:rFonts w:eastAsia="Times New Roman"/>
        </w:rPr>
        <w:t>electrodes are the type of soft penetration. The</w:t>
      </w:r>
      <w:r w:rsidR="00C82904">
        <w:rPr>
          <w:rFonts w:eastAsia="Times New Roman"/>
        </w:rPr>
        <w:t xml:space="preserve"> </w:t>
      </w:r>
      <w:r>
        <w:rPr>
          <w:rFonts w:eastAsia="Times New Roman"/>
        </w:rPr>
        <w:t>external electrodes abandon the idea of chip-based, connect</w:t>
      </w:r>
      <w:r w:rsidR="00827505">
        <w:rPr>
          <w:rFonts w:eastAsia="Times New Roman"/>
        </w:rPr>
        <w:t xml:space="preserve"> </w:t>
      </w:r>
      <w:r>
        <w:rPr>
          <w:rFonts w:eastAsia="Times New Roman"/>
        </w:rPr>
        <w:t>electronic devices with the internal structure of nerves, further blur the brain-computer</w:t>
      </w:r>
      <w:r w:rsidR="00C82904">
        <w:rPr>
          <w:rFonts w:eastAsia="Times New Roman"/>
        </w:rPr>
        <w:t xml:space="preserve"> </w:t>
      </w:r>
      <w:r>
        <w:rPr>
          <w:rFonts w:eastAsia="Times New Roman"/>
        </w:rPr>
        <w:t>interface, and truly</w:t>
      </w:r>
      <w:r w:rsidR="000502EB">
        <w:rPr>
          <w:rFonts w:eastAsia="Times New Roman"/>
        </w:rPr>
        <w:t xml:space="preserve"> </w:t>
      </w:r>
      <w:r>
        <w:rPr>
          <w:rFonts w:eastAsia="Times New Roman"/>
        </w:rPr>
        <w:t>realize the natural relationship between electrodes and biological tissues. Technically, flexible electrodes have</w:t>
      </w:r>
      <w:r w:rsidR="000502EB">
        <w:rPr>
          <w:rFonts w:eastAsia="Times New Roman"/>
        </w:rPr>
        <w:t xml:space="preserve"> </w:t>
      </w:r>
      <w:r>
        <w:rPr>
          <w:rFonts w:eastAsia="Times New Roman"/>
        </w:rPr>
        <w:t>gradually transformed from neural probes to bionic chips. The aim of non-invasive electrodes is low elastic</w:t>
      </w:r>
      <w:r w:rsidR="000502EB">
        <w:rPr>
          <w:rFonts w:eastAsia="Times New Roman"/>
        </w:rPr>
        <w:t xml:space="preserve"> </w:t>
      </w:r>
      <w:r>
        <w:rPr>
          <w:rFonts w:eastAsia="Times New Roman"/>
        </w:rPr>
        <w:t>modulus, low electrode</w:t>
      </w:r>
      <w:r w:rsidR="0037088A">
        <w:rPr>
          <w:rFonts w:eastAsia="Times New Roman"/>
        </w:rPr>
        <w:t xml:space="preserve"> </w:t>
      </w:r>
      <w:r>
        <w:rPr>
          <w:rFonts w:eastAsia="Times New Roman"/>
        </w:rPr>
        <w:t>impedance and compliant mechanical structure to adapt to the dynamic deformation of</w:t>
      </w:r>
      <w:r w:rsidR="0037088A">
        <w:rPr>
          <w:rFonts w:eastAsia="Times New Roman"/>
        </w:rPr>
        <w:t xml:space="preserve"> </w:t>
      </w:r>
      <w:r>
        <w:rPr>
          <w:rFonts w:eastAsia="Times New Roman"/>
        </w:rPr>
        <w:t>the brain, making it rely on the natural adhesion to achieve conformal integration, embedded interconnection</w:t>
      </w:r>
      <w:r w:rsidR="0037088A">
        <w:rPr>
          <w:rFonts w:eastAsia="Times New Roman"/>
        </w:rPr>
        <w:t xml:space="preserve"> </w:t>
      </w:r>
      <w:r>
        <w:rPr>
          <w:rFonts w:eastAsia="Times New Roman"/>
        </w:rPr>
        <w:t>and three-dimensional interpenetration.</w:t>
      </w:r>
    </w:p>
    <w:p w:rsidR="009D5BE5" w:rsidRDefault="009D5BE5">
      <w:pPr>
        <w:rPr>
          <w:rFonts w:eastAsia="Times New Roman"/>
        </w:rPr>
      </w:pPr>
    </w:p>
    <w:p w:rsidR="009D5BE5" w:rsidRDefault="009D5BE5">
      <w:pPr>
        <w:rPr>
          <w:rFonts w:eastAsia="Times New Roman"/>
        </w:rPr>
      </w:pPr>
    </w:p>
    <w:p w:rsidR="009D5BE5" w:rsidRDefault="009D5BE5">
      <w:pPr>
        <w:rPr>
          <w:rFonts w:eastAsia="Times New Roman"/>
        </w:rPr>
      </w:pPr>
    </w:p>
    <w:p w:rsidR="009D5BE5" w:rsidRDefault="009D5BE5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Reference:</w:t>
      </w:r>
    </w:p>
    <w:p w:rsidR="009D5BE5" w:rsidRDefault="009D5BE5">
      <w:pPr>
        <w:rPr>
          <w:rFonts w:eastAsia="Times New Roman"/>
          <w:b/>
          <w:bCs/>
        </w:rPr>
      </w:pPr>
    </w:p>
    <w:p w:rsidR="00670106" w:rsidRDefault="00455457">
      <w:pPr>
        <w:rPr>
          <w:rFonts w:eastAsia="Times New Roman"/>
        </w:rPr>
      </w:pPr>
      <w:r>
        <w:rPr>
          <w:rFonts w:eastAsia="Times New Roman"/>
        </w:rPr>
        <w:br/>
      </w:r>
      <w:r w:rsidR="00E4281B">
        <w:rPr>
          <w:rFonts w:eastAsia="Times New Roman"/>
        </w:rPr>
        <w:t xml:space="preserve">[1] </w:t>
      </w:r>
      <w:proofErr w:type="spellStart"/>
      <w:r>
        <w:rPr>
          <w:rFonts w:eastAsia="Times New Roman"/>
        </w:rPr>
        <w:t>Annabi</w:t>
      </w:r>
      <w:proofErr w:type="spellEnd"/>
      <w:r>
        <w:rPr>
          <w:rFonts w:eastAsia="Times New Roman"/>
        </w:rPr>
        <w:t xml:space="preserve"> N, </w:t>
      </w:r>
      <w:proofErr w:type="spellStart"/>
      <w:r>
        <w:rPr>
          <w:rFonts w:eastAsia="Times New Roman"/>
        </w:rPr>
        <w:t>Tamayol</w:t>
      </w:r>
      <w:proofErr w:type="spellEnd"/>
      <w:r>
        <w:rPr>
          <w:rFonts w:eastAsia="Times New Roman"/>
        </w:rPr>
        <w:t xml:space="preserve"> A, </w:t>
      </w:r>
      <w:proofErr w:type="spellStart"/>
      <w:r>
        <w:rPr>
          <w:rFonts w:eastAsia="Times New Roman"/>
        </w:rPr>
        <w:t>Uquillas</w:t>
      </w:r>
      <w:proofErr w:type="spellEnd"/>
      <w:r>
        <w:rPr>
          <w:rFonts w:eastAsia="Times New Roman"/>
        </w:rPr>
        <w:t xml:space="preserve"> J A, Akbari M, </w:t>
      </w:r>
      <w:proofErr w:type="spellStart"/>
      <w:r>
        <w:rPr>
          <w:rFonts w:eastAsia="Times New Roman"/>
        </w:rPr>
        <w:t>Bertassoni</w:t>
      </w:r>
      <w:proofErr w:type="spellEnd"/>
      <w:r>
        <w:rPr>
          <w:rFonts w:eastAsia="Times New Roman"/>
        </w:rPr>
        <w:t xml:space="preserve"> L E, Cha C, </w:t>
      </w:r>
      <w:proofErr w:type="spellStart"/>
      <w:r>
        <w:rPr>
          <w:rFonts w:eastAsia="Times New Roman"/>
        </w:rPr>
        <w:t>Camci-Unal</w:t>
      </w:r>
      <w:proofErr w:type="spellEnd"/>
      <w:r>
        <w:rPr>
          <w:rFonts w:eastAsia="Times New Roman"/>
        </w:rPr>
        <w:t xml:space="preserve"> G, </w:t>
      </w:r>
      <w:proofErr w:type="spellStart"/>
      <w:r>
        <w:rPr>
          <w:rFonts w:eastAsia="Times New Roman"/>
        </w:rPr>
        <w:t>Dokmeci</w:t>
      </w:r>
      <w:proofErr w:type="spellEnd"/>
      <w:r>
        <w:rPr>
          <w:rFonts w:eastAsia="Times New Roman"/>
        </w:rPr>
        <w:t xml:space="preserve"> M R, </w:t>
      </w:r>
      <w:proofErr w:type="spellStart"/>
      <w:r>
        <w:rPr>
          <w:rFonts w:eastAsia="Times New Roman"/>
        </w:rPr>
        <w:t>Peppas</w:t>
      </w:r>
      <w:proofErr w:type="spellEnd"/>
      <w:r>
        <w:rPr>
          <w:rFonts w:eastAsia="Times New Roman"/>
        </w:rPr>
        <w:t xml:space="preserve"> N A and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Khademhosseini</w:t>
      </w:r>
      <w:proofErr w:type="spellEnd"/>
      <w:r>
        <w:rPr>
          <w:rFonts w:eastAsia="Times New Roman"/>
        </w:rPr>
        <w:t xml:space="preserve"> A 2014 Rational design and applications of hydrogels in regenerative medicine Adv. Mater. 26 85–124</w:t>
      </w:r>
    </w:p>
    <w:p w:rsidR="00670106" w:rsidRDefault="00455457">
      <w:pPr>
        <w:rPr>
          <w:rFonts w:eastAsia="Times New Roman"/>
        </w:rPr>
      </w:pPr>
      <w:r>
        <w:rPr>
          <w:rFonts w:eastAsia="Times New Roman"/>
        </w:rPr>
        <w:br/>
        <w:t>[</w:t>
      </w:r>
      <w:r w:rsidR="000125BD">
        <w:rPr>
          <w:rFonts w:eastAsia="Times New Roman"/>
        </w:rPr>
        <w:t>2</w:t>
      </w:r>
      <w:r>
        <w:rPr>
          <w:rFonts w:eastAsia="Times New Roman"/>
        </w:rPr>
        <w:t xml:space="preserve">] Lin G Y, </w:t>
      </w:r>
      <w:proofErr w:type="spellStart"/>
      <w:r>
        <w:rPr>
          <w:rFonts w:eastAsia="Times New Roman"/>
        </w:rPr>
        <w:t>Cosimbescu</w:t>
      </w:r>
      <w:proofErr w:type="spellEnd"/>
      <w:r>
        <w:rPr>
          <w:rFonts w:eastAsia="Times New Roman"/>
        </w:rPr>
        <w:t xml:space="preserve"> L, Karin N J, </w:t>
      </w:r>
      <w:proofErr w:type="spellStart"/>
      <w:r>
        <w:rPr>
          <w:rFonts w:eastAsia="Times New Roman"/>
        </w:rPr>
        <w:t>Gutowska</w:t>
      </w:r>
      <w:proofErr w:type="spellEnd"/>
      <w:r>
        <w:rPr>
          <w:rFonts w:eastAsia="Times New Roman"/>
        </w:rPr>
        <w:t xml:space="preserve"> A and </w:t>
      </w:r>
      <w:proofErr w:type="spellStart"/>
      <w:r>
        <w:rPr>
          <w:rFonts w:eastAsia="Times New Roman"/>
        </w:rPr>
        <w:t>Tarasevich</w:t>
      </w:r>
      <w:proofErr w:type="spellEnd"/>
      <w:r>
        <w:rPr>
          <w:rFonts w:eastAsia="Times New Roman"/>
        </w:rPr>
        <w:t xml:space="preserve"> B J 2013 Injectable and </w:t>
      </w:r>
      <w:proofErr w:type="spellStart"/>
      <w:r>
        <w:rPr>
          <w:rFonts w:eastAsia="Times New Roman"/>
        </w:rPr>
        <w:t>thermogelling</w:t>
      </w:r>
      <w:proofErr w:type="spellEnd"/>
      <w:r>
        <w:rPr>
          <w:rFonts w:eastAsia="Times New Roman"/>
        </w:rPr>
        <w:t xml:space="preserve"> hydrogels of PCL-g-PEG:</w:t>
      </w:r>
      <w:r>
        <w:rPr>
          <w:rFonts w:eastAsia="Times New Roman"/>
        </w:rPr>
        <w:br/>
        <w:t xml:space="preserve">mechanisms, rheological and enzymatic degradation </w:t>
      </w:r>
      <w:proofErr w:type="spellStart"/>
      <w:r>
        <w:rPr>
          <w:rFonts w:eastAsia="Times New Roman"/>
        </w:rPr>
        <w:t>propertiesJ</w:t>
      </w:r>
      <w:proofErr w:type="spellEnd"/>
      <w:r>
        <w:rPr>
          <w:rFonts w:eastAsia="Times New Roman"/>
        </w:rPr>
        <w:t>. Mater. Chem. B 1 1249–55</w:t>
      </w:r>
    </w:p>
    <w:p w:rsidR="00670106" w:rsidRDefault="00455457">
      <w:pPr>
        <w:rPr>
          <w:rFonts w:eastAsia="Times New Roman"/>
        </w:rPr>
      </w:pPr>
      <w:r>
        <w:rPr>
          <w:rFonts w:eastAsia="Times New Roman"/>
        </w:rPr>
        <w:br/>
        <w:t>[</w:t>
      </w:r>
      <w:r w:rsidR="000125BD">
        <w:rPr>
          <w:rFonts w:eastAsia="Times New Roman"/>
        </w:rPr>
        <w:t>3</w:t>
      </w:r>
      <w:r>
        <w:rPr>
          <w:rFonts w:eastAsia="Times New Roman"/>
        </w:rPr>
        <w:t xml:space="preserve">] </w:t>
      </w:r>
      <w:proofErr w:type="spellStart"/>
      <w:r>
        <w:rPr>
          <w:rFonts w:eastAsia="Times New Roman"/>
        </w:rPr>
        <w:t>Okesola</w:t>
      </w:r>
      <w:proofErr w:type="spellEnd"/>
      <w:r>
        <w:rPr>
          <w:rFonts w:eastAsia="Times New Roman"/>
        </w:rPr>
        <w:t xml:space="preserve"> B O et al 2020 Growth-factor free multicomponent </w:t>
      </w:r>
      <w:proofErr w:type="spellStart"/>
      <w:r>
        <w:rPr>
          <w:rFonts w:eastAsia="Times New Roman"/>
        </w:rPr>
        <w:t>nanocomposite</w:t>
      </w:r>
      <w:proofErr w:type="spellEnd"/>
      <w:r>
        <w:rPr>
          <w:rFonts w:eastAsia="Times New Roman"/>
        </w:rPr>
        <w:t xml:space="preserve"> hydrogels that stimulate bone formation Adv. </w:t>
      </w:r>
      <w:proofErr w:type="spellStart"/>
      <w:r>
        <w:rPr>
          <w:rFonts w:eastAsia="Times New Roman"/>
        </w:rPr>
        <w:t>Funct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  <w:t>Mater. 30 1906205</w:t>
      </w:r>
    </w:p>
    <w:p w:rsidR="00C963AC" w:rsidRDefault="00455457">
      <w:pPr>
        <w:rPr>
          <w:rFonts w:eastAsia="Times New Roman"/>
        </w:rPr>
      </w:pPr>
      <w:r>
        <w:rPr>
          <w:rFonts w:eastAsia="Times New Roman"/>
        </w:rPr>
        <w:br/>
        <w:t>[</w:t>
      </w:r>
      <w:r w:rsidR="000125BD">
        <w:rPr>
          <w:rFonts w:eastAsia="Times New Roman"/>
        </w:rPr>
        <w:t>4</w:t>
      </w:r>
      <w:r>
        <w:rPr>
          <w:rFonts w:eastAsia="Times New Roman"/>
        </w:rPr>
        <w:t xml:space="preserve">] </w:t>
      </w:r>
      <w:proofErr w:type="spellStart"/>
      <w:r>
        <w:rPr>
          <w:rFonts w:eastAsia="Times New Roman"/>
        </w:rPr>
        <w:t>Deepthi</w:t>
      </w:r>
      <w:proofErr w:type="spellEnd"/>
      <w:r>
        <w:rPr>
          <w:rFonts w:eastAsia="Times New Roman"/>
        </w:rPr>
        <w:t xml:space="preserve"> R, </w:t>
      </w:r>
      <w:proofErr w:type="spellStart"/>
      <w:r>
        <w:rPr>
          <w:rFonts w:eastAsia="Times New Roman"/>
        </w:rPr>
        <w:t>Bhargavi</w:t>
      </w:r>
      <w:proofErr w:type="spellEnd"/>
      <w:r>
        <w:rPr>
          <w:rFonts w:eastAsia="Times New Roman"/>
        </w:rPr>
        <w:t xml:space="preserve"> R, </w:t>
      </w:r>
      <w:proofErr w:type="spellStart"/>
      <w:r>
        <w:rPr>
          <w:rFonts w:eastAsia="Times New Roman"/>
        </w:rPr>
        <w:t>Jagadeesh</w:t>
      </w:r>
      <w:proofErr w:type="spellEnd"/>
      <w:r>
        <w:rPr>
          <w:rFonts w:eastAsia="Times New Roman"/>
        </w:rPr>
        <w:t xml:space="preserve"> K and </w:t>
      </w:r>
      <w:proofErr w:type="spellStart"/>
      <w:r>
        <w:rPr>
          <w:rFonts w:eastAsia="Times New Roman"/>
        </w:rPr>
        <w:t>Vijaya</w:t>
      </w:r>
      <w:proofErr w:type="spellEnd"/>
      <w:r>
        <w:rPr>
          <w:rFonts w:eastAsia="Times New Roman"/>
        </w:rPr>
        <w:t xml:space="preserve"> M S 2010 </w:t>
      </w:r>
      <w:proofErr w:type="spellStart"/>
      <w:r>
        <w:rPr>
          <w:rFonts w:eastAsia="Times New Roman"/>
        </w:rPr>
        <w:t>Rheometric</w:t>
      </w:r>
      <w:proofErr w:type="spellEnd"/>
      <w:r>
        <w:rPr>
          <w:rFonts w:eastAsia="Times New Roman"/>
        </w:rPr>
        <w:t xml:space="preserve"> studies on agarose gel-A brain mimic material </w:t>
      </w:r>
      <w:proofErr w:type="spellStart"/>
      <w:r>
        <w:rPr>
          <w:rFonts w:eastAsia="Times New Roman"/>
        </w:rPr>
        <w:t>SASTech</w:t>
      </w:r>
      <w:proofErr w:type="spellEnd"/>
      <w:r>
        <w:rPr>
          <w:rFonts w:eastAsia="Times New Roman"/>
        </w:rPr>
        <w:t xml:space="preserve"> Journal 9</w:t>
      </w:r>
      <w:r>
        <w:rPr>
          <w:rFonts w:eastAsia="Times New Roman"/>
        </w:rPr>
        <w:br/>
        <w:t>27–30 (</w:t>
      </w:r>
      <w:hyperlink r:id="rId4" w:history="1">
        <w:r w:rsidR="00C963AC" w:rsidRPr="004B1971">
          <w:rPr>
            <w:rStyle w:val="Hyperlink"/>
            <w:rFonts w:eastAsia="Times New Roman"/>
          </w:rPr>
          <w:t>http://sastechjournal.com/pdf/Journals/Sept2010/4.pdf</w:t>
        </w:r>
      </w:hyperlink>
      <w:r>
        <w:rPr>
          <w:rFonts w:eastAsia="Times New Roman"/>
        </w:rPr>
        <w:t>)</w:t>
      </w:r>
    </w:p>
    <w:p w:rsidR="0012636E" w:rsidRPr="00062DB2" w:rsidRDefault="00455457">
      <w:pPr>
        <w:rPr>
          <w:rFonts w:eastAsia="Times New Roman"/>
          <w:b/>
          <w:bCs/>
        </w:rPr>
      </w:pPr>
      <w:r>
        <w:rPr>
          <w:rFonts w:eastAsia="Times New Roman"/>
        </w:rPr>
        <w:br/>
        <w:t>[</w:t>
      </w:r>
      <w:r w:rsidR="000125BD">
        <w:rPr>
          <w:rFonts w:eastAsia="Times New Roman"/>
        </w:rPr>
        <w:t>5</w:t>
      </w:r>
      <w:r>
        <w:rPr>
          <w:rFonts w:eastAsia="Times New Roman"/>
        </w:rPr>
        <w:t xml:space="preserve">] Chen C H, Chen S H, Mao S H, Tsai M J, Chou P Y, Liao C H and Chen J P 2017 Injectable </w:t>
      </w:r>
      <w:proofErr w:type="spellStart"/>
      <w:r>
        <w:rPr>
          <w:rFonts w:eastAsia="Times New Roman"/>
        </w:rPr>
        <w:t>thermosensitive</w:t>
      </w:r>
      <w:proofErr w:type="spellEnd"/>
      <w:r>
        <w:rPr>
          <w:rFonts w:eastAsia="Times New Roman"/>
        </w:rPr>
        <w:t xml:space="preserve"> hydrogel containing</w:t>
      </w:r>
      <w:r w:rsidR="00C963AC">
        <w:rPr>
          <w:rFonts w:eastAsia="Times New Roman"/>
        </w:rPr>
        <w:t xml:space="preserve"> </w:t>
      </w:r>
      <w:r>
        <w:rPr>
          <w:rFonts w:eastAsia="Times New Roman"/>
        </w:rPr>
        <w:t>hyaluronic acid and chitosan as a barrier for prevention of</w:t>
      </w:r>
      <w:r w:rsidR="00C963AC">
        <w:rPr>
          <w:rFonts w:eastAsia="Times New Roman"/>
        </w:rPr>
        <w:t xml:space="preserve"> </w:t>
      </w:r>
      <w:r>
        <w:rPr>
          <w:rFonts w:eastAsia="Times New Roman"/>
        </w:rPr>
        <w:t>postoperative peritoneal adhesion Carbohydrate Polymers 173 721–31</w:t>
      </w:r>
    </w:p>
    <w:sectPr w:rsidR="0012636E" w:rsidRPr="00062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01"/>
    <w:rsid w:val="000125BD"/>
    <w:rsid w:val="000502EB"/>
    <w:rsid w:val="00062DB2"/>
    <w:rsid w:val="0012636E"/>
    <w:rsid w:val="00196203"/>
    <w:rsid w:val="001D29EA"/>
    <w:rsid w:val="001F17E3"/>
    <w:rsid w:val="001F6864"/>
    <w:rsid w:val="00237E5A"/>
    <w:rsid w:val="00330AAF"/>
    <w:rsid w:val="0037088A"/>
    <w:rsid w:val="00375167"/>
    <w:rsid w:val="00405900"/>
    <w:rsid w:val="00455457"/>
    <w:rsid w:val="004D681B"/>
    <w:rsid w:val="005470D3"/>
    <w:rsid w:val="00562806"/>
    <w:rsid w:val="00670106"/>
    <w:rsid w:val="006B1561"/>
    <w:rsid w:val="007039F8"/>
    <w:rsid w:val="00760D7B"/>
    <w:rsid w:val="00827505"/>
    <w:rsid w:val="008B08C1"/>
    <w:rsid w:val="00955826"/>
    <w:rsid w:val="009C13BE"/>
    <w:rsid w:val="009C70CF"/>
    <w:rsid w:val="009D5BE5"/>
    <w:rsid w:val="00A96DAE"/>
    <w:rsid w:val="00AF1F51"/>
    <w:rsid w:val="00BA43F4"/>
    <w:rsid w:val="00BB78F3"/>
    <w:rsid w:val="00C126B5"/>
    <w:rsid w:val="00C3703D"/>
    <w:rsid w:val="00C82904"/>
    <w:rsid w:val="00C963AC"/>
    <w:rsid w:val="00D63BDE"/>
    <w:rsid w:val="00D73CFE"/>
    <w:rsid w:val="00D75239"/>
    <w:rsid w:val="00DA1006"/>
    <w:rsid w:val="00DA6C92"/>
    <w:rsid w:val="00DC0771"/>
    <w:rsid w:val="00DC4C01"/>
    <w:rsid w:val="00DE4A53"/>
    <w:rsid w:val="00DF33AC"/>
    <w:rsid w:val="00E4281B"/>
    <w:rsid w:val="00EF28D6"/>
    <w:rsid w:val="00F7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8C9C"/>
  <w15:chartTrackingRefBased/>
  <w15:docId w15:val="{E4417285-08C6-B145-BBBD-11ECA070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sastechjournal.com/pdf/Journals/Sept2010/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Okeagu Ugochukwu</dc:creator>
  <cp:keywords/>
  <dc:description/>
  <cp:lastModifiedBy>Okeagu Ugochukwu</cp:lastModifiedBy>
  <cp:revision>10</cp:revision>
  <dcterms:created xsi:type="dcterms:W3CDTF">2022-04-28T15:52:00Z</dcterms:created>
  <dcterms:modified xsi:type="dcterms:W3CDTF">2022-04-28T16:03:00Z</dcterms:modified>
</cp:coreProperties>
</file>