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70DCD" w14:textId="77777777" w:rsidR="00370BDA" w:rsidRDefault="00370BDA" w:rsidP="00370BDA">
      <w:r>
        <w:t>Below is a dissertation-style draft for **Chapter 3: Methodology**, written to match the project you actually implemented and the author-date citation style visible in your `.docx`.</w:t>
      </w:r>
    </w:p>
    <w:p w14:paraId="24495DAC" w14:textId="77777777" w:rsidR="00370BDA" w:rsidRDefault="00370BDA" w:rsidP="00370BDA"/>
    <w:p w14:paraId="2D9B4E0D" w14:textId="77777777" w:rsidR="00370BDA" w:rsidRDefault="00370BDA" w:rsidP="00370BDA">
      <w:r>
        <w:t>**Chapter 3: Methodology**</w:t>
      </w:r>
    </w:p>
    <w:p w14:paraId="3A0E15E6" w14:textId="77777777" w:rsidR="00370BDA" w:rsidRDefault="00370BDA" w:rsidP="00370BDA"/>
    <w:p w14:paraId="496AF5D7" w14:textId="77777777" w:rsidR="00370BDA" w:rsidRDefault="00370BDA" w:rsidP="00370BDA">
      <w:r>
        <w:t>**3.1 Research Design**</w:t>
      </w:r>
    </w:p>
    <w:p w14:paraId="2766186B" w14:textId="77777777" w:rsidR="00370BDA" w:rsidRDefault="00370BDA" w:rsidP="00370BDA"/>
    <w:p w14:paraId="12C37626" w14:textId="77777777" w:rsidR="00370BDA" w:rsidRDefault="00370BDA" w:rsidP="00370BDA">
      <w:r>
        <w:t>This study adopted an applied experimental design to investigate whether machine learning-based detection can function as an additional defensive layer against SQL injection (SQLi) within a web application architecture. The methodological choice was informed by recent work that treats machine learning not as a replacement for secure coding practices, but as an intermediate analytical layer between user input and database query execution (Rosca, Stancu and Popescu, 2025). In practical terms, the research sought to train and compare several classification models on labelled SQL query data, deploy the best-performing model into a Flask middleware component, and observe how the deployed system behaved when exposed to both benign and malicious API traffic.</w:t>
      </w:r>
    </w:p>
    <w:p w14:paraId="6F9848E6" w14:textId="77777777" w:rsidR="00370BDA" w:rsidRDefault="00370BDA" w:rsidP="00370BDA"/>
    <w:p w14:paraId="40318921" w14:textId="77777777" w:rsidR="00370BDA" w:rsidRDefault="00370BDA" w:rsidP="00370BDA">
      <w:r>
        <w:t>The overall design combined four stages: dataset preparation, feature engineering and preprocessing, model training and comparative evaluation, and middleware deployment with runtime testing. This structure was appropriate because the research problem was not limited to offline classification accuracy. Rather, the dissertation also examined whether a trained model could be incorporated into a functioning application-level security workflow. In that sense, the methodology addressed both analytical performance and operational feasibility.</w:t>
      </w:r>
    </w:p>
    <w:p w14:paraId="47668E48" w14:textId="77777777" w:rsidR="00370BDA" w:rsidRDefault="00370BDA" w:rsidP="00370BDA"/>
    <w:p w14:paraId="446D2B16" w14:textId="77777777" w:rsidR="00370BDA" w:rsidRDefault="00370BDA" w:rsidP="00370BDA">
      <w:r>
        <w:t xml:space="preserve">A further design consideration concerned the study topic itself, namely *Detecting SQL Injection Attacks Using Machine Learning or Transformer Models*. Although the current implementation focused on conventional machine learning, feed-forward neural networks, and recurrent neural networks, the methodology was framed in a way that remains compatible with later transformer-based experimentation. This was necessary because recent literature suggests that explainable and context-aware text modelling may offer further benefits, especially where obfuscation or unseen attack variants are involved (Mahmood, 2025). Accordingly, the present study should be understood as </w:t>
      </w:r>
      <w:r>
        <w:lastRenderedPageBreak/>
        <w:t>establishing a machine learning baseline and deployment workflow, against which transformer-based methods may later be compared.</w:t>
      </w:r>
    </w:p>
    <w:p w14:paraId="2B1AB70C" w14:textId="77777777" w:rsidR="00370BDA" w:rsidRDefault="00370BDA" w:rsidP="00370BDA"/>
    <w:p w14:paraId="3AED08D9" w14:textId="77777777" w:rsidR="00370BDA" w:rsidRDefault="00370BDA" w:rsidP="00370BDA">
      <w:r>
        <w:t>**3.2 Methodological Rationale and System Overview**</w:t>
      </w:r>
    </w:p>
    <w:p w14:paraId="32793D3B" w14:textId="77777777" w:rsidR="00370BDA" w:rsidRDefault="00370BDA" w:rsidP="00370BDA"/>
    <w:p w14:paraId="702ED673" w14:textId="77777777" w:rsidR="00370BDA" w:rsidRDefault="00370BDA" w:rsidP="00370BDA">
      <w:r>
        <w:t>The implemented application was designed as a layered pipeline rather than a single classifier. This decision follows the broader argument in the literature that SQLi detection benefits from structured preprocessing, explicit feature extraction, and integration into a wider defensive architecture (Rosca, Stancu and Popescu, 2025). Within the present system, raw SQL query text or SQL-like request content was first normalised, then converted into machine-readable representations, then passed to several competing classifiers, and finally deployed as a runtime decision engine inside a Flask middleware.</w:t>
      </w:r>
    </w:p>
    <w:p w14:paraId="4FE5E7B2" w14:textId="77777777" w:rsidR="00370BDA" w:rsidRDefault="00370BDA" w:rsidP="00370BDA"/>
    <w:p w14:paraId="41F6837C" w14:textId="77777777" w:rsidR="00370BDA" w:rsidRDefault="00370BDA" w:rsidP="00370BDA">
      <w:r>
        <w:t>The application therefore consisted of two connected but distinct environments:</w:t>
      </w:r>
    </w:p>
    <w:p w14:paraId="291F1480" w14:textId="77777777" w:rsidR="00370BDA" w:rsidRDefault="00370BDA" w:rsidP="00370BDA"/>
    <w:p w14:paraId="28622DEB" w14:textId="77777777" w:rsidR="00370BDA" w:rsidRDefault="00370BDA" w:rsidP="00370BDA">
      <w:r>
        <w:t>1. An offline model-development environment in `task1.py`, where the RbSQLi dataset was loaded, cleaned, transformed, split into training/validation/test partitions, and used to train a range of models.</w:t>
      </w:r>
    </w:p>
    <w:p w14:paraId="59886BC8" w14:textId="77777777" w:rsidR="00370BDA" w:rsidRDefault="00370BDA" w:rsidP="00370BDA">
      <w:r>
        <w:t>2. An online inference environment in `sql_injection_middleware.py` and `app.py`, where the selected best model was loaded and used to inspect incoming API requests before the route handler executed.</w:t>
      </w:r>
    </w:p>
    <w:p w14:paraId="619BC892" w14:textId="77777777" w:rsidR="00370BDA" w:rsidRDefault="00370BDA" w:rsidP="00370BDA"/>
    <w:p w14:paraId="306A7EFA" w14:textId="77777777" w:rsidR="00370BDA" w:rsidRDefault="00370BDA" w:rsidP="00370BDA">
      <w:r>
        <w:t>This design reflected the central methodological claim of the study: SQLi detection should be treated as both a classification problem and a systems integration problem. A model with strong offline metrics would not necessarily be useful unless its feature pipeline could be reproduced reliably at inference time and unless it could operate in a realistic request-processing context.</w:t>
      </w:r>
    </w:p>
    <w:p w14:paraId="009612EB" w14:textId="77777777" w:rsidR="00370BDA" w:rsidRDefault="00370BDA" w:rsidP="00370BDA"/>
    <w:p w14:paraId="18606989" w14:textId="77777777" w:rsidR="00370BDA" w:rsidRDefault="00370BDA" w:rsidP="00370BDA">
      <w:r>
        <w:t>**Suggested Figure 3.1**</w:t>
      </w:r>
    </w:p>
    <w:p w14:paraId="45BD6E09" w14:textId="77777777" w:rsidR="00370BDA" w:rsidRDefault="00370BDA" w:rsidP="00370BDA">
      <w:r>
        <w:t>End-to-end system architecture: user request -&gt; request parsing -&gt; SQL-like candidate extraction -&gt; preprocessing -&gt; feature generation -&gt; trained model inference -&gt; attack-type interpretation -&gt; block/allow decision -&gt; logging and monitoring.</w:t>
      </w:r>
    </w:p>
    <w:p w14:paraId="0F331644" w14:textId="77777777" w:rsidR="00370BDA" w:rsidRDefault="00370BDA" w:rsidP="00370BDA"/>
    <w:p w14:paraId="35E9F968" w14:textId="77777777" w:rsidR="00370BDA" w:rsidRDefault="00370BDA" w:rsidP="00370BDA">
      <w:r>
        <w:lastRenderedPageBreak/>
        <w:t>**3.3 Dataset Selection and Sampling Strategy**</w:t>
      </w:r>
    </w:p>
    <w:p w14:paraId="6C11E84A" w14:textId="77777777" w:rsidR="00370BDA" w:rsidRDefault="00370BDA" w:rsidP="00370BDA"/>
    <w:p w14:paraId="0609531A" w14:textId="77777777" w:rsidR="00370BDA" w:rsidRDefault="00370BDA" w:rsidP="00370BDA">
      <w:r>
        <w:t>The primary dataset used in this study was the **Rule-Based SQL Injection (RbSQLi) Dataset**, obtained from Mendeley Data. The dataset was selected because it provides large-scale labelled SQL query records, including both benign queries and multiple SQLi categories, thereby supporting both binary detection and attack-pattern analysis (Mullick *et al*., 2025). The version used in the present work reflects the structure described in the local project files: `sql_query`, `injection_type`, `vulnerability_status`, `sql_command`, `target_table`, `selected_columns`, `comparison_operator`, `logical_operator`, and `sql_comment_syntax`.</w:t>
      </w:r>
    </w:p>
    <w:p w14:paraId="2EC5B56F" w14:textId="77777777" w:rsidR="00370BDA" w:rsidRDefault="00370BDA" w:rsidP="00370BDA"/>
    <w:p w14:paraId="71CE2482" w14:textId="77777777" w:rsidR="00370BDA" w:rsidRDefault="00370BDA" w:rsidP="00370BDA">
      <w:r>
        <w:t>The project write-up and the local runs indicate that the dataset contained approximately 10.19 million structured entries, of which 7.49 million were benign and 2.70 million malicious. The malicious class included Union-based, Stackqueries-based, Time-based, Meta-based, Boolean-based and Error-based attacks. This class structure was methodologically useful because it enabled the study to focus primarily on binary detection while still retaining attack-family semantics for interpretation at deployment time.</w:t>
      </w:r>
    </w:p>
    <w:p w14:paraId="0C5B907B" w14:textId="77777777" w:rsidR="00370BDA" w:rsidRDefault="00370BDA" w:rsidP="00370BDA"/>
    <w:p w14:paraId="2FC27EE6" w14:textId="77777777" w:rsidR="00370BDA" w:rsidRDefault="00370BDA" w:rsidP="00370BDA">
      <w:r>
        <w:t>Because full-scale experimentation on the entire dataset would have imposed a substantial computational burden, especially when training neural models, a controlled sampling strategy was adopted during development. The implementation therefore included configurable `SAMPLE_SIZE` values, allowing experiments on 5,000, 10,000, 50,000 and 100,000 records. This served two methodological purposes. First, it enabled scalability testing across different training volumes. Second, it made it possible to observe whether performance improvements remained stable as the sample size increased.</w:t>
      </w:r>
    </w:p>
    <w:p w14:paraId="538B0A95" w14:textId="77777777" w:rsidR="00370BDA" w:rsidRDefault="00370BDA" w:rsidP="00370BDA"/>
    <w:p w14:paraId="1821C57B" w14:textId="77777777" w:rsidR="00370BDA" w:rsidRDefault="00370BDA" w:rsidP="00370BDA">
      <w:r>
        <w:t>**Table 3.1 Dataset Sampling Regimes Used in Development**</w:t>
      </w:r>
    </w:p>
    <w:p w14:paraId="62A1C0DF" w14:textId="77777777" w:rsidR="00370BDA" w:rsidRDefault="00370BDA" w:rsidP="00370BDA"/>
    <w:p w14:paraId="727105E6" w14:textId="77777777" w:rsidR="00370BDA" w:rsidRDefault="00370BDA" w:rsidP="00370BDA">
      <w:r>
        <w:t>| Sample size | Benign queries | Malicious queries | Engineered feature matrix | TF-IDF feature count |</w:t>
      </w:r>
    </w:p>
    <w:p w14:paraId="74FC2F0E" w14:textId="77777777" w:rsidR="00370BDA" w:rsidRDefault="00370BDA" w:rsidP="00370BDA">
      <w:r>
        <w:t>|---|---:|---:|---:|---:|</w:t>
      </w:r>
    </w:p>
    <w:p w14:paraId="09A61883" w14:textId="77777777" w:rsidR="00370BDA" w:rsidRDefault="00370BDA" w:rsidP="00370BDA">
      <w:r>
        <w:t>| 5,000 | 3,665 | 1,335 | 5,000 x 52 | 1,393 |</w:t>
      </w:r>
    </w:p>
    <w:p w14:paraId="440706C6" w14:textId="77777777" w:rsidR="00370BDA" w:rsidRDefault="00370BDA" w:rsidP="00370BDA">
      <w:r>
        <w:t>| 10,000 | 7,293 | 2,707 | 10,000 x 52 | 1,585 |</w:t>
      </w:r>
    </w:p>
    <w:p w14:paraId="5C9BA1B6" w14:textId="77777777" w:rsidR="00370BDA" w:rsidRDefault="00370BDA" w:rsidP="00370BDA">
      <w:r>
        <w:lastRenderedPageBreak/>
        <w:t>| 50,000 | 36,879 | 13,121 | 50,000 x 52 | 1,745 |</w:t>
      </w:r>
    </w:p>
    <w:p w14:paraId="59979D68" w14:textId="77777777" w:rsidR="00370BDA" w:rsidRDefault="00370BDA" w:rsidP="00370BDA">
      <w:r>
        <w:t>| 100,000 | 73,829 | 26,171 | 100,000 x 52 | 1,760 |</w:t>
      </w:r>
    </w:p>
    <w:p w14:paraId="287E73E7" w14:textId="77777777" w:rsidR="00370BDA" w:rsidRDefault="00370BDA" w:rsidP="00370BDA"/>
    <w:p w14:paraId="16312595" w14:textId="77777777" w:rsidR="00370BDA" w:rsidRDefault="00370BDA" w:rsidP="00370BDA">
      <w:r>
        <w:t>These figures were derived from the author’s experimental run logs and show that the class imbalance remained relatively stable across sample sizes, with roughly 73% benign and 27% malicious cases. This consistency helped reduce the risk that performance variation was merely a consequence of shifting class proportions.</w:t>
      </w:r>
    </w:p>
    <w:p w14:paraId="767B9599" w14:textId="77777777" w:rsidR="00370BDA" w:rsidRDefault="00370BDA" w:rsidP="00370BDA"/>
    <w:p w14:paraId="7E2711EE" w14:textId="77777777" w:rsidR="00370BDA" w:rsidRDefault="00370BDA" w:rsidP="00370BDA">
      <w:r>
        <w:t>**3.4 Data Preprocessing**</w:t>
      </w:r>
    </w:p>
    <w:p w14:paraId="3BE7C156" w14:textId="77777777" w:rsidR="00370BDA" w:rsidRDefault="00370BDA" w:rsidP="00370BDA"/>
    <w:p w14:paraId="44F0CD0B" w14:textId="77777777" w:rsidR="00370BDA" w:rsidRDefault="00370BDA" w:rsidP="00370BDA">
      <w:r>
        <w:t>Data preprocessing was treated as a central methodological stage rather than a purely technical convenience. This emphasis is consistent with Rosca, Stancu and Popescu (2025), who argue that query normalisation and structured feature extraction are essential for transforming raw SQL strings into usable learning signals.</w:t>
      </w:r>
    </w:p>
    <w:p w14:paraId="64F6FFCD" w14:textId="77777777" w:rsidR="00370BDA" w:rsidRDefault="00370BDA" w:rsidP="00370BDA"/>
    <w:p w14:paraId="72C04F62" w14:textId="77777777" w:rsidR="00370BDA" w:rsidRDefault="00370BDA" w:rsidP="00370BDA">
      <w:r>
        <w:t>In the current implementation, preprocessing took place in three main steps. First, raw SQL queries were normalised by converting text to lowercase, removing redundant whitespace, replacing numeric literals with a placeholder token, and replacing string literals with a standard marker. This procedure was intended to reduce superficial lexical variation while preserving the structural properties of the query. In effect, the model was encouraged to learn injection patterns rather than memorising specific literal values.</w:t>
      </w:r>
    </w:p>
    <w:p w14:paraId="56B262BA" w14:textId="77777777" w:rsidR="00370BDA" w:rsidRDefault="00370BDA" w:rsidP="00370BDA"/>
    <w:p w14:paraId="14826AA4" w14:textId="77777777" w:rsidR="00370BDA" w:rsidRDefault="00370BDA" w:rsidP="00370BDA">
      <w:r>
        <w:t>Second, manual SQL-oriented features were extracted. These included query length, word count, logical-operator frequency, quote counts, comment markers, semicolon counts, and binary indicators for SQL tokens such as `UNION`, `SELECT`, `DROP`, `SLEEP`, and other operations associated with attack behaviour. This step mirrors the broader methodological logic in Rosca, Stancu and Popescu (2025), where explicit semantic and structural features were used to distinguish between malicious and legitimate SQL behaviour.</w:t>
      </w:r>
    </w:p>
    <w:p w14:paraId="6A41CCB9" w14:textId="77777777" w:rsidR="00370BDA" w:rsidRDefault="00370BDA" w:rsidP="00370BDA"/>
    <w:p w14:paraId="7957C96B" w14:textId="77777777" w:rsidR="00370BDA" w:rsidRDefault="00370BDA" w:rsidP="00370BDA">
      <w:r>
        <w:t xml:space="preserve">Third, text vectorisation was applied using TF-IDF over character-based n-grams. This was an appropriate representation because SQLi payloads often depend on short symbolic fragments, operator sequences, and punctuation patterns that may not be captured effectively by word-level tokenisation. The resulting TF-IDF representation was </w:t>
      </w:r>
      <w:r>
        <w:lastRenderedPageBreak/>
        <w:t>concatenated with the scaled numerical feature set to produce a hybrid input space for the classical machine learning models and the feed-forward deep neural network.</w:t>
      </w:r>
    </w:p>
    <w:p w14:paraId="37D70382" w14:textId="77777777" w:rsidR="00370BDA" w:rsidRDefault="00370BDA" w:rsidP="00370BDA"/>
    <w:p w14:paraId="4EAE72CF" w14:textId="77777777" w:rsidR="00370BDA" w:rsidRDefault="00370BDA" w:rsidP="00370BDA">
      <w:r>
        <w:t>The current methodology also included a separate sequence-preparation branch for recurrent models. Queries were tokenised at character level, padded to a fixed maximum length, and converted into numeric sequences for LSTM and GRU training. This allowed the recurrent models to learn order-sensitive patterns that might be obscured in a bag-of-features representation.</w:t>
      </w:r>
    </w:p>
    <w:p w14:paraId="15774E36" w14:textId="77777777" w:rsidR="00370BDA" w:rsidRDefault="00370BDA" w:rsidP="00370BDA"/>
    <w:p w14:paraId="1D002D62" w14:textId="77777777" w:rsidR="00370BDA" w:rsidRDefault="00370BDA" w:rsidP="00370BDA">
      <w:r>
        <w:t>**Suggested Figure 3.2**</w:t>
      </w:r>
    </w:p>
    <w:p w14:paraId="2AD9D22F" w14:textId="77777777" w:rsidR="00370BDA" w:rsidRDefault="00370BDA" w:rsidP="00370BDA">
      <w:r>
        <w:t>Preprocessing pipeline: raw SQL query -&gt; normalisation -&gt; manual feature extraction -&gt; TF-IDF/sequence encoding -&gt; model-specific feature matrix.</w:t>
      </w:r>
    </w:p>
    <w:p w14:paraId="016116CA" w14:textId="77777777" w:rsidR="00370BDA" w:rsidRDefault="00370BDA" w:rsidP="00370BDA"/>
    <w:p w14:paraId="04B40254" w14:textId="77777777" w:rsidR="00370BDA" w:rsidRDefault="00370BDA" w:rsidP="00370BDA">
      <w:r>
        <w:t>**3.5 Train, Validation and Test Partitioning**</w:t>
      </w:r>
    </w:p>
    <w:p w14:paraId="08C9F3D0" w14:textId="77777777" w:rsidR="00370BDA" w:rsidRDefault="00370BDA" w:rsidP="00370BDA"/>
    <w:p w14:paraId="469B2062" w14:textId="77777777" w:rsidR="00370BDA" w:rsidRDefault="00370BDA" w:rsidP="00370BDA">
      <w:r>
        <w:t>The experimental design used a three-way split rather than a single train/test partition. The dataset was first divided into a training-validation pool and a held-out test set. The training-validation pool was then split again to produce separate training and validation subsets. This produced an approximate 70% training, 15% validation and 15% test arrangement. Stratified sampling was used to preserve the benign/malicious class ratio across partitions.</w:t>
      </w:r>
    </w:p>
    <w:p w14:paraId="48361912" w14:textId="77777777" w:rsidR="00370BDA" w:rsidRDefault="00370BDA" w:rsidP="00370BDA"/>
    <w:p w14:paraId="5E6C9204" w14:textId="77777777" w:rsidR="00370BDA" w:rsidRDefault="00370BDA" w:rsidP="00370BDA">
      <w:r>
        <w:t>This design was methodologically important for two reasons. First, it reduced the likelihood of selecting a model on the basis of performance measured on the final test set. Second, it supported internal model comparison within the classical machine learning stage before the final cross-family comparison was conducted.</w:t>
      </w:r>
    </w:p>
    <w:p w14:paraId="062A926D" w14:textId="77777777" w:rsidR="00370BDA" w:rsidRDefault="00370BDA" w:rsidP="00370BDA"/>
    <w:p w14:paraId="2A401373" w14:textId="77777777" w:rsidR="00370BDA" w:rsidRDefault="00370BDA" w:rsidP="00370BDA">
      <w:r>
        <w:t>**3.6 Model Development**</w:t>
      </w:r>
    </w:p>
    <w:p w14:paraId="7736F0ED" w14:textId="77777777" w:rsidR="00370BDA" w:rsidRDefault="00370BDA" w:rsidP="00370BDA"/>
    <w:p w14:paraId="11C59F40" w14:textId="77777777" w:rsidR="00370BDA" w:rsidRDefault="00370BDA" w:rsidP="00370BDA">
      <w:r>
        <w:t>The codebase implemented a broad family of baseline and comparative models. This was done deliberately to avoid overcommitting to one modelling paradigm before empirical evidence had been gathered.</w:t>
      </w:r>
    </w:p>
    <w:p w14:paraId="657B03FC" w14:textId="77777777" w:rsidR="00370BDA" w:rsidRDefault="00370BDA" w:rsidP="00370BDA"/>
    <w:p w14:paraId="3B54BB0E" w14:textId="77777777" w:rsidR="00370BDA" w:rsidRDefault="00370BDA" w:rsidP="00370BDA">
      <w:r>
        <w:lastRenderedPageBreak/>
        <w:t>**Table 3.2 Models Evaluated in the Prototype**</w:t>
      </w:r>
    </w:p>
    <w:p w14:paraId="3C98E021" w14:textId="77777777" w:rsidR="00370BDA" w:rsidRDefault="00370BDA" w:rsidP="00370BDA"/>
    <w:p w14:paraId="4FDB15DF" w14:textId="77777777" w:rsidR="00370BDA" w:rsidRDefault="00370BDA" w:rsidP="00370BDA">
      <w:r>
        <w:t>| Model family | Models implemented | Methodological role |</w:t>
      </w:r>
    </w:p>
    <w:p w14:paraId="22E2FB95" w14:textId="77777777" w:rsidR="00370BDA" w:rsidRDefault="00370BDA" w:rsidP="00370BDA">
      <w:r>
        <w:t>|---|---|---|</w:t>
      </w:r>
    </w:p>
    <w:p w14:paraId="78DA485C" w14:textId="77777777" w:rsidR="00370BDA" w:rsidRDefault="00370BDA" w:rsidP="00370BDA">
      <w:r>
        <w:t>| Classical machine learning | Random Forest, Gradient Boosting, Logistic Regression, Decision Tree, SVM, KNN, Gaussian Naive Bayes | Strong baselines for structured and sparse feature spaces |</w:t>
      </w:r>
    </w:p>
    <w:p w14:paraId="6916EB54" w14:textId="77777777" w:rsidR="00370BDA" w:rsidRDefault="00370BDA" w:rsidP="00370BDA">
      <w:r>
        <w:t>| Feed-forward deep learning | Dense Neural Network (DNN) | Test whether non-linear feature interactions improve detection |</w:t>
      </w:r>
    </w:p>
    <w:p w14:paraId="2F4EE3BD" w14:textId="77777777" w:rsidR="00370BDA" w:rsidRDefault="00370BDA" w:rsidP="00370BDA">
      <w:r>
        <w:t>| Sequence deep learning | LSTM, GRU | Learn order-sensitive character patterns in SQL payloads |</w:t>
      </w:r>
    </w:p>
    <w:p w14:paraId="0083848F" w14:textId="77777777" w:rsidR="00370BDA" w:rsidRDefault="00370BDA" w:rsidP="00370BDA"/>
    <w:p w14:paraId="50810C95" w14:textId="77777777" w:rsidR="00370BDA" w:rsidRDefault="00370BDA" w:rsidP="00370BDA">
      <w:r>
        <w:t>The classical models were trained primarily on the combined TF-IDF plus engineered-feature representation. This was appropriate because tree-based and linear classifiers tend to perform well when a problem contains strong lexical and structural cues. The DNN was trained on the same combined feature matrix, thereby testing whether a dense non-linear model could exploit interactions between sparse text features and manual heuristics. By contrast, the LSTM and GRU models operated on padded character-level sequences, enabling the study to examine whether sequential learning improved robustness to patterned or obfuscated injection strings.</w:t>
      </w:r>
    </w:p>
    <w:p w14:paraId="01CC9789" w14:textId="77777777" w:rsidR="00370BDA" w:rsidRDefault="00370BDA" w:rsidP="00370BDA"/>
    <w:p w14:paraId="20DE14D3" w14:textId="77777777" w:rsidR="00370BDA" w:rsidRDefault="00370BDA" w:rsidP="00370BDA">
      <w:r>
        <w:t>The model-selection logic was implemented in two stages. Within the traditional machine learning block, the best classical model was selected using validation F1-score. After this, the selected classical model, the DNN, the LSTM, and the GRU were all compared on held-out test performance. The final best model was selected on F1-score, with supporting attention to accuracy, precision, recall, weighted F1 and AUC.</w:t>
      </w:r>
    </w:p>
    <w:p w14:paraId="02D1A306" w14:textId="77777777" w:rsidR="00370BDA" w:rsidRDefault="00370BDA" w:rsidP="00370BDA"/>
    <w:p w14:paraId="3F67C26B" w14:textId="77777777" w:rsidR="00370BDA" w:rsidRDefault="00370BDA" w:rsidP="00370BDA">
      <w:r>
        <w:t>**3.7 Why Random Forest Was Selected as the Best Model**</w:t>
      </w:r>
    </w:p>
    <w:p w14:paraId="0A9A6748" w14:textId="77777777" w:rsidR="00370BDA" w:rsidRDefault="00370BDA" w:rsidP="00370BDA"/>
    <w:p w14:paraId="6078E88E" w14:textId="77777777" w:rsidR="00370BDA" w:rsidRDefault="00370BDA" w:rsidP="00370BDA">
      <w:r>
        <w:t>Across the observed sampled experiments, Random Forest emerged as the selected best model. At a sample size of 5,000, it achieved test accuracy of 0.9973, precision of 1.0000, recall of 0.9900, F1-score of 0.9950, weighted F1 of 0.9973, and AUC of 1.0000. At 10,000, 50,000 and 100,000 samples, the logged outputs indicate near-perfect or perfect results on the held-out test partitions.</w:t>
      </w:r>
    </w:p>
    <w:p w14:paraId="197E80A8" w14:textId="77777777" w:rsidR="00370BDA" w:rsidRDefault="00370BDA" w:rsidP="00370BDA"/>
    <w:p w14:paraId="251A642E" w14:textId="77777777" w:rsidR="00370BDA" w:rsidRDefault="00370BDA" w:rsidP="00370BDA">
      <w:r>
        <w:t>This selection is methodologically plausible. Random Forest is well suited to mixed feature spaces containing sparse text-derived signals and interpretable numeric indicators. It can also model non-linear interactions without requiring the larger training budgets or stability assumptions often associated with neural architectures. In a dataset such as RbSQLi, where SQLi patterns appear to be strongly encoded in punctuation, token frequency, and operator combinations, such properties may give a tree ensemble a substantial advantage.</w:t>
      </w:r>
    </w:p>
    <w:p w14:paraId="00820691" w14:textId="77777777" w:rsidR="00370BDA" w:rsidRDefault="00370BDA" w:rsidP="00370BDA"/>
    <w:p w14:paraId="17429197" w14:textId="77777777" w:rsidR="00370BDA" w:rsidRDefault="00370BDA" w:rsidP="00370BDA">
      <w:r>
        <w:t>However, the observed results should be interpreted with caution. At larger sample sizes, some competing models also produced near-perfect results. For example, the GRU reached a test F1-score of 1.0000 at 50,000 samples, while the DNN achieved 0.9995 and the GRU 0.9985 at 100,000 samples. Because the code selected the maximum F1-score and returned the first matching model in the results list, Random Forest remained the chosen model under perfect-score ties. Therefore, the final selection should not be interpreted as proof that Random Forest is uniquely superior in every respect. Rather, it was the most stable and operationally convenient winner under the implemented selection rule.</w:t>
      </w:r>
    </w:p>
    <w:p w14:paraId="6FD80813" w14:textId="77777777" w:rsidR="00370BDA" w:rsidRDefault="00370BDA" w:rsidP="00370BDA"/>
    <w:p w14:paraId="4DBAAB6A" w14:textId="77777777" w:rsidR="00370BDA" w:rsidRDefault="00370BDA" w:rsidP="00370BDA">
      <w:r>
        <w:t>Two models appear especially close to the selected model:</w:t>
      </w:r>
    </w:p>
    <w:p w14:paraId="0D4ECFF6" w14:textId="77777777" w:rsidR="00370BDA" w:rsidRDefault="00370BDA" w:rsidP="00370BDA"/>
    <w:p w14:paraId="238CCAAA" w14:textId="77777777" w:rsidR="00370BDA" w:rsidRDefault="00370BDA" w:rsidP="00370BDA">
      <w:r>
        <w:t>- **GRU**: The GRU showed strong performance from 10,000 samples upwards and even matched perfect classification at 50,000 samples. This may suggest that sequential character-level modelling captures salient injection syntax effectively. A stronger GRU configuration, a larger sequence training subset, or more extensive hyperparameter tuning might have allowed it to challenge Random Forest more consistently.</w:t>
      </w:r>
    </w:p>
    <w:p w14:paraId="6B479B5F" w14:textId="77777777" w:rsidR="00370BDA" w:rsidRDefault="00370BDA" w:rsidP="00370BDA">
      <w:r>
        <w:t>- **DNN**: The DNN also produced very high results, particularly at larger sample sizes. Because it used the same hybrid feature representation as the classical models, its near-parity with Random Forest may indicate that the engineered features were already highly informative. Additional hyperparameter optimisation, regularisation tuning, or calibration analysis might have further improved its competitiveness.</w:t>
      </w:r>
    </w:p>
    <w:p w14:paraId="35206D85" w14:textId="77777777" w:rsidR="00370BDA" w:rsidRDefault="00370BDA" w:rsidP="00370BDA"/>
    <w:p w14:paraId="38165145" w14:textId="77777777" w:rsidR="00370BDA" w:rsidRDefault="00370BDA" w:rsidP="00370BDA">
      <w:r>
        <w:t xml:space="preserve">By contrast, the LSTM was comparatively less stable across the larger sample settings, and the GRU behaved very poorly at the smallest sample size of 5,000. This may indicate that recurrent models were more sensitive to sequence-budget limits and </w:t>
      </w:r>
      <w:r>
        <w:lastRenderedPageBreak/>
        <w:t>training data volume. Importantly, the recurrent models in the implementation were trained on capped subsets for tractability, which may partly explain why their gains did not increase monotonically with larger `SAMPLE_SIZE` values.</w:t>
      </w:r>
    </w:p>
    <w:p w14:paraId="4B38A89F" w14:textId="77777777" w:rsidR="00370BDA" w:rsidRDefault="00370BDA" w:rsidP="00370BDA"/>
    <w:p w14:paraId="57A9AC75" w14:textId="77777777" w:rsidR="00370BDA" w:rsidRDefault="00370BDA" w:rsidP="00370BDA">
      <w:r>
        <w:t>**Table 3.3 Observed Best-Model and Near-Best Outcomes Across Sample Sizes**</w:t>
      </w:r>
    </w:p>
    <w:p w14:paraId="2349F666" w14:textId="77777777" w:rsidR="00370BDA" w:rsidRDefault="00370BDA" w:rsidP="00370BDA"/>
    <w:p w14:paraId="677E5E20" w14:textId="77777777" w:rsidR="00370BDA" w:rsidRDefault="00370BDA" w:rsidP="00370BDA">
      <w:r>
        <w:t>| Sample size | Selected best model | Best model F1 | Closest competing observations |</w:t>
      </w:r>
    </w:p>
    <w:p w14:paraId="75EDDEDE" w14:textId="77777777" w:rsidR="00370BDA" w:rsidRDefault="00370BDA" w:rsidP="00370BDA">
      <w:r>
        <w:t>|---|---|---:|---|</w:t>
      </w:r>
    </w:p>
    <w:p w14:paraId="418BE468" w14:textId="77777777" w:rsidR="00370BDA" w:rsidRDefault="00370BDA" w:rsidP="00370BDA">
      <w:r>
        <w:t>| 5,000 | Random Forest | 0.9950 | DNN F1 0.9770; LSTM F1 0.9421 |</w:t>
      </w:r>
    </w:p>
    <w:p w14:paraId="2EC64A11" w14:textId="77777777" w:rsidR="00370BDA" w:rsidRDefault="00370BDA" w:rsidP="00370BDA">
      <w:r>
        <w:t>| 10,000 | Random Forest | 1.0000 | GRU F1 0.9951; LSTM F1 0.9950 |</w:t>
      </w:r>
    </w:p>
    <w:p w14:paraId="08143151" w14:textId="77777777" w:rsidR="00370BDA" w:rsidRDefault="00370BDA" w:rsidP="00370BDA">
      <w:r>
        <w:t>| 50,000 | Random Forest | 1.0000 | GRU F1 1.0000; DNN F1 0.9992 |</w:t>
      </w:r>
    </w:p>
    <w:p w14:paraId="09B49A50" w14:textId="77777777" w:rsidR="00370BDA" w:rsidRDefault="00370BDA" w:rsidP="00370BDA">
      <w:r>
        <w:t>| 100,000 | Random Forest | 1.0000 | DNN F1 0.9995; GRU F1 0.9985 |</w:t>
      </w:r>
    </w:p>
    <w:p w14:paraId="7090B724" w14:textId="77777777" w:rsidR="00370BDA" w:rsidRDefault="00370BDA" w:rsidP="00370BDA"/>
    <w:p w14:paraId="7ACED63D" w14:textId="77777777" w:rsidR="00370BDA" w:rsidRDefault="00370BDA" w:rsidP="00370BDA">
      <w:r>
        <w:t>**3.8 Evaluation Metrics and Analytical Criteria**</w:t>
      </w:r>
    </w:p>
    <w:p w14:paraId="6BFDCD3B" w14:textId="77777777" w:rsidR="00370BDA" w:rsidRDefault="00370BDA" w:rsidP="00370BDA"/>
    <w:p w14:paraId="02B74002" w14:textId="77777777" w:rsidR="00370BDA" w:rsidRDefault="00370BDA" w:rsidP="00370BDA">
      <w:r>
        <w:t>The study used multiple evaluation metrics rather than relying on accuracy alone. This decision was important because SQLi detection is inherently security-sensitive: a model that appears accurate overall may still be operationally weak if it misses attacks or produces excessive false positives.</w:t>
      </w:r>
    </w:p>
    <w:p w14:paraId="4B1F2BAC" w14:textId="77777777" w:rsidR="00370BDA" w:rsidRDefault="00370BDA" w:rsidP="00370BDA"/>
    <w:p w14:paraId="05DB4001" w14:textId="77777777" w:rsidR="00370BDA" w:rsidRDefault="00370BDA" w:rsidP="00370BDA">
      <w:r>
        <w:t>The main metrics used in the implementation were accuracy, precision, recall, F1-score, weighted precision, weighted recall, weighted F1-score, confusion matrix, and AUC. Precision was important because it relates to the false-alarm burden of the system. Recall was equally important because missed attacks represent a direct security failure. F1-score was used as the primary model-selection criterion because it balances precision and recall. Weighted averages were retained because the dataset distribution was imbalanced, and weighted metrics offer a more stable aggregate assessment under such conditions. This emphasis is consistent with recent SQLi detection literature, where weighted AUC, weighted F1 and balanced performance are used to judge practical deployment suitability (Rosca, Stancu and Popescu, 2025).</w:t>
      </w:r>
    </w:p>
    <w:p w14:paraId="47331AAA" w14:textId="77777777" w:rsidR="00370BDA" w:rsidRDefault="00370BDA" w:rsidP="00370BDA"/>
    <w:p w14:paraId="0E92BD5C" w14:textId="77777777" w:rsidR="00370BDA" w:rsidRDefault="00370BDA" w:rsidP="00370BDA">
      <w:r>
        <w:t xml:space="preserve">The code also produced confusion matrices and ROC curves. These were methodologically useful because they allowed inspection of false positives and false </w:t>
      </w:r>
      <w:r>
        <w:lastRenderedPageBreak/>
        <w:t>negatives, rather than masking them within aggregate scores. In a defensive context, this distinction matters considerably: an overly permissive model increases security risk, whereas an overly aggressive model impairs legitimate application use.</w:t>
      </w:r>
    </w:p>
    <w:p w14:paraId="2E771E7B" w14:textId="77777777" w:rsidR="00370BDA" w:rsidRDefault="00370BDA" w:rsidP="00370BDA"/>
    <w:p w14:paraId="2AD92708" w14:textId="77777777" w:rsidR="00370BDA" w:rsidRDefault="00370BDA" w:rsidP="00370BDA">
      <w:r>
        <w:t>A methodological point emerging from the present experiments is that very high or perfect metrics, particularly on sampled subsets of a rule-based dataset, may indicate strong class separability but may also warrant caution. Such results do not necessarily guarantee equivalent performance on live, noisy, obfuscated, or adversarially crafted traffic. For this reason, the deployment stage and middleware logs formed an important complementary validation layer.</w:t>
      </w:r>
    </w:p>
    <w:p w14:paraId="67BB2948" w14:textId="77777777" w:rsidR="00370BDA" w:rsidRDefault="00370BDA" w:rsidP="00370BDA"/>
    <w:p w14:paraId="122BA506" w14:textId="77777777" w:rsidR="00370BDA" w:rsidRDefault="00370BDA" w:rsidP="00370BDA">
      <w:r>
        <w:t>**3.9 Middleware Deployment and Runtime Validation**</w:t>
      </w:r>
    </w:p>
    <w:p w14:paraId="2F667FF1" w14:textId="77777777" w:rsidR="00370BDA" w:rsidRDefault="00370BDA" w:rsidP="00370BDA"/>
    <w:p w14:paraId="0A471333" w14:textId="77777777" w:rsidR="00370BDA" w:rsidRDefault="00370BDA" w:rsidP="00370BDA">
      <w:r>
        <w:t>A distinguishing element of the present methodology is that model evaluation did not stop at offline test metrics. The best model was exported together with the preprocessing objects needed for inference, including the TF-IDF vectoriser, numeric scaler, feature column order, and, where applicable, sequence tokenizer. This was necessary because runtime detection depends on reproducing the same feature space used during training.</w:t>
      </w:r>
    </w:p>
    <w:p w14:paraId="63B84C6A" w14:textId="77777777" w:rsidR="00370BDA" w:rsidRDefault="00370BDA" w:rsidP="00370BDA"/>
    <w:p w14:paraId="305863E3" w14:textId="77777777" w:rsidR="00370BDA" w:rsidRDefault="00370BDA" w:rsidP="00370BDA">
      <w:r>
        <w:t>The deployed middleware operated as follows:</w:t>
      </w:r>
    </w:p>
    <w:p w14:paraId="49FCCC16" w14:textId="77777777" w:rsidR="00370BDA" w:rsidRDefault="00370BDA" w:rsidP="00370BDA"/>
    <w:p w14:paraId="022E52EB" w14:textId="77777777" w:rsidR="00370BDA" w:rsidRDefault="00370BDA" w:rsidP="00370BDA">
      <w:r>
        <w:t>1. A request was received by the Flask API.</w:t>
      </w:r>
    </w:p>
    <w:p w14:paraId="462FBC90" w14:textId="77777777" w:rsidR="00370BDA" w:rsidRDefault="00370BDA" w:rsidP="00370BDA">
      <w:r>
        <w:t>2. Candidate user-controlled values were extracted from query parameters, JSON bodies, form data and path parameters.</w:t>
      </w:r>
    </w:p>
    <w:p w14:paraId="3061CD30" w14:textId="77777777" w:rsidR="00370BDA" w:rsidRDefault="00370BDA" w:rsidP="00370BDA">
      <w:r>
        <w:t>3. A lightweight heuristic filtered candidates so that only SQL-like or SQLi-like inputs were sent for model scoring.</w:t>
      </w:r>
    </w:p>
    <w:p w14:paraId="330971FF" w14:textId="77777777" w:rsidR="00370BDA" w:rsidRDefault="00370BDA" w:rsidP="00370BDA">
      <w:r>
        <w:t>4. The selected model generated a malicious/benign prediction.</w:t>
      </w:r>
    </w:p>
    <w:p w14:paraId="0C670906" w14:textId="77777777" w:rsidR="00370BDA" w:rsidRDefault="00370BDA" w:rsidP="00370BDA">
      <w:r>
        <w:t>5. A secondary rule-based interpretation stage inferred the likely attack family, such as Union-based, Boolean-based, Time-based, Comment-based or Stack-queries-based.</w:t>
      </w:r>
    </w:p>
    <w:p w14:paraId="67D1E64C" w14:textId="77777777" w:rsidR="00370BDA" w:rsidRDefault="00370BDA" w:rsidP="00370BDA">
      <w:r>
        <w:t>6. The request was then either allowed to proceed or blocked, depending on the configured threshold and blocking mode.</w:t>
      </w:r>
    </w:p>
    <w:p w14:paraId="7A7CD782" w14:textId="77777777" w:rsidR="00370BDA" w:rsidRDefault="00370BDA" w:rsidP="00370BDA">
      <w:r>
        <w:lastRenderedPageBreak/>
        <w:t>7. Each decision was logged for later analysis through administrative monitoring endpoints.</w:t>
      </w:r>
    </w:p>
    <w:p w14:paraId="226497A1" w14:textId="77777777" w:rsidR="00370BDA" w:rsidRDefault="00370BDA" w:rsidP="00370BDA"/>
    <w:p w14:paraId="0819C9A4" w14:textId="77777777" w:rsidR="00370BDA" w:rsidRDefault="00370BDA" w:rsidP="00370BDA">
      <w:r>
        <w:t>This middleware design operationalises the idea proposed by Rosca, Stancu and Popescu (2025), namely that machine learning may function as an additional security layer rather than a substitute for prepared statements, parameterised queries, or ORM-level protection.</w:t>
      </w:r>
    </w:p>
    <w:p w14:paraId="60595D5C" w14:textId="77777777" w:rsidR="00370BDA" w:rsidRDefault="00370BDA" w:rsidP="00370BDA"/>
    <w:p w14:paraId="5F5F88E2" w14:textId="77777777" w:rsidR="00370BDA" w:rsidRDefault="00370BDA" w:rsidP="00370BDA">
      <w:r>
        <w:t>An important methodological observation emerged during runtime testing. Early middleware experiments produced false positives on benign requests because the system was inspecting long HTTP header values such as `User-Agent`, which were not representative of the model’s training distribution. This behaviour was subsequently corrected by restricting default scanning to user-controlled request inputs more directly associated with SQL payloads. This refinement is significant because it shows that application-level evaluation can reveal errors not visible in offline metrics alone.</w:t>
      </w:r>
    </w:p>
    <w:p w14:paraId="6F13269B" w14:textId="77777777" w:rsidR="00370BDA" w:rsidRDefault="00370BDA" w:rsidP="00370BDA"/>
    <w:p w14:paraId="4CBD06B6" w14:textId="77777777" w:rsidR="00370BDA" w:rsidRDefault="00370BDA" w:rsidP="00370BDA">
      <w:r>
        <w:t>**Suggested Figure 3.3**</w:t>
      </w:r>
    </w:p>
    <w:p w14:paraId="0AB75E72" w14:textId="77777777" w:rsidR="00370BDA" w:rsidRDefault="00370BDA" w:rsidP="00370BDA">
      <w:r>
        <w:t>Middleware decision workflow: incoming request -&gt; field extraction -&gt; SQL-likeness filter -&gt; model scoring -&gt; attack type inference -&gt; allow/block -&gt; logging.</w:t>
      </w:r>
    </w:p>
    <w:p w14:paraId="37AEE53A" w14:textId="77777777" w:rsidR="00370BDA" w:rsidRDefault="00370BDA" w:rsidP="00370BDA"/>
    <w:p w14:paraId="4B9CA32F" w14:textId="77777777" w:rsidR="00370BDA" w:rsidRDefault="00370BDA" w:rsidP="00370BDA">
      <w:r>
        <w:t>**3.10 Sample-Size Sensitivity Analysis**</w:t>
      </w:r>
    </w:p>
    <w:p w14:paraId="532D15FE" w14:textId="77777777" w:rsidR="00370BDA" w:rsidRDefault="00370BDA" w:rsidP="00370BDA"/>
    <w:p w14:paraId="03B19BE7" w14:textId="77777777" w:rsidR="00370BDA" w:rsidRDefault="00370BDA" w:rsidP="00370BDA">
      <w:r>
        <w:t>The staged sample-size experiments formed an important methodological sub-study. Their purpose was not simply to improve accuracy, but to examine how scaling the training sample influenced feature-space growth, model stability, and deployment readiness.</w:t>
      </w:r>
    </w:p>
    <w:p w14:paraId="4FB68C3D" w14:textId="77777777" w:rsidR="00370BDA" w:rsidRDefault="00370BDA" w:rsidP="00370BDA"/>
    <w:p w14:paraId="292ED727" w14:textId="77777777" w:rsidR="00370BDA" w:rsidRDefault="00370BDA" w:rsidP="00370BDA">
      <w:r>
        <w:t>The logged outputs suggest three notable patterns. First, the TF-IDF feature space increased with sample size, but this growth slowed at larger samples, rising from 1,393 features at 5,000 records to 1,760 at 100,000 records. This may indicate that the lexical space begins to stabilise after a certain volume of data.</w:t>
      </w:r>
    </w:p>
    <w:p w14:paraId="0500C897" w14:textId="77777777" w:rsidR="00370BDA" w:rsidRDefault="00370BDA" w:rsidP="00370BDA"/>
    <w:p w14:paraId="0A1BFF08" w14:textId="77777777" w:rsidR="00370BDA" w:rsidRDefault="00370BDA" w:rsidP="00370BDA">
      <w:r>
        <w:t xml:space="preserve">Second, Random Forest performance improved from very high to perfect as the sample increased, while DNN and GRU models also improved substantially. This may suggest </w:t>
      </w:r>
      <w:r>
        <w:lastRenderedPageBreak/>
        <w:t>that the SQLi classes in the RbSQLi data become easier to separate when more examples are available. However, it may also reflect the rule-based nature of the dataset and the strong alignment between the engineered features and known attack syntax.</w:t>
      </w:r>
    </w:p>
    <w:p w14:paraId="6F1395E4" w14:textId="77777777" w:rsidR="00370BDA" w:rsidRDefault="00370BDA" w:rsidP="00370BDA"/>
    <w:p w14:paraId="5D6A50AD" w14:textId="77777777" w:rsidR="00370BDA" w:rsidRDefault="00370BDA" w:rsidP="00370BDA">
      <w:r>
        <w:t>Third, recurrent models did not improve uniformly with sample size. The LSTM and GRU branches were trained on capped sequence subsets for tractability, meaning that increases in the overall `SAMPLE_SIZE` did not translate directly into proportional increases in sequence-model training exposure. This is methodologically important, because it helps explain why the recurrent models sometimes plateaued or fluctuated despite larger overall data samples.</w:t>
      </w:r>
    </w:p>
    <w:p w14:paraId="52A5D8A2" w14:textId="77777777" w:rsidR="00370BDA" w:rsidRDefault="00370BDA" w:rsidP="00370BDA"/>
    <w:p w14:paraId="3F74AC3F" w14:textId="77777777" w:rsidR="00370BDA" w:rsidRDefault="00370BDA" w:rsidP="00370BDA">
      <w:r>
        <w:t>These observations suggest that future work should evaluate not only sample size, but also model-specific data budgets, calibration, and latency. In other words, “more data” does not necessarily benefit every model equally when preprocessing or training constraints differ across model families.</w:t>
      </w:r>
    </w:p>
    <w:p w14:paraId="7A00CE37" w14:textId="77777777" w:rsidR="00370BDA" w:rsidRDefault="00370BDA" w:rsidP="00370BDA"/>
    <w:p w14:paraId="0BF41250" w14:textId="77777777" w:rsidR="00370BDA" w:rsidRDefault="00370BDA" w:rsidP="00370BDA">
      <w:r>
        <w:t>**Suggested Figure 3.4**</w:t>
      </w:r>
    </w:p>
    <w:p w14:paraId="2D6F43FB" w14:textId="77777777" w:rsidR="00370BDA" w:rsidRDefault="00370BDA" w:rsidP="00370BDA">
      <w:r>
        <w:t>Line chart showing sample size against test F1-score for Random Forest, DNN, LSTM and GRU.</w:t>
      </w:r>
    </w:p>
    <w:p w14:paraId="208FC183" w14:textId="77777777" w:rsidR="00370BDA" w:rsidRDefault="00370BDA" w:rsidP="00370BDA"/>
    <w:p w14:paraId="45FF8373" w14:textId="77777777" w:rsidR="00370BDA" w:rsidRDefault="00370BDA" w:rsidP="00370BDA">
      <w:r>
        <w:t>**3.11 Proposed Visualisations, Reports and Analytical Outputs**</w:t>
      </w:r>
    </w:p>
    <w:p w14:paraId="7662A9D7" w14:textId="77777777" w:rsidR="00370BDA" w:rsidRDefault="00370BDA" w:rsidP="00370BDA"/>
    <w:p w14:paraId="421A9FDB" w14:textId="77777777" w:rsidR="00370BDA" w:rsidRDefault="00370BDA" w:rsidP="00370BDA">
      <w:r>
        <w:t>The following visuals and analytical inserts would strengthen Chapter 3 and the later Results chapter:</w:t>
      </w:r>
    </w:p>
    <w:p w14:paraId="12736D0D" w14:textId="77777777" w:rsidR="00370BDA" w:rsidRDefault="00370BDA" w:rsidP="00370BDA"/>
    <w:p w14:paraId="712B530D" w14:textId="77777777" w:rsidR="00370BDA" w:rsidRDefault="00370BDA" w:rsidP="00370BDA">
      <w:r>
        <w:t>- **Figure 3.1**: End-to-end architecture of the SQLi detection system.</w:t>
      </w:r>
    </w:p>
    <w:p w14:paraId="261E16EE" w14:textId="77777777" w:rsidR="00370BDA" w:rsidRDefault="00370BDA" w:rsidP="00370BDA">
      <w:r>
        <w:t>- **Figure 3.2**: Preprocessing and feature-engineering pipeline.</w:t>
      </w:r>
    </w:p>
    <w:p w14:paraId="6B627004" w14:textId="77777777" w:rsidR="00370BDA" w:rsidRDefault="00370BDA" w:rsidP="00370BDA">
      <w:r>
        <w:t>- **Figure 3.3**: Middleware request-interception workflow.</w:t>
      </w:r>
    </w:p>
    <w:p w14:paraId="3A703533" w14:textId="77777777" w:rsidR="00370BDA" w:rsidRDefault="00370BDA" w:rsidP="00370BDA">
      <w:r>
        <w:t>- **Figure 3.4**: Sample-size sensitivity graph.</w:t>
      </w:r>
    </w:p>
    <w:p w14:paraId="7DB5C701" w14:textId="77777777" w:rsidR="00370BDA" w:rsidRDefault="00370BDA" w:rsidP="00370BDA">
      <w:r>
        <w:t>- **Figure 3.5**: Class-distribution chart for benign vs malicious queries.</w:t>
      </w:r>
    </w:p>
    <w:p w14:paraId="41A07DA1" w14:textId="77777777" w:rsidR="00370BDA" w:rsidRDefault="00370BDA" w:rsidP="00370BDA">
      <w:r>
        <w:t>- **Figure 3.6**: Injection-type distribution chart.</w:t>
      </w:r>
    </w:p>
    <w:p w14:paraId="45006487" w14:textId="77777777" w:rsidR="00370BDA" w:rsidRDefault="00370BDA" w:rsidP="00370BDA">
      <w:r>
        <w:lastRenderedPageBreak/>
        <w:t>- **Figure 3.7**: Confusion matrix of the selected best model.</w:t>
      </w:r>
    </w:p>
    <w:p w14:paraId="3B1D5D1E" w14:textId="77777777" w:rsidR="00370BDA" w:rsidRDefault="00370BDA" w:rsidP="00370BDA">
      <w:r>
        <w:t>- **Figure 3.8**: ROC curve and precision-recall curve for major candidate models.</w:t>
      </w:r>
    </w:p>
    <w:p w14:paraId="708A2C13" w14:textId="77777777" w:rsidR="00370BDA" w:rsidRDefault="00370BDA" w:rsidP="00370BDA">
      <w:r>
        <w:t>- **Figure 3.9**: Bar chart comparing F1-score, weighted F1 and AUC across models.</w:t>
      </w:r>
    </w:p>
    <w:p w14:paraId="7FC9CF7B" w14:textId="77777777" w:rsidR="00370BDA" w:rsidRDefault="00370BDA" w:rsidP="00370BDA">
      <w:r>
        <w:t>- **Figure 3.10**: Runtime dashboard summary from middleware logs showing blocked versus allowed requests.</w:t>
      </w:r>
    </w:p>
    <w:p w14:paraId="7C29A82D" w14:textId="77777777" w:rsidR="00370BDA" w:rsidRDefault="00370BDA" w:rsidP="00370BDA"/>
    <w:p w14:paraId="6525C859" w14:textId="77777777" w:rsidR="00370BDA" w:rsidRDefault="00370BDA" w:rsidP="00370BDA">
      <w:r>
        <w:t>Additional reports that would be methodologically valuable include:</w:t>
      </w:r>
    </w:p>
    <w:p w14:paraId="7583DDDD" w14:textId="77777777" w:rsidR="00370BDA" w:rsidRDefault="00370BDA" w:rsidP="00370BDA">
      <w:r>
        <w:t>- a false-positive audit on benign API requests,</w:t>
      </w:r>
    </w:p>
    <w:p w14:paraId="5EE357D3" w14:textId="77777777" w:rsidR="00370BDA" w:rsidRDefault="00370BDA" w:rsidP="00370BDA">
      <w:r>
        <w:t>- a false-negative audit on withheld malicious payloads,</w:t>
      </w:r>
    </w:p>
    <w:p w14:paraId="52AD331C" w14:textId="77777777" w:rsidR="00370BDA" w:rsidRDefault="00370BDA" w:rsidP="00370BDA">
      <w:r>
        <w:t>- an inference-latency summary per route,</w:t>
      </w:r>
    </w:p>
    <w:p w14:paraId="598EA3DE" w14:textId="77777777" w:rsidR="00370BDA" w:rsidRDefault="00370BDA" w:rsidP="00370BDA">
      <w:r>
        <w:t>- a threshold-sensitivity table showing how blocking decisions change at 0.50, 0.60 and 0.70,</w:t>
      </w:r>
    </w:p>
    <w:p w14:paraId="50316EAA" w14:textId="77777777" w:rsidR="00370BDA" w:rsidRDefault="00370BDA" w:rsidP="00370BDA">
      <w:r>
        <w:t>- and a feature-importance or explanation report for the selected model.</w:t>
      </w:r>
    </w:p>
    <w:p w14:paraId="136F42A2" w14:textId="77777777" w:rsidR="00370BDA" w:rsidRDefault="00370BDA" w:rsidP="00370BDA"/>
    <w:p w14:paraId="2E5BF048" w14:textId="77777777" w:rsidR="00370BDA" w:rsidRDefault="00370BDA" w:rsidP="00370BDA">
      <w:r>
        <w:t>If interpretability is to be emphasised further, LIME-based local explanations could be added in a future extension, consistent with Mahmood (2025), particularly for explaining why specific request strings were blocked.</w:t>
      </w:r>
    </w:p>
    <w:p w14:paraId="181DD32C" w14:textId="77777777" w:rsidR="00370BDA" w:rsidRDefault="00370BDA" w:rsidP="00370BDA"/>
    <w:p w14:paraId="4B3B10BB" w14:textId="77777777" w:rsidR="00370BDA" w:rsidRDefault="00370BDA" w:rsidP="00370BDA">
      <w:r>
        <w:t>**3.12 Reliability, Validity and Ethical Considerations**</w:t>
      </w:r>
    </w:p>
    <w:p w14:paraId="33FDB64B" w14:textId="77777777" w:rsidR="00370BDA" w:rsidRDefault="00370BDA" w:rsidP="00370BDA"/>
    <w:p w14:paraId="2747255A" w14:textId="77777777" w:rsidR="00370BDA" w:rsidRDefault="00370BDA" w:rsidP="00370BDA">
      <w:r>
        <w:t>Several methodological limitations should be acknowledged. First, although the RbSQLi dataset is large and operationally useful, its rule-based and partly synthetic composition may increase class separability relative to uncontrolled real-world traffic. Consequently, very high offline scores should be interpreted carefully. Second, the live middleware relies on attack-family inference rules layered on top of the binary classifier, which means that attack-family labelling is interpretive rather than directly learned. Third, the current implementation prioritised machine learning and recurrent neural baselines rather than transformer models, mainly for tractability and deployment simplicity.</w:t>
      </w:r>
    </w:p>
    <w:p w14:paraId="6F70B9D2" w14:textId="77777777" w:rsidR="00370BDA" w:rsidRDefault="00370BDA" w:rsidP="00370BDA"/>
    <w:p w14:paraId="52959C1B" w14:textId="77777777" w:rsidR="00370BDA" w:rsidRDefault="00370BDA" w:rsidP="00370BDA">
      <w:r>
        <w:t>From an ethical perspective, the dataset choice was appropriate because it avoided directly exposing sensitive production database traffic. This aligns with the privacy-</w:t>
      </w:r>
      <w:r>
        <w:lastRenderedPageBreak/>
        <w:t>aware reasoning discussed by Rosca, Stancu and Popescu (2025), who argue that synthetic or sanitised query construction may help mitigate data protection concerns in cybersecurity model development.</w:t>
      </w:r>
    </w:p>
    <w:p w14:paraId="5092AA86" w14:textId="77777777" w:rsidR="00370BDA" w:rsidRDefault="00370BDA" w:rsidP="00370BDA"/>
    <w:p w14:paraId="25A4B40B" w14:textId="77777777" w:rsidR="00370BDA" w:rsidRDefault="00370BDA" w:rsidP="00370BDA">
      <w:r>
        <w:t>**3.13 Transformer-Oriented Extension**</w:t>
      </w:r>
    </w:p>
    <w:p w14:paraId="3A9BC9E9" w14:textId="77777777" w:rsidR="00370BDA" w:rsidRDefault="00370BDA" w:rsidP="00370BDA"/>
    <w:p w14:paraId="059DC72A" w14:textId="77777777" w:rsidR="00370BDA" w:rsidRDefault="00370BDA" w:rsidP="00370BDA">
      <w:r>
        <w:t>Although transformer models were not the deployed solution in the present prototype, they remain relevant to the dissertation topic. A transformer-based extension could treat SQL strings as structured text sequences and learn contextual relationships beyond the handcrafted indicators used in the current pipeline. Such a model might be especially useful for obfuscated payloads, paraphrased attack strings, and zero-day-like variants. Nevertheless, following Mahmood (2025), it would be methodologically prudent to benchmark any transformer against strong classical baselines and to evaluate not only accuracy but also interpretability, calibration, computational overhead, and deployability in middleware settings.</w:t>
      </w:r>
    </w:p>
    <w:p w14:paraId="10EE4FBB" w14:textId="77777777" w:rsidR="00370BDA" w:rsidRDefault="00370BDA" w:rsidP="00370BDA"/>
    <w:p w14:paraId="217578A0" w14:textId="77777777" w:rsidR="00370BDA" w:rsidRDefault="00370BDA" w:rsidP="00370BDA">
      <w:r>
        <w:t>For this reason, the present study may be positioned as a machine learning baseline study with application-layer deployment, while transformer experimentation may be framed as a subsequent comparative phase rather than a missing component.</w:t>
      </w:r>
    </w:p>
    <w:p w14:paraId="32A154BD" w14:textId="77777777" w:rsidR="00370BDA" w:rsidRDefault="00370BDA" w:rsidP="00370BDA"/>
    <w:p w14:paraId="723C9C7E" w14:textId="77777777" w:rsidR="00370BDA" w:rsidRDefault="00370BDA" w:rsidP="00370BDA">
      <w:r>
        <w:t>**References**</w:t>
      </w:r>
    </w:p>
    <w:p w14:paraId="1A4C72B4" w14:textId="77777777" w:rsidR="00370BDA" w:rsidRDefault="00370BDA" w:rsidP="00370BDA"/>
    <w:p w14:paraId="01D930A5" w14:textId="77777777" w:rsidR="00370BDA" w:rsidRDefault="00370BDA" w:rsidP="00370BDA">
      <w:r>
        <w:t>Mahmood, S.S. (2025) ‘SQL Injection Detection Using Machine Learning and Explainability’, *Journal of Internet Services and Information Security*, 15(2), pp. 309-324. Available at: https://jisis.org/article/2025.I2.022/72017/ (Accessed: 5 May 2026).</w:t>
      </w:r>
    </w:p>
    <w:p w14:paraId="042BE7D6" w14:textId="77777777" w:rsidR="00370BDA" w:rsidRDefault="00370BDA" w:rsidP="00370BDA"/>
    <w:p w14:paraId="2369B192" w14:textId="77777777" w:rsidR="00370BDA" w:rsidRDefault="00370BDA" w:rsidP="00370BDA">
      <w:r>
        <w:t>Mullick, M.A.O., Ratul, R.R., Sharif, S.B., Anannaya, S.J. and Shibly, M.M.A. (2025) *Rule-Based SQL Injection (RbSQLi) Dataset*. Mendeley Data, Version 4. Available at: https://data.mendeley.com/datasets/xz4d5zj5yw/4 (Accessed: 5 May 2026).</w:t>
      </w:r>
    </w:p>
    <w:p w14:paraId="28CDFAB0" w14:textId="77777777" w:rsidR="00370BDA" w:rsidRDefault="00370BDA" w:rsidP="00370BDA"/>
    <w:p w14:paraId="0116FD2B" w14:textId="77777777" w:rsidR="00370BDA" w:rsidRDefault="00370BDA" w:rsidP="00370BDA">
      <w:r>
        <w:t>Rosca, C.-M., Stancu, A. and Popescu, C. (2025) ‘Machine Learning Models for SQL Injection Detection’, *Electronics*, 14(17), 3420. Available at: https://doi.org/10.3390/electronics14173420 (Accessed: 5 May 2026).</w:t>
      </w:r>
    </w:p>
    <w:p w14:paraId="69FB1C2E" w14:textId="77777777" w:rsidR="00370BDA" w:rsidRDefault="00370BDA" w:rsidP="00370BDA"/>
    <w:p w14:paraId="61750E71" w14:textId="77777777" w:rsidR="00370BDA" w:rsidRDefault="00370BDA" w:rsidP="00370BDA">
      <w:r>
        <w:lastRenderedPageBreak/>
        <w:t>If you want, I can do the next step and turn this into a **Word-ready Chapter 3 version** with:</w:t>
      </w:r>
    </w:p>
    <w:p w14:paraId="62B7E269" w14:textId="77777777" w:rsidR="00370BDA" w:rsidRDefault="00370BDA" w:rsidP="00370BDA">
      <w:r>
        <w:t>- numbered headings formatted as `3.1`, `3.1.1`, `3.2`</w:t>
      </w:r>
    </w:p>
    <w:p w14:paraId="4375BC6C" w14:textId="77777777" w:rsidR="00370BDA" w:rsidRDefault="00370BDA" w:rsidP="00370BDA">
      <w:r>
        <w:t>- cleaner academic transitions</w:t>
      </w:r>
    </w:p>
    <w:p w14:paraId="16CA52C1" w14:textId="77777777" w:rsidR="00370BDA" w:rsidRDefault="00370BDA" w:rsidP="00370BDA">
      <w:r>
        <w:t>- table captions and figure captions</w:t>
      </w:r>
    </w:p>
    <w:p w14:paraId="31778E20" w14:textId="6AD56F95" w:rsidR="00051983" w:rsidRDefault="00370BDA" w:rsidP="00370BDA">
      <w:r>
        <w:t>- a short **Chapter 3 introduction** and **Chapter 3 summary** matching dissertation structure.</w:t>
      </w:r>
    </w:p>
    <w:sectPr w:rsidR="000519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BDA"/>
    <w:rsid w:val="00051983"/>
    <w:rsid w:val="00321759"/>
    <w:rsid w:val="0033428C"/>
    <w:rsid w:val="00370BDA"/>
    <w:rsid w:val="00AB23F4"/>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0ECD08A7"/>
  <w15:chartTrackingRefBased/>
  <w15:docId w15:val="{AD7771B8-915C-A942-90A0-764BC35D8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0B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0B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0B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0B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0B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0B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0B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0B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0B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0B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0B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0B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0B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0B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0B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0B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0B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0BDA"/>
    <w:rPr>
      <w:rFonts w:eastAsiaTheme="majorEastAsia" w:cstheme="majorBidi"/>
      <w:color w:val="272727" w:themeColor="text1" w:themeTint="D8"/>
    </w:rPr>
  </w:style>
  <w:style w:type="paragraph" w:styleId="Title">
    <w:name w:val="Title"/>
    <w:basedOn w:val="Normal"/>
    <w:next w:val="Normal"/>
    <w:link w:val="TitleChar"/>
    <w:uiPriority w:val="10"/>
    <w:qFormat/>
    <w:rsid w:val="00370B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0B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0B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0B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0BDA"/>
    <w:pPr>
      <w:spacing w:before="160"/>
      <w:jc w:val="center"/>
    </w:pPr>
    <w:rPr>
      <w:i/>
      <w:iCs/>
      <w:color w:val="404040" w:themeColor="text1" w:themeTint="BF"/>
    </w:rPr>
  </w:style>
  <w:style w:type="character" w:customStyle="1" w:styleId="QuoteChar">
    <w:name w:val="Quote Char"/>
    <w:basedOn w:val="DefaultParagraphFont"/>
    <w:link w:val="Quote"/>
    <w:uiPriority w:val="29"/>
    <w:rsid w:val="00370BDA"/>
    <w:rPr>
      <w:i/>
      <w:iCs/>
      <w:color w:val="404040" w:themeColor="text1" w:themeTint="BF"/>
    </w:rPr>
  </w:style>
  <w:style w:type="paragraph" w:styleId="ListParagraph">
    <w:name w:val="List Paragraph"/>
    <w:basedOn w:val="Normal"/>
    <w:uiPriority w:val="34"/>
    <w:qFormat/>
    <w:rsid w:val="00370BDA"/>
    <w:pPr>
      <w:ind w:left="720"/>
      <w:contextualSpacing/>
    </w:pPr>
  </w:style>
  <w:style w:type="character" w:styleId="IntenseEmphasis">
    <w:name w:val="Intense Emphasis"/>
    <w:basedOn w:val="DefaultParagraphFont"/>
    <w:uiPriority w:val="21"/>
    <w:qFormat/>
    <w:rsid w:val="00370BDA"/>
    <w:rPr>
      <w:i/>
      <w:iCs/>
      <w:color w:val="0F4761" w:themeColor="accent1" w:themeShade="BF"/>
    </w:rPr>
  </w:style>
  <w:style w:type="paragraph" w:styleId="IntenseQuote">
    <w:name w:val="Intense Quote"/>
    <w:basedOn w:val="Normal"/>
    <w:next w:val="Normal"/>
    <w:link w:val="IntenseQuoteChar"/>
    <w:uiPriority w:val="30"/>
    <w:qFormat/>
    <w:rsid w:val="00370B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0BDA"/>
    <w:rPr>
      <w:i/>
      <w:iCs/>
      <w:color w:val="0F4761" w:themeColor="accent1" w:themeShade="BF"/>
    </w:rPr>
  </w:style>
  <w:style w:type="character" w:styleId="IntenseReference">
    <w:name w:val="Intense Reference"/>
    <w:basedOn w:val="DefaultParagraphFont"/>
    <w:uiPriority w:val="32"/>
    <w:qFormat/>
    <w:rsid w:val="00370B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3899</Words>
  <Characters>22225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Okechukwu Eze</dc:creator>
  <cp:keywords/>
  <dc:description/>
  <cp:lastModifiedBy>Okechukwu Eze</cp:lastModifiedBy>
  <cp:revision>1</cp:revision>
  <dcterms:created xsi:type="dcterms:W3CDTF">2026-05-05T17:25:00Z</dcterms:created>
  <dcterms:modified xsi:type="dcterms:W3CDTF">2026-05-06T00:19:00Z</dcterms:modified>
</cp:coreProperties>
</file>