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E15E6" w14:textId="031675D2" w:rsidR="00370BDA" w:rsidRPr="00400AFF" w:rsidRDefault="00370BDA" w:rsidP="00400AFF">
      <w:pPr>
        <w:spacing w:line="360" w:lineRule="auto"/>
        <w:rPr>
          <w:rFonts w:ascii="Cambria" w:hAnsi="Cambria"/>
          <w:b/>
          <w:bCs/>
          <w:sz w:val="36"/>
          <w:szCs w:val="36"/>
        </w:rPr>
      </w:pPr>
      <w:r w:rsidRPr="00400AFF">
        <w:rPr>
          <w:rFonts w:ascii="Cambria" w:hAnsi="Cambria"/>
          <w:b/>
          <w:bCs/>
          <w:sz w:val="36"/>
          <w:szCs w:val="36"/>
        </w:rPr>
        <w:t>Chapter 3: Methodology</w:t>
      </w:r>
    </w:p>
    <w:p w14:paraId="6CEE5C07" w14:textId="77777777" w:rsidR="00400AFF" w:rsidRDefault="00400AFF" w:rsidP="00400AFF">
      <w:pPr>
        <w:spacing w:line="360" w:lineRule="auto"/>
        <w:rPr>
          <w:rFonts w:ascii="Cambria" w:hAnsi="Cambria"/>
          <w:b/>
          <w:bCs/>
          <w:sz w:val="22"/>
          <w:szCs w:val="22"/>
        </w:rPr>
      </w:pPr>
    </w:p>
    <w:p w14:paraId="35B9CDF0" w14:textId="36080681" w:rsidR="006F7A8E" w:rsidRPr="00400AFF" w:rsidRDefault="00370BDA" w:rsidP="00400AFF">
      <w:pPr>
        <w:spacing w:line="360" w:lineRule="auto"/>
        <w:rPr>
          <w:rFonts w:ascii="Cambria" w:hAnsi="Cambria"/>
          <w:b/>
          <w:bCs/>
          <w:sz w:val="22"/>
          <w:szCs w:val="22"/>
        </w:rPr>
      </w:pPr>
      <w:r w:rsidRPr="00400AFF">
        <w:rPr>
          <w:rFonts w:ascii="Cambria" w:hAnsi="Cambria"/>
          <w:b/>
          <w:bCs/>
          <w:sz w:val="22"/>
          <w:szCs w:val="22"/>
        </w:rPr>
        <w:t>3.1 Research Design</w:t>
      </w:r>
    </w:p>
    <w:p w14:paraId="6F9848E6" w14:textId="458A2B51" w:rsidR="00370BDA" w:rsidRPr="00400AFF" w:rsidRDefault="006F722D" w:rsidP="00400AFF">
      <w:pPr>
        <w:spacing w:line="360" w:lineRule="auto"/>
        <w:rPr>
          <w:rFonts w:ascii="Cambria" w:hAnsi="Cambria"/>
          <w:sz w:val="22"/>
          <w:szCs w:val="22"/>
        </w:rPr>
      </w:pPr>
      <w:r w:rsidRPr="00400AFF">
        <w:rPr>
          <w:rFonts w:ascii="Cambria" w:hAnsi="Cambria"/>
          <w:sz w:val="22"/>
          <w:szCs w:val="22"/>
        </w:rPr>
        <w:t>This work employed an applied experimental methodology to examine the effectiveness of machine learning-based detection as a supplementary defence against SQL injection (SQLi) in a web application architecture. The project aimed to train and evaluate many classification models using labelled SQL query data, implement the most effective model within a Flask middleware component, and analyse the system's performance under both benign and malicious API traffic.</w:t>
      </w:r>
    </w:p>
    <w:p w14:paraId="0A0B813E" w14:textId="72E45F19" w:rsidR="001649F3" w:rsidRPr="00400AFF" w:rsidRDefault="006F722D" w:rsidP="00400AFF">
      <w:pPr>
        <w:spacing w:line="360" w:lineRule="auto"/>
        <w:rPr>
          <w:rFonts w:ascii="Cambria" w:hAnsi="Cambria"/>
          <w:sz w:val="22"/>
          <w:szCs w:val="22"/>
        </w:rPr>
      </w:pPr>
      <w:r w:rsidRPr="00400AFF">
        <w:rPr>
          <w:rFonts w:ascii="Cambria" w:hAnsi="Cambria"/>
          <w:sz w:val="22"/>
          <w:szCs w:val="22"/>
        </w:rPr>
        <w:t>The entire design included four phases: dataset preparation, feature engineering and preprocessing, model training and comparison evaluation, and middleware deployment with runtime testing. This structure was suitable as the study problem extended beyond offline classification accuracy. The dissertation additionally investigated the potential integration of a trained model into an operational application-level security workflow. The methodology addressed both analytical effectiveness and operational sustainability.</w:t>
      </w:r>
    </w:p>
    <w:p w14:paraId="286E756E" w14:textId="3E21419C" w:rsidR="006F7A8E" w:rsidRDefault="000E725F" w:rsidP="00400AFF">
      <w:pPr>
        <w:spacing w:line="360" w:lineRule="auto"/>
        <w:rPr>
          <w:rFonts w:ascii="Cambria" w:hAnsi="Cambria"/>
          <w:sz w:val="22"/>
          <w:szCs w:val="22"/>
        </w:rPr>
      </w:pPr>
      <w:r w:rsidRPr="00400AFF">
        <w:rPr>
          <w:rFonts w:ascii="Cambria" w:hAnsi="Cambria"/>
          <w:sz w:val="22"/>
          <w:szCs w:val="22"/>
        </w:rPr>
        <w:t>Another design consideration pertained to the subject of the study, specifically Detecting SQL Injection Attacks Using Machine Learning or Transformer Models. The current implementation, while centred on conventional machine learning, feed-forward neural networks, and recurrent neural networks, was structured to accommodate future experimentation with transformer-based models. This was essential due to recent studies indicating that explainable and context-aware text modelling may provide additional advantages, particularly in scenarios including obfuscation or novel attack variations (Mahmood, 2025). This study aims to provide a baseline for machine learning and a deployment methodology, serving as a reference for future comparisons with transformer-based approaches.</w:t>
      </w:r>
    </w:p>
    <w:p w14:paraId="2CDEC42D" w14:textId="77777777" w:rsidR="00400AFF" w:rsidRPr="00400AFF" w:rsidRDefault="00400AFF" w:rsidP="00400AFF">
      <w:pPr>
        <w:spacing w:line="360" w:lineRule="auto"/>
        <w:rPr>
          <w:rFonts w:ascii="Cambria" w:hAnsi="Cambria"/>
          <w:sz w:val="22"/>
          <w:szCs w:val="22"/>
        </w:rPr>
      </w:pPr>
    </w:p>
    <w:p w14:paraId="32793D3B" w14:textId="315459AC" w:rsidR="00370BDA" w:rsidRPr="00400AFF" w:rsidRDefault="00370BDA" w:rsidP="00400AFF">
      <w:pPr>
        <w:spacing w:line="360" w:lineRule="auto"/>
        <w:rPr>
          <w:rFonts w:ascii="Cambria" w:hAnsi="Cambria"/>
          <w:b/>
          <w:bCs/>
          <w:sz w:val="22"/>
          <w:szCs w:val="22"/>
        </w:rPr>
      </w:pPr>
      <w:r w:rsidRPr="00400AFF">
        <w:rPr>
          <w:rFonts w:ascii="Cambria" w:hAnsi="Cambria"/>
          <w:b/>
          <w:bCs/>
          <w:sz w:val="22"/>
          <w:szCs w:val="22"/>
        </w:rPr>
        <w:t>3.2 Methodological Rationale and System Overview</w:t>
      </w:r>
    </w:p>
    <w:p w14:paraId="4FE5E7B2" w14:textId="7918BD33" w:rsidR="00370BDA" w:rsidRDefault="00C54889" w:rsidP="00400AFF">
      <w:pPr>
        <w:spacing w:line="360" w:lineRule="auto"/>
        <w:rPr>
          <w:rFonts w:ascii="Cambria" w:hAnsi="Cambria"/>
          <w:sz w:val="22"/>
          <w:szCs w:val="22"/>
        </w:rPr>
      </w:pPr>
      <w:r w:rsidRPr="00400AFF">
        <w:rPr>
          <w:rFonts w:ascii="Cambria" w:hAnsi="Cambria"/>
          <w:sz w:val="22"/>
          <w:szCs w:val="22"/>
        </w:rPr>
        <w:t xml:space="preserve">The developed program was structured as a layered pipeline instead of a singular classifier. This decision aligns with the current conversation in the literature indicating that SQL injection detection is enhanced by systematic preprocessing, deliberate feature extraction, and incorporation into a comprehensive defensive framework (Rosca, Stancu, and Popescu, 2025). The current approach normalises raw SQL query language or SQL-like request data, transforms </w:t>
      </w:r>
      <w:r w:rsidRPr="00400AFF">
        <w:rPr>
          <w:rFonts w:ascii="Cambria" w:hAnsi="Cambria"/>
          <w:sz w:val="22"/>
          <w:szCs w:val="22"/>
        </w:rPr>
        <w:lastRenderedPageBreak/>
        <w:t>it into machine-readable formats, submits it to multiple competing classifiers, and ultimately implements it as a runtime decision engine within a Flask middleware.</w:t>
      </w:r>
    </w:p>
    <w:p w14:paraId="59D9946D" w14:textId="77777777" w:rsidR="00400AFF" w:rsidRPr="00400AFF" w:rsidRDefault="00400AFF" w:rsidP="00400AFF">
      <w:pPr>
        <w:spacing w:line="360" w:lineRule="auto"/>
        <w:rPr>
          <w:rFonts w:ascii="Cambria" w:hAnsi="Cambria"/>
          <w:sz w:val="22"/>
          <w:szCs w:val="22"/>
        </w:rPr>
      </w:pPr>
    </w:p>
    <w:p w14:paraId="41AC2CD8" w14:textId="5295A0A8" w:rsidR="00C54889" w:rsidRPr="00400AFF" w:rsidRDefault="00C54889" w:rsidP="00400AFF">
      <w:pPr>
        <w:spacing w:line="360" w:lineRule="auto"/>
        <w:rPr>
          <w:rFonts w:ascii="Cambria" w:hAnsi="Cambria"/>
          <w:sz w:val="22"/>
          <w:szCs w:val="22"/>
        </w:rPr>
      </w:pPr>
      <w:r w:rsidRPr="00400AFF">
        <w:rPr>
          <w:rFonts w:ascii="Cambria" w:hAnsi="Cambria"/>
          <w:sz w:val="22"/>
          <w:szCs w:val="22"/>
        </w:rPr>
        <w:t>The application had two interconnected yet separate environments:</w:t>
      </w:r>
    </w:p>
    <w:p w14:paraId="57403FE9" w14:textId="77777777" w:rsidR="00C54889" w:rsidRPr="00400AFF" w:rsidRDefault="00C54889" w:rsidP="00400AFF">
      <w:pPr>
        <w:spacing w:line="360" w:lineRule="auto"/>
        <w:rPr>
          <w:rFonts w:ascii="Cambria" w:hAnsi="Cambria"/>
          <w:sz w:val="22"/>
          <w:szCs w:val="22"/>
        </w:rPr>
      </w:pPr>
      <w:r w:rsidRPr="00400AFF">
        <w:rPr>
          <w:rFonts w:ascii="Cambria" w:hAnsi="Cambria"/>
          <w:sz w:val="22"/>
          <w:szCs w:val="22"/>
        </w:rPr>
        <w:t>1. An offline model-development environment in `task1.py`, whereby the RbSQLi dataset was imported, sanitised, processed, divided into training, validation, and test subsets, and utilised to train various models.</w:t>
      </w:r>
    </w:p>
    <w:p w14:paraId="4EE6F7B2" w14:textId="0B200FFD" w:rsidR="00C54889" w:rsidRPr="00400AFF" w:rsidRDefault="00C54889" w:rsidP="00400AFF">
      <w:pPr>
        <w:spacing w:line="360" w:lineRule="auto"/>
        <w:rPr>
          <w:rFonts w:ascii="Cambria" w:hAnsi="Cambria"/>
          <w:sz w:val="22"/>
          <w:szCs w:val="22"/>
        </w:rPr>
      </w:pPr>
      <w:r w:rsidRPr="00400AFF">
        <w:rPr>
          <w:rFonts w:ascii="Cambria" w:hAnsi="Cambria"/>
          <w:sz w:val="22"/>
          <w:szCs w:val="22"/>
        </w:rPr>
        <w:t>2. An online inference environment in `sql_injection_middleware.py` and `app.py`, wherein the optimal model was imported and utilised to examine incoming API requests prior to the execution of the route handler.</w:t>
      </w:r>
    </w:p>
    <w:p w14:paraId="306A7EFA" w14:textId="35B42ECB" w:rsidR="00370BDA" w:rsidRPr="00400AFF" w:rsidRDefault="00C54889" w:rsidP="00400AFF">
      <w:pPr>
        <w:spacing w:line="360" w:lineRule="auto"/>
        <w:rPr>
          <w:rFonts w:ascii="Cambria" w:hAnsi="Cambria"/>
          <w:sz w:val="22"/>
          <w:szCs w:val="22"/>
        </w:rPr>
      </w:pPr>
      <w:r w:rsidRPr="00400AFF">
        <w:rPr>
          <w:rFonts w:ascii="Cambria" w:hAnsi="Cambria"/>
          <w:sz w:val="22"/>
          <w:szCs w:val="22"/>
        </w:rPr>
        <w:t>This design included the primary methodological assertion of the study: SQL injection detection must be regarded as both a classification issue and a systems integration challenge. A model exhibiting robust offline metrics may prove ineffective unless its feature pipeline can be consistently replicated during inference and it can function inside a realistic request-processing environment.</w:t>
      </w:r>
    </w:p>
    <w:p w14:paraId="009612EB" w14:textId="77777777" w:rsidR="00370BDA" w:rsidRPr="00400AFF" w:rsidRDefault="00370BDA" w:rsidP="00400AFF">
      <w:pPr>
        <w:spacing w:line="360" w:lineRule="auto"/>
        <w:rPr>
          <w:rFonts w:ascii="Cambria" w:hAnsi="Cambria"/>
          <w:sz w:val="22"/>
          <w:szCs w:val="22"/>
        </w:rPr>
      </w:pPr>
    </w:p>
    <w:p w14:paraId="1D107186" w14:textId="4A51EEE7" w:rsidR="0059094C" w:rsidRPr="00400AFF" w:rsidRDefault="0059094C" w:rsidP="00400AFF">
      <w:pPr>
        <w:spacing w:line="360" w:lineRule="auto"/>
        <w:rPr>
          <w:rFonts w:ascii="Cambria" w:hAnsi="Cambria"/>
          <w:sz w:val="22"/>
          <w:szCs w:val="22"/>
        </w:rPr>
      </w:pPr>
      <w:r w:rsidRPr="00400AFF">
        <w:rPr>
          <w:rFonts w:ascii="Cambria" w:hAnsi="Cambria"/>
          <w:noProof/>
          <w:sz w:val="22"/>
          <w:szCs w:val="22"/>
        </w:rPr>
        <w:drawing>
          <wp:inline distT="0" distB="0" distL="0" distR="0" wp14:anchorId="4446E37E" wp14:editId="1D137A54">
            <wp:extent cx="5588000" cy="3725127"/>
            <wp:effectExtent l="0" t="0" r="0" b="0"/>
            <wp:docPr id="1495759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59265" name="Picture 14957592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95705" cy="3730263"/>
                    </a:xfrm>
                    <a:prstGeom prst="rect">
                      <a:avLst/>
                    </a:prstGeom>
                  </pic:spPr>
                </pic:pic>
              </a:graphicData>
            </a:graphic>
          </wp:inline>
        </w:drawing>
      </w:r>
    </w:p>
    <w:p w14:paraId="6F268745" w14:textId="77777777" w:rsidR="0059094C" w:rsidRPr="0061078E" w:rsidRDefault="0059094C" w:rsidP="00400AFF">
      <w:pPr>
        <w:pStyle w:val="NormalWeb"/>
        <w:spacing w:line="360" w:lineRule="auto"/>
        <w:rPr>
          <w:rFonts w:ascii="Cambria" w:hAnsi="Cambria"/>
          <w:b/>
          <w:bCs/>
          <w:sz w:val="18"/>
          <w:szCs w:val="18"/>
        </w:rPr>
      </w:pPr>
      <w:r w:rsidRPr="0061078E">
        <w:rPr>
          <w:rStyle w:val="Strong"/>
          <w:rFonts w:ascii="Cambria" w:hAnsi="Cambria"/>
          <w:b w:val="0"/>
          <w:bCs w:val="0"/>
          <w:sz w:val="18"/>
          <w:szCs w:val="18"/>
        </w:rPr>
        <w:t>Figure 3.1: End-to-End SQL Injection Detection System Architecture</w:t>
      </w:r>
    </w:p>
    <w:p w14:paraId="6C11E84A" w14:textId="5A31BBF0" w:rsidR="00370BDA" w:rsidRPr="00400AFF" w:rsidRDefault="00370BDA" w:rsidP="00400AFF">
      <w:pPr>
        <w:spacing w:line="360" w:lineRule="auto"/>
        <w:rPr>
          <w:rFonts w:ascii="Cambria" w:hAnsi="Cambria"/>
          <w:b/>
          <w:bCs/>
          <w:sz w:val="22"/>
          <w:szCs w:val="22"/>
        </w:rPr>
      </w:pPr>
      <w:r w:rsidRPr="00400AFF">
        <w:rPr>
          <w:rFonts w:ascii="Cambria" w:hAnsi="Cambria"/>
          <w:b/>
          <w:bCs/>
          <w:sz w:val="22"/>
          <w:szCs w:val="22"/>
        </w:rPr>
        <w:lastRenderedPageBreak/>
        <w:t>3.3 Dataset Selection and Sampling Strategy</w:t>
      </w:r>
    </w:p>
    <w:p w14:paraId="518F2E54" w14:textId="77777777" w:rsidR="00AB6101" w:rsidRPr="00400AFF" w:rsidRDefault="00AB6101" w:rsidP="00400AFF">
      <w:pPr>
        <w:spacing w:line="360" w:lineRule="auto"/>
        <w:rPr>
          <w:rFonts w:ascii="Cambria" w:hAnsi="Cambria"/>
          <w:sz w:val="22"/>
          <w:szCs w:val="22"/>
        </w:rPr>
      </w:pPr>
      <w:r w:rsidRPr="00400AFF">
        <w:rPr>
          <w:rFonts w:ascii="Cambria" w:hAnsi="Cambria"/>
          <w:sz w:val="22"/>
          <w:szCs w:val="22"/>
        </w:rPr>
        <w:t>The principal dataset utilised in this research was the Rule-Based SQL Injection (RbSQLi) Dataset, sourced from Mendeley Data. The dataset was chosen for its extensive collection of labelled SQL query records, containing both benign requests and different types of SQL injection, thereby facilitating binary detection and attack-pattern analysis (Mullick et al., 2025). The version utilised in this study relates to the framework described in the local project documentation: `sql_query`, `injection_type`, `vulnerability_status`, `sql_command`, `target_table`, `selected_columns`, `comparison_operator`, `logical_operator`, and `sql_comment_syntax`.</w:t>
      </w:r>
    </w:p>
    <w:p w14:paraId="49762CF2" w14:textId="77777777" w:rsidR="00AB6101" w:rsidRPr="00400AFF" w:rsidRDefault="00AB6101" w:rsidP="00400AFF">
      <w:pPr>
        <w:spacing w:line="360" w:lineRule="auto"/>
        <w:rPr>
          <w:rFonts w:ascii="Cambria" w:hAnsi="Cambria"/>
          <w:sz w:val="22"/>
          <w:szCs w:val="22"/>
        </w:rPr>
      </w:pPr>
    </w:p>
    <w:p w14:paraId="0C5B907B" w14:textId="34D7F8D4" w:rsidR="00370BDA" w:rsidRPr="00400AFF" w:rsidRDefault="00AB6101" w:rsidP="00400AFF">
      <w:pPr>
        <w:spacing w:line="360" w:lineRule="auto"/>
        <w:rPr>
          <w:rFonts w:ascii="Cambria" w:hAnsi="Cambria"/>
          <w:sz w:val="22"/>
          <w:szCs w:val="22"/>
        </w:rPr>
      </w:pPr>
      <w:r w:rsidRPr="00400AFF">
        <w:rPr>
          <w:rFonts w:ascii="Cambria" w:hAnsi="Cambria"/>
          <w:sz w:val="22"/>
          <w:szCs w:val="22"/>
        </w:rPr>
        <w:t>The project literature and local executions reveal that the dataset had about 10.19 million structured items, including 7.49 million benign and 2.70 million malicious instances. The harmful category encompassed Union-based, Stackqueries-based, Time-based, Meta-based, Boolean-based, and Error-based attacks. This class structure was methodologically advantageous as it allowed the study to concentrate on binary detection while preserving attack-family semantics for interpretation during deployment.</w:t>
      </w:r>
    </w:p>
    <w:p w14:paraId="1941E319" w14:textId="5D6587BB" w:rsidR="009401C3" w:rsidRDefault="00AB6101" w:rsidP="00400AFF">
      <w:pPr>
        <w:spacing w:line="360" w:lineRule="auto"/>
        <w:rPr>
          <w:rFonts w:ascii="Cambria" w:hAnsi="Cambria"/>
          <w:sz w:val="22"/>
          <w:szCs w:val="22"/>
        </w:rPr>
      </w:pPr>
      <w:r w:rsidRPr="00400AFF">
        <w:rPr>
          <w:rFonts w:ascii="Cambria" w:hAnsi="Cambria"/>
          <w:sz w:val="22"/>
          <w:szCs w:val="22"/>
        </w:rPr>
        <w:t>Due to the significant computing demands of full-scale testing on the entire dataset, particularly in training neural models, a controlled sampling technique was implemented during development. The solution thus incorporated adjustable `SAMPLE_SIZE` values, facilitating tests with 5,000, 10,000, 50,000, and 100,000 records. This fulfilled two methodological objectives. Initially, it facilitated scalability assessment across various training volumes. Secondly, it enabled the observation of whether performance enhancements persisted as the sample size expanded.</w:t>
      </w:r>
    </w:p>
    <w:p w14:paraId="0E70C93B" w14:textId="77777777" w:rsidR="00400AFF" w:rsidRPr="00400AFF" w:rsidRDefault="00400AFF" w:rsidP="00400AFF">
      <w:pPr>
        <w:spacing w:line="360" w:lineRule="auto"/>
        <w:rPr>
          <w:rFonts w:ascii="Cambria" w:hAnsi="Cambria"/>
          <w:sz w:val="22"/>
          <w:szCs w:val="22"/>
        </w:rPr>
      </w:pPr>
    </w:p>
    <w:p w14:paraId="1821C57B" w14:textId="7C22C830" w:rsidR="00370BDA" w:rsidRPr="00400AFF" w:rsidRDefault="00370BDA" w:rsidP="00400AFF">
      <w:pPr>
        <w:spacing w:line="360" w:lineRule="auto"/>
        <w:rPr>
          <w:rFonts w:ascii="Cambria" w:hAnsi="Cambria"/>
          <w:sz w:val="22"/>
          <w:szCs w:val="22"/>
        </w:rPr>
      </w:pPr>
      <w:r w:rsidRPr="00400AFF">
        <w:rPr>
          <w:rFonts w:ascii="Cambria" w:hAnsi="Cambria"/>
          <w:sz w:val="22"/>
          <w:szCs w:val="22"/>
        </w:rPr>
        <w:t>Table 3.1 Dataset Sampling Regimes Used in Development</w:t>
      </w:r>
    </w:p>
    <w:tbl>
      <w:tblPr>
        <w:tblStyle w:val="PlainTable4"/>
        <w:tblW w:w="0" w:type="auto"/>
        <w:tblLook w:val="04A0" w:firstRow="1" w:lastRow="0" w:firstColumn="1" w:lastColumn="0" w:noHBand="0" w:noVBand="1"/>
      </w:tblPr>
      <w:tblGrid>
        <w:gridCol w:w="1803"/>
        <w:gridCol w:w="1803"/>
        <w:gridCol w:w="1803"/>
        <w:gridCol w:w="1803"/>
        <w:gridCol w:w="1804"/>
      </w:tblGrid>
      <w:tr w:rsidR="0059094C" w:rsidRPr="00400AFF" w14:paraId="1ACBAE4F" w14:textId="77777777" w:rsidTr="001236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E745D17" w14:textId="02032955" w:rsidR="0059094C" w:rsidRPr="00400AFF" w:rsidRDefault="0059094C" w:rsidP="00400AFF">
            <w:pPr>
              <w:spacing w:line="360" w:lineRule="auto"/>
              <w:rPr>
                <w:rFonts w:ascii="Cambria" w:hAnsi="Cambria"/>
                <w:sz w:val="18"/>
                <w:szCs w:val="18"/>
              </w:rPr>
            </w:pPr>
            <w:r w:rsidRPr="00400AFF">
              <w:rPr>
                <w:rFonts w:ascii="Cambria" w:hAnsi="Cambria"/>
                <w:sz w:val="18"/>
                <w:szCs w:val="18"/>
              </w:rPr>
              <w:t>Sample size</w:t>
            </w:r>
          </w:p>
        </w:tc>
        <w:tc>
          <w:tcPr>
            <w:tcW w:w="1803" w:type="dxa"/>
          </w:tcPr>
          <w:p w14:paraId="412414BF" w14:textId="607D6E9B" w:rsidR="0059094C" w:rsidRPr="00400AFF" w:rsidRDefault="0059094C" w:rsidP="00400AFF">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Benign queries</w:t>
            </w:r>
          </w:p>
        </w:tc>
        <w:tc>
          <w:tcPr>
            <w:tcW w:w="1803" w:type="dxa"/>
          </w:tcPr>
          <w:p w14:paraId="203CB19D" w14:textId="246D254F" w:rsidR="0059094C" w:rsidRPr="00400AFF" w:rsidRDefault="0059094C" w:rsidP="00400AFF">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Malicious queries</w:t>
            </w:r>
          </w:p>
        </w:tc>
        <w:tc>
          <w:tcPr>
            <w:tcW w:w="1803" w:type="dxa"/>
          </w:tcPr>
          <w:p w14:paraId="53769FC9" w14:textId="225CBC24" w:rsidR="0059094C" w:rsidRPr="00400AFF" w:rsidRDefault="0059094C" w:rsidP="00400AFF">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Engineered feature matrix</w:t>
            </w:r>
          </w:p>
        </w:tc>
        <w:tc>
          <w:tcPr>
            <w:tcW w:w="1804" w:type="dxa"/>
          </w:tcPr>
          <w:p w14:paraId="08DCD45D" w14:textId="43C28E21" w:rsidR="0059094C" w:rsidRPr="00400AFF" w:rsidRDefault="0059094C" w:rsidP="00400AFF">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TF-IDF feature count</w:t>
            </w:r>
          </w:p>
        </w:tc>
      </w:tr>
      <w:tr w:rsidR="0059094C" w:rsidRPr="00400AFF" w14:paraId="39331AEC" w14:textId="77777777" w:rsidTr="00123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1A84823" w14:textId="30752BC5" w:rsidR="0059094C" w:rsidRPr="00400AFF" w:rsidRDefault="0059094C" w:rsidP="00400AFF">
            <w:pPr>
              <w:spacing w:line="360" w:lineRule="auto"/>
              <w:rPr>
                <w:rFonts w:ascii="Cambria" w:hAnsi="Cambria"/>
                <w:b w:val="0"/>
                <w:bCs w:val="0"/>
                <w:sz w:val="18"/>
                <w:szCs w:val="18"/>
              </w:rPr>
            </w:pPr>
            <w:r w:rsidRPr="00400AFF">
              <w:rPr>
                <w:rFonts w:ascii="Cambria" w:hAnsi="Cambria"/>
                <w:b w:val="0"/>
                <w:bCs w:val="0"/>
                <w:sz w:val="18"/>
                <w:szCs w:val="18"/>
              </w:rPr>
              <w:t>5,000</w:t>
            </w:r>
          </w:p>
        </w:tc>
        <w:tc>
          <w:tcPr>
            <w:tcW w:w="1803" w:type="dxa"/>
          </w:tcPr>
          <w:p w14:paraId="1FE4225C" w14:textId="62DC535F" w:rsidR="0059094C" w:rsidRPr="00400AFF" w:rsidRDefault="0059094C"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3,665</w:t>
            </w:r>
          </w:p>
        </w:tc>
        <w:tc>
          <w:tcPr>
            <w:tcW w:w="1803" w:type="dxa"/>
          </w:tcPr>
          <w:p w14:paraId="0E06ED61" w14:textId="4D550FB8" w:rsidR="0059094C" w:rsidRPr="00400AFF" w:rsidRDefault="0059094C"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1,335</w:t>
            </w:r>
          </w:p>
        </w:tc>
        <w:tc>
          <w:tcPr>
            <w:tcW w:w="1803" w:type="dxa"/>
          </w:tcPr>
          <w:p w14:paraId="3ACD606E" w14:textId="61A72D16" w:rsidR="0059094C" w:rsidRPr="00400AFF" w:rsidRDefault="0059094C"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5,000 x 52</w:t>
            </w:r>
          </w:p>
        </w:tc>
        <w:tc>
          <w:tcPr>
            <w:tcW w:w="1804" w:type="dxa"/>
          </w:tcPr>
          <w:p w14:paraId="73F92CA8" w14:textId="02760E23" w:rsidR="0059094C" w:rsidRPr="00400AFF" w:rsidRDefault="0059094C"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1,393</w:t>
            </w:r>
          </w:p>
        </w:tc>
      </w:tr>
      <w:tr w:rsidR="0059094C" w:rsidRPr="00400AFF" w14:paraId="27C6F14C" w14:textId="77777777" w:rsidTr="00123686">
        <w:tc>
          <w:tcPr>
            <w:cnfStyle w:val="001000000000" w:firstRow="0" w:lastRow="0" w:firstColumn="1" w:lastColumn="0" w:oddVBand="0" w:evenVBand="0" w:oddHBand="0" w:evenHBand="0" w:firstRowFirstColumn="0" w:firstRowLastColumn="0" w:lastRowFirstColumn="0" w:lastRowLastColumn="0"/>
            <w:tcW w:w="1803" w:type="dxa"/>
          </w:tcPr>
          <w:p w14:paraId="3B03719B" w14:textId="13ECE4B0" w:rsidR="0059094C" w:rsidRPr="00400AFF" w:rsidRDefault="0059094C" w:rsidP="00400AFF">
            <w:pPr>
              <w:spacing w:line="360" w:lineRule="auto"/>
              <w:rPr>
                <w:rFonts w:ascii="Cambria" w:hAnsi="Cambria"/>
                <w:b w:val="0"/>
                <w:bCs w:val="0"/>
                <w:sz w:val="18"/>
                <w:szCs w:val="18"/>
              </w:rPr>
            </w:pPr>
            <w:r w:rsidRPr="00400AFF">
              <w:rPr>
                <w:rFonts w:ascii="Cambria" w:hAnsi="Cambria"/>
                <w:b w:val="0"/>
                <w:bCs w:val="0"/>
                <w:sz w:val="18"/>
                <w:szCs w:val="18"/>
              </w:rPr>
              <w:t>10,000</w:t>
            </w:r>
          </w:p>
        </w:tc>
        <w:tc>
          <w:tcPr>
            <w:tcW w:w="1803" w:type="dxa"/>
          </w:tcPr>
          <w:p w14:paraId="0E2A0F05" w14:textId="7897DA1F" w:rsidR="0059094C" w:rsidRPr="00400AFF" w:rsidRDefault="0059094C"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7,293</w:t>
            </w:r>
          </w:p>
        </w:tc>
        <w:tc>
          <w:tcPr>
            <w:tcW w:w="1803" w:type="dxa"/>
          </w:tcPr>
          <w:p w14:paraId="7E8EDFC5" w14:textId="7A22FBEE" w:rsidR="0059094C" w:rsidRPr="00400AFF" w:rsidRDefault="0059094C"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2,707</w:t>
            </w:r>
          </w:p>
        </w:tc>
        <w:tc>
          <w:tcPr>
            <w:tcW w:w="1803" w:type="dxa"/>
          </w:tcPr>
          <w:p w14:paraId="4A2B882B" w14:textId="3ACA3E59" w:rsidR="0059094C" w:rsidRPr="00400AFF" w:rsidRDefault="0059094C"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10,000 x 52</w:t>
            </w:r>
          </w:p>
        </w:tc>
        <w:tc>
          <w:tcPr>
            <w:tcW w:w="1804" w:type="dxa"/>
          </w:tcPr>
          <w:p w14:paraId="0313C05A" w14:textId="70F4F0E8" w:rsidR="0059094C" w:rsidRPr="00400AFF" w:rsidRDefault="0059094C"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1,585</w:t>
            </w:r>
          </w:p>
        </w:tc>
      </w:tr>
      <w:tr w:rsidR="0059094C" w:rsidRPr="00400AFF" w14:paraId="7F180DB3" w14:textId="77777777" w:rsidTr="00123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159C525" w14:textId="6CF7A6C2" w:rsidR="0059094C" w:rsidRPr="00400AFF" w:rsidRDefault="0059094C" w:rsidP="00400AFF">
            <w:pPr>
              <w:spacing w:line="360" w:lineRule="auto"/>
              <w:rPr>
                <w:rFonts w:ascii="Cambria" w:hAnsi="Cambria"/>
                <w:b w:val="0"/>
                <w:bCs w:val="0"/>
                <w:sz w:val="18"/>
                <w:szCs w:val="18"/>
              </w:rPr>
            </w:pPr>
            <w:r w:rsidRPr="00400AFF">
              <w:rPr>
                <w:rFonts w:ascii="Cambria" w:hAnsi="Cambria"/>
                <w:b w:val="0"/>
                <w:bCs w:val="0"/>
                <w:sz w:val="18"/>
                <w:szCs w:val="18"/>
              </w:rPr>
              <w:t>50,000</w:t>
            </w:r>
          </w:p>
        </w:tc>
        <w:tc>
          <w:tcPr>
            <w:tcW w:w="1803" w:type="dxa"/>
          </w:tcPr>
          <w:p w14:paraId="5BECEA24" w14:textId="33CE409A" w:rsidR="0059094C" w:rsidRPr="00400AFF" w:rsidRDefault="0059094C"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36,879</w:t>
            </w:r>
          </w:p>
        </w:tc>
        <w:tc>
          <w:tcPr>
            <w:tcW w:w="1803" w:type="dxa"/>
          </w:tcPr>
          <w:p w14:paraId="2ADF4EC8" w14:textId="5D51AA95" w:rsidR="0059094C" w:rsidRPr="00400AFF" w:rsidRDefault="0059094C"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13,121</w:t>
            </w:r>
          </w:p>
        </w:tc>
        <w:tc>
          <w:tcPr>
            <w:tcW w:w="1803" w:type="dxa"/>
          </w:tcPr>
          <w:p w14:paraId="53DE111E" w14:textId="2D7258FB" w:rsidR="0059094C" w:rsidRPr="00400AFF" w:rsidRDefault="0059094C"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50,000 x 52</w:t>
            </w:r>
          </w:p>
        </w:tc>
        <w:tc>
          <w:tcPr>
            <w:tcW w:w="1804" w:type="dxa"/>
          </w:tcPr>
          <w:p w14:paraId="09438A29" w14:textId="1BC3256B" w:rsidR="0059094C" w:rsidRPr="00400AFF" w:rsidRDefault="0059094C"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1,745</w:t>
            </w:r>
          </w:p>
        </w:tc>
      </w:tr>
      <w:tr w:rsidR="0059094C" w:rsidRPr="00400AFF" w14:paraId="34AEE548" w14:textId="77777777" w:rsidTr="00123686">
        <w:tc>
          <w:tcPr>
            <w:cnfStyle w:val="001000000000" w:firstRow="0" w:lastRow="0" w:firstColumn="1" w:lastColumn="0" w:oddVBand="0" w:evenVBand="0" w:oddHBand="0" w:evenHBand="0" w:firstRowFirstColumn="0" w:firstRowLastColumn="0" w:lastRowFirstColumn="0" w:lastRowLastColumn="0"/>
            <w:tcW w:w="1803" w:type="dxa"/>
          </w:tcPr>
          <w:p w14:paraId="57E5AF55" w14:textId="1873DA21" w:rsidR="0059094C" w:rsidRPr="00400AFF" w:rsidRDefault="0059094C" w:rsidP="00400AFF">
            <w:pPr>
              <w:spacing w:line="360" w:lineRule="auto"/>
              <w:rPr>
                <w:rFonts w:ascii="Cambria" w:hAnsi="Cambria"/>
                <w:b w:val="0"/>
                <w:bCs w:val="0"/>
                <w:sz w:val="18"/>
                <w:szCs w:val="18"/>
              </w:rPr>
            </w:pPr>
            <w:r w:rsidRPr="00400AFF">
              <w:rPr>
                <w:rFonts w:ascii="Cambria" w:hAnsi="Cambria"/>
                <w:b w:val="0"/>
                <w:bCs w:val="0"/>
                <w:sz w:val="18"/>
                <w:szCs w:val="18"/>
              </w:rPr>
              <w:t>100,000</w:t>
            </w:r>
          </w:p>
        </w:tc>
        <w:tc>
          <w:tcPr>
            <w:tcW w:w="1803" w:type="dxa"/>
          </w:tcPr>
          <w:p w14:paraId="21844465" w14:textId="6019D57D" w:rsidR="0059094C" w:rsidRPr="00400AFF" w:rsidRDefault="0059094C"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73,829</w:t>
            </w:r>
          </w:p>
        </w:tc>
        <w:tc>
          <w:tcPr>
            <w:tcW w:w="1803" w:type="dxa"/>
          </w:tcPr>
          <w:p w14:paraId="6A409B79" w14:textId="034047ED" w:rsidR="0059094C" w:rsidRPr="00400AFF" w:rsidRDefault="0059094C"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26,171</w:t>
            </w:r>
          </w:p>
        </w:tc>
        <w:tc>
          <w:tcPr>
            <w:tcW w:w="1803" w:type="dxa"/>
          </w:tcPr>
          <w:p w14:paraId="4B99676B" w14:textId="290BA128" w:rsidR="0059094C" w:rsidRPr="00400AFF" w:rsidRDefault="0059094C"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100,000 x 52</w:t>
            </w:r>
          </w:p>
        </w:tc>
        <w:tc>
          <w:tcPr>
            <w:tcW w:w="1804" w:type="dxa"/>
          </w:tcPr>
          <w:p w14:paraId="57215461" w14:textId="37FAC1F3" w:rsidR="0059094C" w:rsidRPr="00400AFF" w:rsidRDefault="0059094C"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1,760</w:t>
            </w:r>
          </w:p>
        </w:tc>
      </w:tr>
    </w:tbl>
    <w:p w14:paraId="287E73E7" w14:textId="77777777" w:rsidR="00370BDA" w:rsidRPr="00400AFF" w:rsidRDefault="00370BDA" w:rsidP="00400AFF">
      <w:pPr>
        <w:spacing w:line="360" w:lineRule="auto"/>
        <w:rPr>
          <w:rFonts w:ascii="Cambria" w:hAnsi="Cambria"/>
          <w:sz w:val="22"/>
          <w:szCs w:val="22"/>
        </w:rPr>
      </w:pPr>
    </w:p>
    <w:p w14:paraId="16312595" w14:textId="370F7C48" w:rsidR="00370BDA" w:rsidRPr="00400AFF" w:rsidRDefault="00AB6101" w:rsidP="00400AFF">
      <w:pPr>
        <w:spacing w:line="360" w:lineRule="auto"/>
        <w:rPr>
          <w:rFonts w:ascii="Cambria" w:hAnsi="Cambria"/>
          <w:sz w:val="22"/>
          <w:szCs w:val="22"/>
        </w:rPr>
      </w:pPr>
      <w:r w:rsidRPr="00400AFF">
        <w:rPr>
          <w:rFonts w:ascii="Cambria" w:hAnsi="Cambria"/>
          <w:sz w:val="22"/>
          <w:szCs w:val="22"/>
        </w:rPr>
        <w:t xml:space="preserve">The above data was extracted from my experimental run logs, indicating that the class imbalance remained consistently stable across sample sizes, comprising approximately 73% </w:t>
      </w:r>
      <w:r w:rsidRPr="00400AFF">
        <w:rPr>
          <w:rFonts w:ascii="Cambria" w:hAnsi="Cambria"/>
          <w:sz w:val="22"/>
          <w:szCs w:val="22"/>
        </w:rPr>
        <w:lastRenderedPageBreak/>
        <w:t>benign and 27% malevolent cases. This stability mitigated the likelihood that performance fluctuation was solely a result of fluctuating class composition.</w:t>
      </w:r>
    </w:p>
    <w:p w14:paraId="767B9599" w14:textId="77777777" w:rsidR="00370BDA" w:rsidRPr="00400AFF" w:rsidRDefault="00370BDA" w:rsidP="00400AFF">
      <w:pPr>
        <w:spacing w:line="360" w:lineRule="auto"/>
        <w:rPr>
          <w:rFonts w:ascii="Cambria" w:hAnsi="Cambria"/>
          <w:sz w:val="22"/>
          <w:szCs w:val="22"/>
        </w:rPr>
      </w:pPr>
    </w:p>
    <w:p w14:paraId="3BE7C156" w14:textId="623F2649" w:rsidR="00370BDA" w:rsidRPr="00400AFF" w:rsidRDefault="00370BDA" w:rsidP="00400AFF">
      <w:pPr>
        <w:spacing w:line="360" w:lineRule="auto"/>
        <w:rPr>
          <w:rFonts w:ascii="Cambria" w:hAnsi="Cambria"/>
          <w:b/>
          <w:bCs/>
          <w:sz w:val="22"/>
          <w:szCs w:val="22"/>
        </w:rPr>
      </w:pPr>
      <w:r w:rsidRPr="00400AFF">
        <w:rPr>
          <w:rFonts w:ascii="Cambria" w:hAnsi="Cambria"/>
          <w:b/>
          <w:bCs/>
          <w:sz w:val="22"/>
          <w:szCs w:val="22"/>
        </w:rPr>
        <w:t>3.4 Data Preprocessing</w:t>
      </w:r>
    </w:p>
    <w:p w14:paraId="7F1CB509" w14:textId="77777777" w:rsidR="004236AE" w:rsidRPr="00400AFF" w:rsidRDefault="004236AE" w:rsidP="00400AFF">
      <w:pPr>
        <w:spacing w:line="360" w:lineRule="auto"/>
        <w:rPr>
          <w:rFonts w:ascii="Cambria" w:hAnsi="Cambria"/>
          <w:sz w:val="22"/>
          <w:szCs w:val="22"/>
        </w:rPr>
      </w:pPr>
      <w:r w:rsidRPr="00400AFF">
        <w:rPr>
          <w:rFonts w:ascii="Cambria" w:hAnsi="Cambria"/>
          <w:sz w:val="22"/>
          <w:szCs w:val="22"/>
        </w:rPr>
        <w:t>Data preparation was considered as a fundamental methodological phase rather than merely a technical requirement.  This emphasis aligns with the assertions of Rosca, Stancu, and Popescu (2025), who contend that query normalisation and structured feature extraction are crucial for converting raw SQL strings into actionable learning signals.</w:t>
      </w:r>
    </w:p>
    <w:p w14:paraId="1B0CA1D4" w14:textId="77777777" w:rsidR="004236AE" w:rsidRPr="00400AFF" w:rsidRDefault="004236AE" w:rsidP="00400AFF">
      <w:pPr>
        <w:spacing w:line="360" w:lineRule="auto"/>
        <w:rPr>
          <w:rFonts w:ascii="Cambria" w:hAnsi="Cambria"/>
          <w:sz w:val="22"/>
          <w:szCs w:val="22"/>
        </w:rPr>
      </w:pPr>
      <w:r w:rsidRPr="00400AFF">
        <w:rPr>
          <w:rFonts w:ascii="Cambria" w:hAnsi="Cambria"/>
          <w:sz w:val="22"/>
          <w:szCs w:val="22"/>
        </w:rPr>
        <w:t xml:space="preserve">The existing implementation involved processing in three primary stages. </w:t>
      </w:r>
    </w:p>
    <w:p w14:paraId="56B262BA" w14:textId="125CA2B8" w:rsidR="00370BDA" w:rsidRPr="00400AFF" w:rsidRDefault="004236AE" w:rsidP="00400AFF">
      <w:pPr>
        <w:spacing w:line="360" w:lineRule="auto"/>
        <w:rPr>
          <w:rFonts w:ascii="Cambria" w:hAnsi="Cambria"/>
          <w:sz w:val="22"/>
          <w:szCs w:val="22"/>
        </w:rPr>
      </w:pPr>
      <w:r w:rsidRPr="00400AFF">
        <w:rPr>
          <w:rFonts w:ascii="Cambria" w:hAnsi="Cambria"/>
          <w:sz w:val="22"/>
          <w:szCs w:val="22"/>
        </w:rPr>
        <w:t>Initially, raw SQL queries were normalised by converting text to lowercase, eliminating extraneous whitespace, substituting numeric literals with a placeholder token, and replacing string literals with a standardised marker. This approach aimed to reduce surface lexical variance while maintaining the structural characteristics of the inquiry. The model was prompted to learn injection patterns instead of memorising precise literal values.</w:t>
      </w:r>
    </w:p>
    <w:p w14:paraId="591C725D" w14:textId="0415D042" w:rsidR="004236AE" w:rsidRPr="00400AFF" w:rsidRDefault="004236AE" w:rsidP="00400AFF">
      <w:pPr>
        <w:spacing w:line="360" w:lineRule="auto"/>
        <w:rPr>
          <w:rFonts w:ascii="Cambria" w:hAnsi="Cambria"/>
          <w:sz w:val="22"/>
          <w:szCs w:val="22"/>
        </w:rPr>
      </w:pPr>
      <w:r w:rsidRPr="00400AFF">
        <w:rPr>
          <w:rFonts w:ascii="Cambria" w:hAnsi="Cambria"/>
          <w:sz w:val="22"/>
          <w:szCs w:val="22"/>
        </w:rPr>
        <w:t>Secondly, manual SQL-oriented functionalities were extracted. The factors comprised query length, word count, frequency of logical operators, counts of quotes, comment markers, semicolons, and binary indicators for SQL tokens such as `UNION`, `SELECT`, `DROP`, `SLEEP`, and other operations linked to attack behaviour. This stage reflects the overall methodological rationale of Rosca, Stancu, and Popescu (2025), wherein clear semantic and structural characteristics were employed to differentiate between malicious and valid SQL behaviour.</w:t>
      </w:r>
    </w:p>
    <w:p w14:paraId="37D70382" w14:textId="5AAF8F5F" w:rsidR="00370BDA" w:rsidRPr="00400AFF" w:rsidRDefault="004236AE" w:rsidP="00400AFF">
      <w:pPr>
        <w:spacing w:line="360" w:lineRule="auto"/>
        <w:rPr>
          <w:rFonts w:ascii="Cambria" w:hAnsi="Cambria"/>
          <w:sz w:val="22"/>
          <w:szCs w:val="22"/>
        </w:rPr>
      </w:pPr>
      <w:r w:rsidRPr="00400AFF">
        <w:rPr>
          <w:rFonts w:ascii="Cambria" w:hAnsi="Cambria"/>
          <w:sz w:val="22"/>
          <w:szCs w:val="22"/>
        </w:rPr>
        <w:t>Thirdly, text vectorisation was implemented utilising TF-IDF on character-based n-grams. This approach was suitable because SQL injection payloads frequently rely on brief symbolic fragments, operator sequences, and punctuation patterns that may not be accurately captured by word-level tokenisation. The resultant TF-IDF representation was combined with the normalised numerical feature set to create a hybrid input space for classical machine learning models and the feed-forward deep neural network.</w:t>
      </w:r>
    </w:p>
    <w:p w14:paraId="4EAE72CF" w14:textId="7A719DF0" w:rsidR="00370BDA" w:rsidRPr="00400AFF" w:rsidRDefault="007D44FF" w:rsidP="00400AFF">
      <w:pPr>
        <w:spacing w:line="360" w:lineRule="auto"/>
        <w:rPr>
          <w:rFonts w:ascii="Cambria" w:hAnsi="Cambria"/>
          <w:sz w:val="22"/>
          <w:szCs w:val="22"/>
        </w:rPr>
      </w:pPr>
      <w:r w:rsidRPr="00400AFF">
        <w:rPr>
          <w:rFonts w:ascii="Cambria" w:hAnsi="Cambria"/>
          <w:sz w:val="22"/>
          <w:szCs w:val="22"/>
        </w:rPr>
        <w:t>The existing methodology also incorporated a distinct sequence-preparation branch for recurrent models. Queries were tokenised at the character level, padded to a predetermined maximum length, then transformed into numerical sequences for LSTM and GRU training. This enabled the recurrent models to acquire order-sensitive patterns that could be concealed in a bag-of-features representation.</w:t>
      </w:r>
    </w:p>
    <w:p w14:paraId="15774E36" w14:textId="77777777" w:rsidR="00370BDA" w:rsidRPr="00400AFF" w:rsidRDefault="00370BDA" w:rsidP="00400AFF">
      <w:pPr>
        <w:spacing w:line="360" w:lineRule="auto"/>
        <w:rPr>
          <w:rFonts w:ascii="Cambria" w:hAnsi="Cambria"/>
          <w:sz w:val="22"/>
          <w:szCs w:val="22"/>
        </w:rPr>
      </w:pPr>
    </w:p>
    <w:p w14:paraId="35806969" w14:textId="4DC75DDE" w:rsidR="00C17DC1" w:rsidRPr="00400AFF" w:rsidRDefault="00C16856" w:rsidP="00400AFF">
      <w:pPr>
        <w:spacing w:line="360" w:lineRule="auto"/>
        <w:rPr>
          <w:rFonts w:ascii="Cambria" w:hAnsi="Cambria"/>
          <w:sz w:val="22"/>
          <w:szCs w:val="22"/>
        </w:rPr>
      </w:pPr>
      <w:r w:rsidRPr="00400AFF">
        <w:rPr>
          <w:rFonts w:ascii="Cambria" w:hAnsi="Cambria"/>
          <w:noProof/>
          <w:sz w:val="22"/>
          <w:szCs w:val="22"/>
        </w:rPr>
        <w:lastRenderedPageBreak/>
        <w:drawing>
          <wp:inline distT="0" distB="0" distL="0" distR="0" wp14:anchorId="7468E89C" wp14:editId="2CD907F8">
            <wp:extent cx="5257800" cy="3328118"/>
            <wp:effectExtent l="0" t="0" r="0" b="0"/>
            <wp:docPr id="21525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5509" name="Picture 21525509"/>
                    <pic:cNvPicPr/>
                  </pic:nvPicPr>
                  <pic:blipFill rotWithShape="1">
                    <a:blip r:embed="rId6" cstate="print">
                      <a:extLst>
                        <a:ext uri="{28A0092B-C50C-407E-A947-70E740481C1C}">
                          <a14:useLocalDpi xmlns:a14="http://schemas.microsoft.com/office/drawing/2010/main" val="0"/>
                        </a:ext>
                      </a:extLst>
                    </a:blip>
                    <a:srcRect t="5047"/>
                    <a:stretch>
                      <a:fillRect/>
                    </a:stretch>
                  </pic:blipFill>
                  <pic:spPr bwMode="auto">
                    <a:xfrm>
                      <a:off x="0" y="0"/>
                      <a:ext cx="5365573" cy="3396337"/>
                    </a:xfrm>
                    <a:prstGeom prst="rect">
                      <a:avLst/>
                    </a:prstGeom>
                    <a:ln>
                      <a:noFill/>
                    </a:ln>
                    <a:extLst>
                      <a:ext uri="{53640926-AAD7-44D8-BBD7-CCE9431645EC}">
                        <a14:shadowObscured xmlns:a14="http://schemas.microsoft.com/office/drawing/2010/main"/>
                      </a:ext>
                    </a:extLst>
                  </pic:spPr>
                </pic:pic>
              </a:graphicData>
            </a:graphic>
          </wp:inline>
        </w:drawing>
      </w:r>
    </w:p>
    <w:p w14:paraId="1D002D62" w14:textId="3ACD8C5F" w:rsidR="00370BDA" w:rsidRPr="0061078E" w:rsidRDefault="00370BDA" w:rsidP="00400AFF">
      <w:pPr>
        <w:spacing w:line="360" w:lineRule="auto"/>
        <w:rPr>
          <w:rFonts w:ascii="Cambria" w:hAnsi="Cambria"/>
          <w:sz w:val="18"/>
          <w:szCs w:val="18"/>
        </w:rPr>
      </w:pPr>
      <w:r w:rsidRPr="0061078E">
        <w:rPr>
          <w:rFonts w:ascii="Cambria" w:hAnsi="Cambria"/>
          <w:sz w:val="18"/>
          <w:szCs w:val="18"/>
        </w:rPr>
        <w:t>Figure 3.2</w:t>
      </w:r>
      <w:r w:rsidR="00C16856" w:rsidRPr="0061078E">
        <w:rPr>
          <w:rFonts w:ascii="Cambria" w:hAnsi="Cambria"/>
          <w:sz w:val="18"/>
          <w:szCs w:val="18"/>
        </w:rPr>
        <w:t>. Processing Pipeline for SQL Injection Detection</w:t>
      </w:r>
    </w:p>
    <w:p w14:paraId="4E287D09" w14:textId="77777777" w:rsidR="00D667F3" w:rsidRPr="00400AFF" w:rsidRDefault="00D667F3" w:rsidP="00400AFF">
      <w:pPr>
        <w:spacing w:line="360" w:lineRule="auto"/>
        <w:rPr>
          <w:rFonts w:ascii="Cambria" w:hAnsi="Cambria"/>
          <w:sz w:val="22"/>
          <w:szCs w:val="22"/>
        </w:rPr>
      </w:pPr>
    </w:p>
    <w:p w14:paraId="113D6012" w14:textId="43E452BF" w:rsidR="00D667F3" w:rsidRPr="00400AFF" w:rsidRDefault="00D667F3" w:rsidP="00400AFF">
      <w:pPr>
        <w:spacing w:line="360" w:lineRule="auto"/>
        <w:rPr>
          <w:rFonts w:ascii="Cambria" w:hAnsi="Cambria"/>
          <w:sz w:val="22"/>
          <w:szCs w:val="22"/>
        </w:rPr>
      </w:pPr>
      <w:r w:rsidRPr="00400AFF">
        <w:rPr>
          <w:rFonts w:ascii="Cambria" w:hAnsi="Cambria"/>
          <w:noProof/>
          <w:sz w:val="22"/>
          <w:szCs w:val="22"/>
        </w:rPr>
        <w:drawing>
          <wp:inline distT="0" distB="0" distL="0" distR="0" wp14:anchorId="2947507D" wp14:editId="3D09679F">
            <wp:extent cx="5562600" cy="3537218"/>
            <wp:effectExtent l="0" t="0" r="0" b="6350"/>
            <wp:docPr id="1622880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80163" name="Picture 1622880163"/>
                    <pic:cNvPicPr/>
                  </pic:nvPicPr>
                  <pic:blipFill rotWithShape="1">
                    <a:blip r:embed="rId7" cstate="print">
                      <a:extLst>
                        <a:ext uri="{28A0092B-C50C-407E-A947-70E740481C1C}">
                          <a14:useLocalDpi xmlns:a14="http://schemas.microsoft.com/office/drawing/2010/main" val="0"/>
                        </a:ext>
                      </a:extLst>
                    </a:blip>
                    <a:srcRect t="4611"/>
                    <a:stretch>
                      <a:fillRect/>
                    </a:stretch>
                  </pic:blipFill>
                  <pic:spPr bwMode="auto">
                    <a:xfrm>
                      <a:off x="0" y="0"/>
                      <a:ext cx="5577882" cy="3546936"/>
                    </a:xfrm>
                    <a:prstGeom prst="rect">
                      <a:avLst/>
                    </a:prstGeom>
                    <a:ln>
                      <a:noFill/>
                    </a:ln>
                    <a:extLst>
                      <a:ext uri="{53640926-AAD7-44D8-BBD7-CCE9431645EC}">
                        <a14:shadowObscured xmlns:a14="http://schemas.microsoft.com/office/drawing/2010/main"/>
                      </a:ext>
                    </a:extLst>
                  </pic:spPr>
                </pic:pic>
              </a:graphicData>
            </a:graphic>
          </wp:inline>
        </w:drawing>
      </w:r>
    </w:p>
    <w:p w14:paraId="5C16B1E3" w14:textId="2447D9F6" w:rsidR="00D667F3" w:rsidRPr="0061078E" w:rsidRDefault="00D667F3" w:rsidP="00400AFF">
      <w:pPr>
        <w:spacing w:line="360" w:lineRule="auto"/>
        <w:rPr>
          <w:rFonts w:ascii="Cambria" w:hAnsi="Cambria"/>
          <w:sz w:val="18"/>
          <w:szCs w:val="18"/>
        </w:rPr>
      </w:pPr>
      <w:r w:rsidRPr="0061078E">
        <w:rPr>
          <w:rFonts w:ascii="Cambria" w:hAnsi="Cambria"/>
          <w:sz w:val="18"/>
          <w:szCs w:val="18"/>
        </w:rPr>
        <w:t>Figure 3.3. Processing &amp; Model Training Pipeline for SQL Injection Detection</w:t>
      </w:r>
      <w:r w:rsidR="00572D33" w:rsidRPr="0061078E">
        <w:rPr>
          <w:rFonts w:ascii="Cambria" w:hAnsi="Cambria"/>
          <w:sz w:val="18"/>
          <w:szCs w:val="18"/>
        </w:rPr>
        <w:t xml:space="preserve"> with Functions and Class Mapping</w:t>
      </w:r>
    </w:p>
    <w:p w14:paraId="52D58FBD" w14:textId="77777777" w:rsidR="0061078E" w:rsidRDefault="0061078E" w:rsidP="00400AFF">
      <w:pPr>
        <w:spacing w:line="360" w:lineRule="auto"/>
        <w:rPr>
          <w:rFonts w:ascii="Cambria" w:hAnsi="Cambria"/>
          <w:b/>
          <w:bCs/>
          <w:sz w:val="22"/>
          <w:szCs w:val="22"/>
        </w:rPr>
      </w:pPr>
    </w:p>
    <w:p w14:paraId="3E011BAD" w14:textId="77777777" w:rsidR="00A134F9" w:rsidRDefault="00A134F9" w:rsidP="00400AFF">
      <w:pPr>
        <w:spacing w:line="360" w:lineRule="auto"/>
        <w:rPr>
          <w:rFonts w:ascii="Cambria" w:hAnsi="Cambria"/>
          <w:b/>
          <w:bCs/>
          <w:sz w:val="22"/>
          <w:szCs w:val="22"/>
        </w:rPr>
      </w:pPr>
    </w:p>
    <w:p w14:paraId="08C9F3D0" w14:textId="03EDBF6E" w:rsidR="00370BDA" w:rsidRPr="00400AFF" w:rsidRDefault="00370BDA" w:rsidP="00400AFF">
      <w:pPr>
        <w:spacing w:line="360" w:lineRule="auto"/>
        <w:rPr>
          <w:rFonts w:ascii="Cambria" w:hAnsi="Cambria"/>
          <w:b/>
          <w:bCs/>
          <w:sz w:val="22"/>
          <w:szCs w:val="22"/>
        </w:rPr>
      </w:pPr>
      <w:r w:rsidRPr="00400AFF">
        <w:rPr>
          <w:rFonts w:ascii="Cambria" w:hAnsi="Cambria"/>
          <w:b/>
          <w:bCs/>
          <w:sz w:val="22"/>
          <w:szCs w:val="22"/>
        </w:rPr>
        <w:lastRenderedPageBreak/>
        <w:t>3.5 Train, Validation and Test Partitioning</w:t>
      </w:r>
    </w:p>
    <w:p w14:paraId="712BB229" w14:textId="224CEB57" w:rsidR="007D44FF" w:rsidRPr="00400AFF" w:rsidRDefault="007D44FF" w:rsidP="00400AFF">
      <w:pPr>
        <w:spacing w:line="360" w:lineRule="auto"/>
        <w:rPr>
          <w:rFonts w:ascii="Cambria" w:hAnsi="Cambria"/>
          <w:sz w:val="22"/>
          <w:szCs w:val="22"/>
        </w:rPr>
      </w:pPr>
      <w:r w:rsidRPr="00400AFF">
        <w:rPr>
          <w:rFonts w:ascii="Cambria" w:hAnsi="Cambria"/>
          <w:sz w:val="22"/>
          <w:szCs w:val="22"/>
        </w:rPr>
        <w:t>The experimental design utilised a three-way split instead of a singular train/test divide. The dataset was first partitioned into a training-validation subset and a separate test set. The training-validation pool was subsequently divided to create distinct training and validation subsets. This resulted in an approximate distribution of 70% for training, 15% for validation, and 15% for testing. Strategic sampling was employed to maintain the ratio of benign to malicious classes across partitions.</w:t>
      </w:r>
    </w:p>
    <w:p w14:paraId="45C3FB71" w14:textId="25EFCE22" w:rsidR="00C16856" w:rsidRPr="00400AFF" w:rsidRDefault="007D44FF" w:rsidP="00400AFF">
      <w:pPr>
        <w:spacing w:line="360" w:lineRule="auto"/>
        <w:rPr>
          <w:rFonts w:ascii="Cambria" w:hAnsi="Cambria"/>
          <w:sz w:val="22"/>
          <w:szCs w:val="22"/>
        </w:rPr>
      </w:pPr>
      <w:r w:rsidRPr="00400AFF">
        <w:rPr>
          <w:rFonts w:ascii="Cambria" w:hAnsi="Cambria"/>
          <w:sz w:val="22"/>
          <w:szCs w:val="22"/>
        </w:rPr>
        <w:t>This design was methodologically significant for two reasons. Initially, it diminished the probability of choosing a model based on performance evaluated on the final test set. Secondly, it facilitated internal model comparison during the classical machine learning phase prior to the ultimate cross-family comparison.</w:t>
      </w:r>
    </w:p>
    <w:p w14:paraId="0234797C" w14:textId="77777777" w:rsidR="009401C3" w:rsidRPr="00400AFF" w:rsidRDefault="009401C3" w:rsidP="00400AFF">
      <w:pPr>
        <w:spacing w:line="360" w:lineRule="auto"/>
        <w:rPr>
          <w:rFonts w:ascii="Cambria" w:hAnsi="Cambria"/>
          <w:sz w:val="22"/>
          <w:szCs w:val="22"/>
        </w:rPr>
      </w:pPr>
    </w:p>
    <w:p w14:paraId="7736F0ED" w14:textId="12DA5CAD" w:rsidR="00370BDA" w:rsidRPr="00400AFF" w:rsidRDefault="00370BDA" w:rsidP="00400AFF">
      <w:pPr>
        <w:spacing w:line="360" w:lineRule="auto"/>
        <w:rPr>
          <w:rFonts w:ascii="Cambria" w:hAnsi="Cambria"/>
          <w:b/>
          <w:bCs/>
          <w:sz w:val="22"/>
          <w:szCs w:val="22"/>
        </w:rPr>
      </w:pPr>
      <w:r w:rsidRPr="00400AFF">
        <w:rPr>
          <w:rFonts w:ascii="Cambria" w:hAnsi="Cambria"/>
          <w:b/>
          <w:bCs/>
          <w:sz w:val="22"/>
          <w:szCs w:val="22"/>
        </w:rPr>
        <w:t>3.6 Model Development</w:t>
      </w:r>
    </w:p>
    <w:p w14:paraId="11C59F40" w14:textId="357423C3" w:rsidR="00370BDA" w:rsidRPr="00400AFF" w:rsidRDefault="007D44FF" w:rsidP="00400AFF">
      <w:pPr>
        <w:spacing w:line="360" w:lineRule="auto"/>
        <w:rPr>
          <w:rFonts w:ascii="Cambria" w:hAnsi="Cambria"/>
          <w:sz w:val="22"/>
          <w:szCs w:val="22"/>
        </w:rPr>
      </w:pPr>
      <w:r w:rsidRPr="00400AFF">
        <w:rPr>
          <w:rFonts w:ascii="Cambria" w:hAnsi="Cambria"/>
          <w:sz w:val="22"/>
          <w:szCs w:val="22"/>
        </w:rPr>
        <w:t>The codebase incorporated a comprehensive array of baseline and comparison models. This was executed intentionally to prevent overcommitting to a single modelling paradigm prior to the collection of empirical evidence.</w:t>
      </w:r>
    </w:p>
    <w:p w14:paraId="657B03FC" w14:textId="77777777" w:rsidR="00370BDA" w:rsidRPr="00400AFF" w:rsidRDefault="00370BDA" w:rsidP="00400AFF">
      <w:pPr>
        <w:spacing w:line="360" w:lineRule="auto"/>
        <w:rPr>
          <w:rFonts w:ascii="Cambria" w:hAnsi="Cambria"/>
          <w:sz w:val="22"/>
          <w:szCs w:val="22"/>
        </w:rPr>
      </w:pPr>
    </w:p>
    <w:p w14:paraId="3B54BB0E" w14:textId="23FB8994" w:rsidR="00370BDA" w:rsidRPr="00400AFF" w:rsidRDefault="00370BDA" w:rsidP="00400AFF">
      <w:pPr>
        <w:spacing w:line="360" w:lineRule="auto"/>
        <w:rPr>
          <w:rFonts w:ascii="Cambria" w:hAnsi="Cambria"/>
          <w:sz w:val="22"/>
          <w:szCs w:val="22"/>
        </w:rPr>
      </w:pPr>
      <w:r w:rsidRPr="00400AFF">
        <w:rPr>
          <w:rFonts w:ascii="Cambria" w:hAnsi="Cambria"/>
          <w:sz w:val="22"/>
          <w:szCs w:val="22"/>
        </w:rPr>
        <w:t>Table 3.2 Models Evaluated in the Prototype</w:t>
      </w:r>
    </w:p>
    <w:tbl>
      <w:tblPr>
        <w:tblStyle w:val="PlainTable4"/>
        <w:tblW w:w="0" w:type="auto"/>
        <w:tblLook w:val="04A0" w:firstRow="1" w:lastRow="0" w:firstColumn="1" w:lastColumn="0" w:noHBand="0" w:noVBand="1"/>
      </w:tblPr>
      <w:tblGrid>
        <w:gridCol w:w="3005"/>
        <w:gridCol w:w="3005"/>
        <w:gridCol w:w="3006"/>
      </w:tblGrid>
      <w:tr w:rsidR="00C16856" w:rsidRPr="00400AFF" w14:paraId="7DBC893F" w14:textId="77777777" w:rsidTr="001236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0979C46" w14:textId="1FC25DE0" w:rsidR="00C16856" w:rsidRPr="00400AFF" w:rsidRDefault="00C16856" w:rsidP="00400AFF">
            <w:pPr>
              <w:spacing w:line="360" w:lineRule="auto"/>
              <w:rPr>
                <w:rFonts w:ascii="Cambria" w:hAnsi="Cambria"/>
                <w:sz w:val="18"/>
                <w:szCs w:val="18"/>
              </w:rPr>
            </w:pPr>
            <w:r w:rsidRPr="00400AFF">
              <w:rPr>
                <w:rFonts w:ascii="Cambria" w:hAnsi="Cambria"/>
                <w:sz w:val="18"/>
                <w:szCs w:val="18"/>
              </w:rPr>
              <w:t>Model family</w:t>
            </w:r>
          </w:p>
        </w:tc>
        <w:tc>
          <w:tcPr>
            <w:tcW w:w="3005" w:type="dxa"/>
          </w:tcPr>
          <w:p w14:paraId="5352C933" w14:textId="7D89FFA0" w:rsidR="00C16856" w:rsidRPr="00400AFF" w:rsidRDefault="00C16856" w:rsidP="00400AFF">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Models implemented</w:t>
            </w:r>
          </w:p>
        </w:tc>
        <w:tc>
          <w:tcPr>
            <w:tcW w:w="3006" w:type="dxa"/>
          </w:tcPr>
          <w:p w14:paraId="29FD83F8" w14:textId="1DB1E5C2" w:rsidR="00C16856" w:rsidRPr="00400AFF" w:rsidRDefault="00C16856" w:rsidP="00400AFF">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Methodological role</w:t>
            </w:r>
          </w:p>
        </w:tc>
      </w:tr>
      <w:tr w:rsidR="00C16856" w:rsidRPr="00400AFF" w14:paraId="12477094" w14:textId="77777777" w:rsidTr="00123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A64FC27" w14:textId="7AC4D464" w:rsidR="00C16856" w:rsidRPr="00400AFF" w:rsidRDefault="00C16856" w:rsidP="00400AFF">
            <w:pPr>
              <w:spacing w:line="360" w:lineRule="auto"/>
              <w:rPr>
                <w:rFonts w:ascii="Cambria" w:hAnsi="Cambria"/>
                <w:b w:val="0"/>
                <w:bCs w:val="0"/>
                <w:sz w:val="18"/>
                <w:szCs w:val="18"/>
              </w:rPr>
            </w:pPr>
            <w:r w:rsidRPr="00400AFF">
              <w:rPr>
                <w:rFonts w:ascii="Cambria" w:hAnsi="Cambria"/>
                <w:b w:val="0"/>
                <w:bCs w:val="0"/>
                <w:sz w:val="18"/>
                <w:szCs w:val="18"/>
              </w:rPr>
              <w:t>Classical machine learning</w:t>
            </w:r>
          </w:p>
        </w:tc>
        <w:tc>
          <w:tcPr>
            <w:tcW w:w="3005" w:type="dxa"/>
          </w:tcPr>
          <w:p w14:paraId="3F2A4CFE" w14:textId="5D635303" w:rsidR="00C16856" w:rsidRPr="00400AFF" w:rsidRDefault="00C16856"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Random Forest, Gradient Boosting, Logistic Regression, Decision Tree, SVM, KNN, Gaussian Naive Bayes</w:t>
            </w:r>
          </w:p>
        </w:tc>
        <w:tc>
          <w:tcPr>
            <w:tcW w:w="3006" w:type="dxa"/>
          </w:tcPr>
          <w:p w14:paraId="54D88A88" w14:textId="3EFCEDE9" w:rsidR="00C16856" w:rsidRPr="00400AFF" w:rsidRDefault="00C16856"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Strong baselines for structured and sparse feature spaces</w:t>
            </w:r>
          </w:p>
        </w:tc>
      </w:tr>
      <w:tr w:rsidR="00C16856" w:rsidRPr="00400AFF" w14:paraId="3BDD8ABC" w14:textId="77777777" w:rsidTr="00123686">
        <w:tc>
          <w:tcPr>
            <w:cnfStyle w:val="001000000000" w:firstRow="0" w:lastRow="0" w:firstColumn="1" w:lastColumn="0" w:oddVBand="0" w:evenVBand="0" w:oddHBand="0" w:evenHBand="0" w:firstRowFirstColumn="0" w:firstRowLastColumn="0" w:lastRowFirstColumn="0" w:lastRowLastColumn="0"/>
            <w:tcW w:w="3005" w:type="dxa"/>
          </w:tcPr>
          <w:p w14:paraId="2094D556" w14:textId="04FE2DDA" w:rsidR="00C16856" w:rsidRPr="00400AFF" w:rsidRDefault="00C16856" w:rsidP="00400AFF">
            <w:pPr>
              <w:spacing w:line="360" w:lineRule="auto"/>
              <w:rPr>
                <w:rFonts w:ascii="Cambria" w:hAnsi="Cambria"/>
                <w:b w:val="0"/>
                <w:bCs w:val="0"/>
                <w:sz w:val="18"/>
                <w:szCs w:val="18"/>
              </w:rPr>
            </w:pPr>
            <w:r w:rsidRPr="00400AFF">
              <w:rPr>
                <w:rFonts w:ascii="Cambria" w:hAnsi="Cambria"/>
                <w:b w:val="0"/>
                <w:bCs w:val="0"/>
                <w:sz w:val="18"/>
                <w:szCs w:val="18"/>
              </w:rPr>
              <w:t>Feed-forward deep learning</w:t>
            </w:r>
          </w:p>
        </w:tc>
        <w:tc>
          <w:tcPr>
            <w:tcW w:w="3005" w:type="dxa"/>
          </w:tcPr>
          <w:p w14:paraId="08C8FA32" w14:textId="3D91E300" w:rsidR="00C16856" w:rsidRPr="00400AFF" w:rsidRDefault="00C16856"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Dense Neural Network (DNN)</w:t>
            </w:r>
          </w:p>
        </w:tc>
        <w:tc>
          <w:tcPr>
            <w:tcW w:w="3006" w:type="dxa"/>
          </w:tcPr>
          <w:p w14:paraId="2132FB40" w14:textId="5F965804" w:rsidR="00C16856" w:rsidRPr="00400AFF" w:rsidRDefault="00C16856"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Test whether non-linear feature interactions improve detection</w:t>
            </w:r>
          </w:p>
        </w:tc>
      </w:tr>
      <w:tr w:rsidR="00C16856" w:rsidRPr="00400AFF" w14:paraId="534B0A5A" w14:textId="77777777" w:rsidTr="00123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0FD7E51" w14:textId="462F5970" w:rsidR="00C16856" w:rsidRPr="00400AFF" w:rsidRDefault="00C16856" w:rsidP="00400AFF">
            <w:pPr>
              <w:spacing w:line="360" w:lineRule="auto"/>
              <w:rPr>
                <w:rFonts w:ascii="Cambria" w:hAnsi="Cambria"/>
                <w:b w:val="0"/>
                <w:bCs w:val="0"/>
                <w:sz w:val="18"/>
                <w:szCs w:val="18"/>
              </w:rPr>
            </w:pPr>
            <w:r w:rsidRPr="00400AFF">
              <w:rPr>
                <w:rFonts w:ascii="Cambria" w:hAnsi="Cambria"/>
                <w:b w:val="0"/>
                <w:bCs w:val="0"/>
                <w:sz w:val="18"/>
                <w:szCs w:val="18"/>
              </w:rPr>
              <w:t>Sequence deep learning</w:t>
            </w:r>
          </w:p>
        </w:tc>
        <w:tc>
          <w:tcPr>
            <w:tcW w:w="3005" w:type="dxa"/>
          </w:tcPr>
          <w:p w14:paraId="17E391F7" w14:textId="72F79A2E" w:rsidR="00C16856" w:rsidRPr="00400AFF" w:rsidRDefault="00C16856"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LSTM, GRU</w:t>
            </w:r>
          </w:p>
        </w:tc>
        <w:tc>
          <w:tcPr>
            <w:tcW w:w="3006" w:type="dxa"/>
          </w:tcPr>
          <w:p w14:paraId="106379F9" w14:textId="250D1E1C" w:rsidR="00C16856" w:rsidRPr="00400AFF" w:rsidRDefault="00C16856"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Learn order-sensitive character patterns in SQL payloads</w:t>
            </w:r>
          </w:p>
        </w:tc>
      </w:tr>
    </w:tbl>
    <w:p w14:paraId="3C98E021" w14:textId="77777777" w:rsidR="00370BDA" w:rsidRPr="00400AFF" w:rsidRDefault="00370BDA" w:rsidP="00400AFF">
      <w:pPr>
        <w:spacing w:line="360" w:lineRule="auto"/>
        <w:rPr>
          <w:rFonts w:ascii="Cambria" w:hAnsi="Cambria"/>
          <w:sz w:val="22"/>
          <w:szCs w:val="22"/>
        </w:rPr>
      </w:pPr>
    </w:p>
    <w:p w14:paraId="0083848F" w14:textId="77777777" w:rsidR="00370BDA" w:rsidRPr="00400AFF" w:rsidRDefault="00370BDA" w:rsidP="00400AFF">
      <w:pPr>
        <w:spacing w:line="360" w:lineRule="auto"/>
        <w:rPr>
          <w:rFonts w:ascii="Cambria" w:hAnsi="Cambria"/>
          <w:sz w:val="22"/>
          <w:szCs w:val="22"/>
        </w:rPr>
      </w:pPr>
    </w:p>
    <w:p w14:paraId="4EB9B92B" w14:textId="77777777" w:rsidR="001F283E" w:rsidRPr="00400AFF" w:rsidRDefault="001F283E" w:rsidP="00400AFF">
      <w:pPr>
        <w:spacing w:line="360" w:lineRule="auto"/>
        <w:rPr>
          <w:rFonts w:ascii="Cambria" w:hAnsi="Cambria"/>
          <w:sz w:val="22"/>
          <w:szCs w:val="22"/>
        </w:rPr>
      </w:pPr>
      <w:r w:rsidRPr="00400AFF">
        <w:rPr>
          <w:rFonts w:ascii="Cambria" w:hAnsi="Cambria"/>
          <w:sz w:val="22"/>
          <w:szCs w:val="22"/>
        </w:rPr>
        <w:t xml:space="preserve">Classical models were primarily trained on the combined TF-IDF and engineered-feature representation. This was suitable as tree-based and linear classifiers typically excel when an issue presents robust lexical and structural indicators. The DNN was trained on the equivalent combined feature matrix, so assessing whether a dense non-linear model could leverage interactions between sparse textual information and manual heuristics. In contrast, the LSTM </w:t>
      </w:r>
      <w:r w:rsidRPr="00400AFF">
        <w:rPr>
          <w:rFonts w:ascii="Cambria" w:hAnsi="Cambria"/>
          <w:sz w:val="22"/>
          <w:szCs w:val="22"/>
        </w:rPr>
        <w:lastRenderedPageBreak/>
        <w:t>and GRU models functioned on padded character-level sequences, allowing the investigation to assess whether sequential learning enhanced resilience to patterned or obfuscated injection strings.</w:t>
      </w:r>
    </w:p>
    <w:p w14:paraId="4200682B" w14:textId="77777777" w:rsidR="001F283E" w:rsidRPr="00400AFF" w:rsidRDefault="001F283E" w:rsidP="00400AFF">
      <w:pPr>
        <w:spacing w:line="360" w:lineRule="auto"/>
        <w:rPr>
          <w:rFonts w:ascii="Cambria" w:hAnsi="Cambria"/>
          <w:sz w:val="22"/>
          <w:szCs w:val="22"/>
        </w:rPr>
      </w:pPr>
    </w:p>
    <w:p w14:paraId="428A2732" w14:textId="0D14D68E" w:rsidR="005F4309" w:rsidRPr="00400AFF" w:rsidRDefault="001F283E" w:rsidP="00400AFF">
      <w:pPr>
        <w:spacing w:line="360" w:lineRule="auto"/>
        <w:rPr>
          <w:rFonts w:ascii="Cambria" w:hAnsi="Cambria"/>
          <w:sz w:val="22"/>
          <w:szCs w:val="22"/>
        </w:rPr>
      </w:pPr>
      <w:r w:rsidRPr="00400AFF">
        <w:rPr>
          <w:rFonts w:ascii="Cambria" w:hAnsi="Cambria"/>
          <w:sz w:val="22"/>
          <w:szCs w:val="22"/>
        </w:rPr>
        <w:t>The model selection process was executed in two phases. The optimal classical model within the standard machine learning framework was determined using the validation F1-score. Subsequently, the chosen classical model, along with the DNN, LSTM, and GRU, were evaluated based on the way they perform on the held-out test set. The optimal model was chosen based on the F1-score, with additional consideration given to accuracy, precision, recall, weighted F1, and AUC.</w:t>
      </w:r>
    </w:p>
    <w:p w14:paraId="5F588888" w14:textId="77777777" w:rsidR="009401C3" w:rsidRPr="00400AFF" w:rsidRDefault="009401C3" w:rsidP="00400AFF">
      <w:pPr>
        <w:spacing w:line="360" w:lineRule="auto"/>
        <w:rPr>
          <w:rFonts w:ascii="Cambria" w:hAnsi="Cambria"/>
          <w:sz w:val="22"/>
          <w:szCs w:val="22"/>
        </w:rPr>
      </w:pPr>
    </w:p>
    <w:p w14:paraId="0A9A6748" w14:textId="1449D916" w:rsidR="00370BDA" w:rsidRPr="00400AFF" w:rsidRDefault="00370BDA" w:rsidP="00400AFF">
      <w:pPr>
        <w:spacing w:line="360" w:lineRule="auto"/>
        <w:rPr>
          <w:rFonts w:ascii="Cambria" w:hAnsi="Cambria"/>
          <w:b/>
          <w:bCs/>
          <w:sz w:val="22"/>
          <w:szCs w:val="22"/>
        </w:rPr>
      </w:pPr>
      <w:r w:rsidRPr="00400AFF">
        <w:rPr>
          <w:rFonts w:ascii="Cambria" w:hAnsi="Cambria"/>
          <w:b/>
          <w:bCs/>
          <w:sz w:val="22"/>
          <w:szCs w:val="22"/>
        </w:rPr>
        <w:t>3.7 Why Random Forest Was Selected as the Best Model</w:t>
      </w:r>
    </w:p>
    <w:p w14:paraId="197E80A8" w14:textId="50BC7EFD" w:rsidR="00370BDA" w:rsidRPr="00400AFF" w:rsidRDefault="001F283E" w:rsidP="00400AFF">
      <w:pPr>
        <w:spacing w:line="360" w:lineRule="auto"/>
        <w:rPr>
          <w:rFonts w:ascii="Cambria" w:hAnsi="Cambria"/>
          <w:sz w:val="22"/>
          <w:szCs w:val="22"/>
        </w:rPr>
      </w:pPr>
      <w:r w:rsidRPr="00400AFF">
        <w:rPr>
          <w:rFonts w:ascii="Cambria" w:hAnsi="Cambria"/>
          <w:sz w:val="22"/>
          <w:szCs w:val="22"/>
        </w:rPr>
        <w:t>In the analysed experimental samples, Random Forest was identified as the optimal model. With a sample size of 5,000, it attained a test accuracy of 0.9973, precision of 1.0000, recall of 0.9900, F1-score of 0.9950, weighted F1 of 0.9973, and an AUC of 1.0000. The recorded outputs at 10,000, 50,000, and 100,000 samples provide near-perfect or flawless outcomes on the reserved test partitions.</w:t>
      </w:r>
    </w:p>
    <w:p w14:paraId="508F4744" w14:textId="77777777" w:rsidR="009401C3" w:rsidRPr="00400AFF" w:rsidRDefault="009401C3" w:rsidP="00400AFF">
      <w:pPr>
        <w:spacing w:line="360" w:lineRule="auto"/>
        <w:rPr>
          <w:rFonts w:ascii="Cambria" w:hAnsi="Cambria"/>
          <w:sz w:val="22"/>
          <w:szCs w:val="22"/>
        </w:rPr>
      </w:pPr>
    </w:p>
    <w:p w14:paraId="1B997F58" w14:textId="7246AD69" w:rsidR="002376E6" w:rsidRPr="00400AFF" w:rsidRDefault="00FF60CF" w:rsidP="00400AFF">
      <w:pPr>
        <w:spacing w:line="360" w:lineRule="auto"/>
        <w:rPr>
          <w:rFonts w:ascii="Cambria" w:hAnsi="Cambria"/>
          <w:sz w:val="22"/>
          <w:szCs w:val="22"/>
        </w:rPr>
      </w:pPr>
      <w:r w:rsidRPr="00400AFF">
        <w:rPr>
          <w:rFonts w:ascii="Cambria" w:hAnsi="Cambria"/>
          <w:sz w:val="22"/>
          <w:szCs w:val="22"/>
        </w:rPr>
        <w:t xml:space="preserve">This selection is methodologically sound. Random Forest is ideally suited for mixed feature spaces that include sparse text-derived signals and interpretable numerical indications. It can also simulate non-linear interactions without necessitating the extensive training budgets or stability requirements typically linked to neural architectures. In a dataset like RbSQLi, where SQL injection patterns are prominently encoded in punctuation, word frequency, and operator combinations, these characteristics may provide a significant advantage to a tree group. </w:t>
      </w:r>
    </w:p>
    <w:p w14:paraId="47BE5F86" w14:textId="09577E58" w:rsidR="002376E6" w:rsidRPr="00400AFF" w:rsidRDefault="002376E6" w:rsidP="00400AFF">
      <w:pPr>
        <w:spacing w:line="360" w:lineRule="auto"/>
        <w:rPr>
          <w:rFonts w:ascii="Cambria" w:hAnsi="Cambria"/>
          <w:sz w:val="22"/>
          <w:szCs w:val="22"/>
        </w:rPr>
      </w:pPr>
      <w:r w:rsidRPr="00400AFF">
        <w:rPr>
          <w:rFonts w:ascii="Cambria" w:hAnsi="Cambria"/>
          <w:noProof/>
          <w:sz w:val="22"/>
          <w:szCs w:val="22"/>
        </w:rPr>
        <w:lastRenderedPageBreak/>
        <w:drawing>
          <wp:inline distT="0" distB="0" distL="0" distR="0" wp14:anchorId="7C96BBCC" wp14:editId="69A176EB">
            <wp:extent cx="5537306" cy="4347148"/>
            <wp:effectExtent l="0" t="0" r="0" b="0"/>
            <wp:docPr id="111924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49356" name=""/>
                    <pic:cNvPicPr/>
                  </pic:nvPicPr>
                  <pic:blipFill>
                    <a:blip r:embed="rId8"/>
                    <a:stretch>
                      <a:fillRect/>
                    </a:stretch>
                  </pic:blipFill>
                  <pic:spPr>
                    <a:xfrm>
                      <a:off x="0" y="0"/>
                      <a:ext cx="5563845" cy="4367983"/>
                    </a:xfrm>
                    <a:prstGeom prst="rect">
                      <a:avLst/>
                    </a:prstGeom>
                  </pic:spPr>
                </pic:pic>
              </a:graphicData>
            </a:graphic>
          </wp:inline>
        </w:drawing>
      </w:r>
    </w:p>
    <w:p w14:paraId="0D1CD6F5" w14:textId="1AB25D9F" w:rsidR="002376E6" w:rsidRPr="0061078E" w:rsidRDefault="002376E6" w:rsidP="00400AFF">
      <w:pPr>
        <w:spacing w:line="360" w:lineRule="auto"/>
        <w:rPr>
          <w:rFonts w:ascii="Cambria" w:hAnsi="Cambria"/>
          <w:sz w:val="18"/>
          <w:szCs w:val="18"/>
        </w:rPr>
      </w:pPr>
      <w:r w:rsidRPr="0061078E">
        <w:rPr>
          <w:rFonts w:ascii="Cambria" w:hAnsi="Cambria"/>
          <w:sz w:val="18"/>
          <w:szCs w:val="18"/>
        </w:rPr>
        <w:t>Figure 3.7: Confusion matrix of the selected best model.</w:t>
      </w:r>
    </w:p>
    <w:p w14:paraId="00820691" w14:textId="77777777" w:rsidR="00370BDA" w:rsidRPr="00400AFF" w:rsidRDefault="00370BDA" w:rsidP="00400AFF">
      <w:pPr>
        <w:spacing w:line="360" w:lineRule="auto"/>
        <w:rPr>
          <w:rFonts w:ascii="Cambria" w:hAnsi="Cambria"/>
          <w:sz w:val="22"/>
          <w:szCs w:val="22"/>
        </w:rPr>
      </w:pPr>
    </w:p>
    <w:p w14:paraId="17429197" w14:textId="1BE6C428" w:rsidR="00370BDA" w:rsidRPr="00400AFF" w:rsidRDefault="004F7F46" w:rsidP="00400AFF">
      <w:pPr>
        <w:spacing w:line="360" w:lineRule="auto"/>
        <w:rPr>
          <w:rFonts w:ascii="Cambria" w:hAnsi="Cambria"/>
          <w:sz w:val="22"/>
          <w:szCs w:val="22"/>
        </w:rPr>
      </w:pPr>
      <w:r w:rsidRPr="00400AFF">
        <w:rPr>
          <w:rFonts w:ascii="Cambria" w:hAnsi="Cambria"/>
          <w:sz w:val="22"/>
          <w:szCs w:val="22"/>
        </w:rPr>
        <w:t>The observed results must be regarded cautiously. At increased sample sizes, certain rival models likewise yielded nearly flawless outcomes. For instance, the GRU attained a test F1-score of 1.0000 at 50,000 samples, but the DNN scored 0.9995 and the GRU reached 0.9985 at 100,000 samples. The code prioritised the largest F1-score and returned the first model that matched in the results list, therefore retaining Random Forest as the preferred model in instances of perfect-score ties. Consequently, the ultimate selection should not be construed as evidence that Random Forest is categorically superior in all aspects. Instead, it was the most stable and operationally advantageous victor under the established selection criterion.</w:t>
      </w:r>
    </w:p>
    <w:p w14:paraId="6FD80813" w14:textId="77777777" w:rsidR="00370BDA" w:rsidRPr="00400AFF" w:rsidRDefault="00370BDA" w:rsidP="00400AFF">
      <w:pPr>
        <w:spacing w:line="360" w:lineRule="auto"/>
        <w:rPr>
          <w:rFonts w:ascii="Cambria" w:hAnsi="Cambria"/>
          <w:sz w:val="22"/>
          <w:szCs w:val="22"/>
        </w:rPr>
      </w:pPr>
    </w:p>
    <w:p w14:paraId="616B801C" w14:textId="77777777" w:rsidR="004F7F46" w:rsidRPr="00400AFF" w:rsidRDefault="004F7F46" w:rsidP="00400AFF">
      <w:pPr>
        <w:spacing w:line="360" w:lineRule="auto"/>
        <w:rPr>
          <w:rFonts w:ascii="Cambria" w:hAnsi="Cambria"/>
          <w:sz w:val="22"/>
          <w:szCs w:val="22"/>
        </w:rPr>
      </w:pPr>
      <w:r w:rsidRPr="00400AFF">
        <w:rPr>
          <w:rFonts w:ascii="Cambria" w:hAnsi="Cambria"/>
          <w:sz w:val="22"/>
          <w:szCs w:val="22"/>
        </w:rPr>
        <w:t>Two models seem very similar to the chosen model:</w:t>
      </w:r>
    </w:p>
    <w:p w14:paraId="01F76D8F" w14:textId="77777777" w:rsidR="004F7F46" w:rsidRPr="00400AFF" w:rsidRDefault="004F7F46" w:rsidP="00400AFF">
      <w:pPr>
        <w:spacing w:line="360" w:lineRule="auto"/>
        <w:rPr>
          <w:rFonts w:ascii="Cambria" w:hAnsi="Cambria"/>
          <w:sz w:val="22"/>
          <w:szCs w:val="22"/>
        </w:rPr>
      </w:pPr>
      <w:r w:rsidRPr="00400AFF">
        <w:rPr>
          <w:rFonts w:ascii="Cambria" w:hAnsi="Cambria"/>
          <w:sz w:val="22"/>
          <w:szCs w:val="22"/>
        </w:rPr>
        <w:t xml:space="preserve">GRU: The GRU demonstrated robust performance starting from 10,000 samples and achieved flawless classification at 50,000 samples. This implies that sequential character-level modelling accurately represents significant injection syntax. A more robust GRU setup, an expanded </w:t>
      </w:r>
      <w:r w:rsidRPr="00400AFF">
        <w:rPr>
          <w:rFonts w:ascii="Cambria" w:hAnsi="Cambria"/>
          <w:sz w:val="22"/>
          <w:szCs w:val="22"/>
        </w:rPr>
        <w:lastRenderedPageBreak/>
        <w:t xml:space="preserve">sequence training subset, or more comprehensive hyperparameter optimisation could have enabled it to compete with Random Forest with greater consistency. </w:t>
      </w:r>
    </w:p>
    <w:p w14:paraId="6B479B5F" w14:textId="50FC5F65" w:rsidR="00370BDA" w:rsidRPr="00400AFF" w:rsidRDefault="004F7F46" w:rsidP="00400AFF">
      <w:pPr>
        <w:spacing w:line="360" w:lineRule="auto"/>
        <w:rPr>
          <w:rFonts w:ascii="Cambria" w:hAnsi="Cambria"/>
          <w:sz w:val="22"/>
          <w:szCs w:val="22"/>
        </w:rPr>
      </w:pPr>
      <w:r w:rsidRPr="00400AFF">
        <w:rPr>
          <w:rFonts w:ascii="Cambria" w:hAnsi="Cambria"/>
          <w:sz w:val="22"/>
          <w:szCs w:val="22"/>
        </w:rPr>
        <w:t>The DNN yielded exceptionally high outcomes, especially with bigger sample sets. The similarity in hybrid feature representation with classical models suggests that its comparable performance to Random Forest may imply that the designed features were already very informative. Further hyperparameter optimisation, regularisation adjustment, or validation evaluation could have improved its competitiveness.</w:t>
      </w:r>
    </w:p>
    <w:p w14:paraId="35206D85" w14:textId="77777777" w:rsidR="00370BDA" w:rsidRPr="00400AFF" w:rsidRDefault="00370BDA" w:rsidP="00400AFF">
      <w:pPr>
        <w:spacing w:line="360" w:lineRule="auto"/>
        <w:rPr>
          <w:rFonts w:ascii="Cambria" w:hAnsi="Cambria"/>
          <w:sz w:val="22"/>
          <w:szCs w:val="22"/>
        </w:rPr>
      </w:pPr>
    </w:p>
    <w:p w14:paraId="38165145" w14:textId="284AF6D0" w:rsidR="00370BDA" w:rsidRPr="00400AFF" w:rsidRDefault="004F7F46" w:rsidP="00400AFF">
      <w:pPr>
        <w:spacing w:line="360" w:lineRule="auto"/>
        <w:rPr>
          <w:rFonts w:ascii="Cambria" w:hAnsi="Cambria"/>
          <w:sz w:val="22"/>
          <w:szCs w:val="22"/>
        </w:rPr>
      </w:pPr>
      <w:r w:rsidRPr="00400AFF">
        <w:rPr>
          <w:rFonts w:ascii="Cambria" w:hAnsi="Cambria"/>
          <w:sz w:val="22"/>
          <w:szCs w:val="22"/>
        </w:rPr>
        <w:t>In contrast, the LSTM exhibited relatively lower stability throughout increasing sample settings, while the GRU performed poorly at the minimum sample size of 5,000. This may suggest that recurrent models exhibited greater sensitivity to sequence-budget constraints and the volume of training data. The recurrent models in the implementation were trained on limited subsets for manageability, which may partially account for the non-monotonic increase in their profits with bigger `SAMPLE_SIZE` values.</w:t>
      </w:r>
    </w:p>
    <w:p w14:paraId="4B38A89F" w14:textId="77777777" w:rsidR="00370BDA" w:rsidRPr="00400AFF" w:rsidRDefault="00370BDA" w:rsidP="00400AFF">
      <w:pPr>
        <w:spacing w:line="360" w:lineRule="auto"/>
        <w:rPr>
          <w:rFonts w:ascii="Cambria" w:hAnsi="Cambria"/>
          <w:sz w:val="22"/>
          <w:szCs w:val="22"/>
        </w:rPr>
      </w:pPr>
    </w:p>
    <w:p w14:paraId="57A9AC75" w14:textId="6D69E29D" w:rsidR="00370BDA" w:rsidRPr="00400AFF" w:rsidRDefault="00370BDA" w:rsidP="00400AFF">
      <w:pPr>
        <w:spacing w:line="360" w:lineRule="auto"/>
        <w:rPr>
          <w:rFonts w:ascii="Cambria" w:hAnsi="Cambria"/>
          <w:sz w:val="22"/>
          <w:szCs w:val="22"/>
        </w:rPr>
      </w:pPr>
      <w:r w:rsidRPr="00400AFF">
        <w:rPr>
          <w:rFonts w:ascii="Cambria" w:hAnsi="Cambria"/>
          <w:sz w:val="22"/>
          <w:szCs w:val="22"/>
        </w:rPr>
        <w:t>Table 3.3 Observed Best-Model and Near-Best Outcomes Across Sample Sizes</w:t>
      </w:r>
    </w:p>
    <w:tbl>
      <w:tblPr>
        <w:tblStyle w:val="PlainTable4"/>
        <w:tblW w:w="0" w:type="auto"/>
        <w:tblLook w:val="04A0" w:firstRow="1" w:lastRow="0" w:firstColumn="1" w:lastColumn="0" w:noHBand="0" w:noVBand="1"/>
      </w:tblPr>
      <w:tblGrid>
        <w:gridCol w:w="1696"/>
        <w:gridCol w:w="2410"/>
        <w:gridCol w:w="1701"/>
        <w:gridCol w:w="3209"/>
      </w:tblGrid>
      <w:tr w:rsidR="00123686" w:rsidRPr="00400AFF" w14:paraId="6C294FAD" w14:textId="77777777" w:rsidTr="001236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6B491AC" w14:textId="11C25E08" w:rsidR="00123686" w:rsidRPr="00400AFF" w:rsidRDefault="00123686" w:rsidP="00400AFF">
            <w:pPr>
              <w:spacing w:line="360" w:lineRule="auto"/>
              <w:rPr>
                <w:rFonts w:ascii="Cambria" w:hAnsi="Cambria"/>
                <w:sz w:val="18"/>
                <w:szCs w:val="18"/>
              </w:rPr>
            </w:pPr>
            <w:r w:rsidRPr="00400AFF">
              <w:rPr>
                <w:rFonts w:ascii="Cambria" w:hAnsi="Cambria"/>
                <w:sz w:val="18"/>
                <w:szCs w:val="18"/>
              </w:rPr>
              <w:t>Sample size</w:t>
            </w:r>
          </w:p>
        </w:tc>
        <w:tc>
          <w:tcPr>
            <w:tcW w:w="2410" w:type="dxa"/>
          </w:tcPr>
          <w:p w14:paraId="2845392B" w14:textId="229D6DC0" w:rsidR="00123686" w:rsidRPr="00400AFF" w:rsidRDefault="00123686" w:rsidP="00400AFF">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Selected best model</w:t>
            </w:r>
          </w:p>
        </w:tc>
        <w:tc>
          <w:tcPr>
            <w:tcW w:w="1701" w:type="dxa"/>
          </w:tcPr>
          <w:p w14:paraId="02AEFD9E" w14:textId="2819CEFB" w:rsidR="00123686" w:rsidRPr="00400AFF" w:rsidRDefault="00123686" w:rsidP="00400AFF">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Best model F1</w:t>
            </w:r>
          </w:p>
        </w:tc>
        <w:tc>
          <w:tcPr>
            <w:tcW w:w="3209" w:type="dxa"/>
          </w:tcPr>
          <w:p w14:paraId="0E444575" w14:textId="3D4D3257" w:rsidR="00123686" w:rsidRPr="00400AFF" w:rsidRDefault="00123686" w:rsidP="00400AFF">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Closest competing observations</w:t>
            </w:r>
          </w:p>
        </w:tc>
      </w:tr>
      <w:tr w:rsidR="00123686" w:rsidRPr="00400AFF" w14:paraId="69CE228C" w14:textId="77777777" w:rsidTr="00123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76BF209" w14:textId="2A013F8A" w:rsidR="00123686" w:rsidRPr="00400AFF" w:rsidRDefault="00123686" w:rsidP="00400AFF">
            <w:pPr>
              <w:spacing w:line="360" w:lineRule="auto"/>
              <w:rPr>
                <w:rFonts w:ascii="Cambria" w:hAnsi="Cambria"/>
                <w:b w:val="0"/>
                <w:bCs w:val="0"/>
                <w:sz w:val="18"/>
                <w:szCs w:val="18"/>
              </w:rPr>
            </w:pPr>
            <w:r w:rsidRPr="00400AFF">
              <w:rPr>
                <w:rFonts w:ascii="Cambria" w:hAnsi="Cambria"/>
                <w:b w:val="0"/>
                <w:bCs w:val="0"/>
                <w:sz w:val="18"/>
                <w:szCs w:val="18"/>
              </w:rPr>
              <w:t>5,000</w:t>
            </w:r>
          </w:p>
        </w:tc>
        <w:tc>
          <w:tcPr>
            <w:tcW w:w="2410" w:type="dxa"/>
          </w:tcPr>
          <w:p w14:paraId="53310774" w14:textId="6B450CD9" w:rsidR="00123686" w:rsidRPr="00400AFF" w:rsidRDefault="00123686"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Random Forest</w:t>
            </w:r>
          </w:p>
        </w:tc>
        <w:tc>
          <w:tcPr>
            <w:tcW w:w="1701" w:type="dxa"/>
          </w:tcPr>
          <w:p w14:paraId="1AF7D239" w14:textId="1613CD40" w:rsidR="00123686" w:rsidRPr="00400AFF" w:rsidRDefault="00123686"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0.9950</w:t>
            </w:r>
          </w:p>
        </w:tc>
        <w:tc>
          <w:tcPr>
            <w:tcW w:w="3209" w:type="dxa"/>
          </w:tcPr>
          <w:p w14:paraId="30488975" w14:textId="20B6CD19" w:rsidR="00123686" w:rsidRPr="00400AFF" w:rsidRDefault="00123686"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DNN F1 0.9770; LSTM F1 0.9421</w:t>
            </w:r>
          </w:p>
        </w:tc>
      </w:tr>
      <w:tr w:rsidR="00123686" w:rsidRPr="00400AFF" w14:paraId="12F8AC39" w14:textId="77777777" w:rsidTr="00123686">
        <w:tc>
          <w:tcPr>
            <w:cnfStyle w:val="001000000000" w:firstRow="0" w:lastRow="0" w:firstColumn="1" w:lastColumn="0" w:oddVBand="0" w:evenVBand="0" w:oddHBand="0" w:evenHBand="0" w:firstRowFirstColumn="0" w:firstRowLastColumn="0" w:lastRowFirstColumn="0" w:lastRowLastColumn="0"/>
            <w:tcW w:w="1696" w:type="dxa"/>
          </w:tcPr>
          <w:p w14:paraId="325A4776" w14:textId="5C3ED1FB" w:rsidR="00123686" w:rsidRPr="00400AFF" w:rsidRDefault="00123686" w:rsidP="00400AFF">
            <w:pPr>
              <w:spacing w:line="360" w:lineRule="auto"/>
              <w:rPr>
                <w:rFonts w:ascii="Cambria" w:hAnsi="Cambria"/>
                <w:b w:val="0"/>
                <w:bCs w:val="0"/>
                <w:sz w:val="18"/>
                <w:szCs w:val="18"/>
              </w:rPr>
            </w:pPr>
            <w:r w:rsidRPr="00400AFF">
              <w:rPr>
                <w:rFonts w:ascii="Cambria" w:hAnsi="Cambria"/>
                <w:b w:val="0"/>
                <w:bCs w:val="0"/>
                <w:sz w:val="18"/>
                <w:szCs w:val="18"/>
              </w:rPr>
              <w:t>10,000</w:t>
            </w:r>
          </w:p>
        </w:tc>
        <w:tc>
          <w:tcPr>
            <w:tcW w:w="2410" w:type="dxa"/>
          </w:tcPr>
          <w:p w14:paraId="4C7455F4" w14:textId="530AC144" w:rsidR="00123686" w:rsidRPr="00400AFF" w:rsidRDefault="00123686"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Random Forest</w:t>
            </w:r>
          </w:p>
        </w:tc>
        <w:tc>
          <w:tcPr>
            <w:tcW w:w="1701" w:type="dxa"/>
          </w:tcPr>
          <w:p w14:paraId="2612548C" w14:textId="523CCC0F" w:rsidR="00123686" w:rsidRPr="00400AFF" w:rsidRDefault="00123686"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1.0000</w:t>
            </w:r>
          </w:p>
        </w:tc>
        <w:tc>
          <w:tcPr>
            <w:tcW w:w="3209" w:type="dxa"/>
          </w:tcPr>
          <w:p w14:paraId="28424FB5" w14:textId="28D51491" w:rsidR="00123686" w:rsidRPr="00400AFF" w:rsidRDefault="00123686"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GRU F1 0.9951; LSTM F1 0.9950</w:t>
            </w:r>
          </w:p>
        </w:tc>
      </w:tr>
      <w:tr w:rsidR="00123686" w:rsidRPr="00400AFF" w14:paraId="7EF0C18B" w14:textId="77777777" w:rsidTr="00123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87F7BDC" w14:textId="6539AD68" w:rsidR="00123686" w:rsidRPr="00400AFF" w:rsidRDefault="00123686" w:rsidP="00400AFF">
            <w:pPr>
              <w:spacing w:line="360" w:lineRule="auto"/>
              <w:rPr>
                <w:rFonts w:ascii="Cambria" w:hAnsi="Cambria"/>
                <w:b w:val="0"/>
                <w:bCs w:val="0"/>
                <w:sz w:val="18"/>
                <w:szCs w:val="18"/>
              </w:rPr>
            </w:pPr>
            <w:r w:rsidRPr="00400AFF">
              <w:rPr>
                <w:rFonts w:ascii="Cambria" w:hAnsi="Cambria"/>
                <w:b w:val="0"/>
                <w:bCs w:val="0"/>
                <w:sz w:val="18"/>
                <w:szCs w:val="18"/>
              </w:rPr>
              <w:t>50,000</w:t>
            </w:r>
          </w:p>
        </w:tc>
        <w:tc>
          <w:tcPr>
            <w:tcW w:w="2410" w:type="dxa"/>
          </w:tcPr>
          <w:p w14:paraId="3DBF6CD5" w14:textId="5EA51ED9" w:rsidR="00123686" w:rsidRPr="00400AFF" w:rsidRDefault="00123686"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Random Forest</w:t>
            </w:r>
          </w:p>
        </w:tc>
        <w:tc>
          <w:tcPr>
            <w:tcW w:w="1701" w:type="dxa"/>
          </w:tcPr>
          <w:p w14:paraId="73BEECE9" w14:textId="016D3870" w:rsidR="00123686" w:rsidRPr="00400AFF" w:rsidRDefault="00123686"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1.0000</w:t>
            </w:r>
          </w:p>
        </w:tc>
        <w:tc>
          <w:tcPr>
            <w:tcW w:w="3209" w:type="dxa"/>
          </w:tcPr>
          <w:p w14:paraId="7E93960F" w14:textId="502A3BE6" w:rsidR="00123686" w:rsidRPr="00400AFF" w:rsidRDefault="00123686" w:rsidP="00400AF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18"/>
                <w:szCs w:val="18"/>
              </w:rPr>
            </w:pPr>
            <w:r w:rsidRPr="00400AFF">
              <w:rPr>
                <w:rFonts w:ascii="Cambria" w:hAnsi="Cambria"/>
                <w:sz w:val="18"/>
                <w:szCs w:val="18"/>
              </w:rPr>
              <w:t>GRU F1 1.0000; DNN F1 0.9992</w:t>
            </w:r>
          </w:p>
        </w:tc>
      </w:tr>
      <w:tr w:rsidR="00123686" w:rsidRPr="00400AFF" w14:paraId="1944BC64" w14:textId="77777777" w:rsidTr="00123686">
        <w:tc>
          <w:tcPr>
            <w:cnfStyle w:val="001000000000" w:firstRow="0" w:lastRow="0" w:firstColumn="1" w:lastColumn="0" w:oddVBand="0" w:evenVBand="0" w:oddHBand="0" w:evenHBand="0" w:firstRowFirstColumn="0" w:firstRowLastColumn="0" w:lastRowFirstColumn="0" w:lastRowLastColumn="0"/>
            <w:tcW w:w="1696" w:type="dxa"/>
          </w:tcPr>
          <w:p w14:paraId="09A40F32" w14:textId="51369370" w:rsidR="00123686" w:rsidRPr="00400AFF" w:rsidRDefault="00123686" w:rsidP="00400AFF">
            <w:pPr>
              <w:spacing w:line="360" w:lineRule="auto"/>
              <w:rPr>
                <w:rFonts w:ascii="Cambria" w:hAnsi="Cambria"/>
                <w:b w:val="0"/>
                <w:bCs w:val="0"/>
                <w:sz w:val="18"/>
                <w:szCs w:val="18"/>
              </w:rPr>
            </w:pPr>
            <w:r w:rsidRPr="00400AFF">
              <w:rPr>
                <w:rFonts w:ascii="Cambria" w:hAnsi="Cambria"/>
                <w:b w:val="0"/>
                <w:bCs w:val="0"/>
                <w:sz w:val="18"/>
                <w:szCs w:val="18"/>
              </w:rPr>
              <w:t>100,000</w:t>
            </w:r>
          </w:p>
        </w:tc>
        <w:tc>
          <w:tcPr>
            <w:tcW w:w="2410" w:type="dxa"/>
          </w:tcPr>
          <w:p w14:paraId="75E7A250" w14:textId="7F9D602B" w:rsidR="00123686" w:rsidRPr="00400AFF" w:rsidRDefault="00123686"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Random Forest</w:t>
            </w:r>
          </w:p>
        </w:tc>
        <w:tc>
          <w:tcPr>
            <w:tcW w:w="1701" w:type="dxa"/>
          </w:tcPr>
          <w:p w14:paraId="524ADD42" w14:textId="561AE41F" w:rsidR="00123686" w:rsidRPr="00400AFF" w:rsidRDefault="00123686"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1.0000</w:t>
            </w:r>
          </w:p>
        </w:tc>
        <w:tc>
          <w:tcPr>
            <w:tcW w:w="3209" w:type="dxa"/>
          </w:tcPr>
          <w:p w14:paraId="1D17131B" w14:textId="60B3C915" w:rsidR="00123686" w:rsidRPr="00400AFF" w:rsidRDefault="00123686" w:rsidP="00400AF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18"/>
                <w:szCs w:val="18"/>
              </w:rPr>
            </w:pPr>
            <w:r w:rsidRPr="00400AFF">
              <w:rPr>
                <w:rFonts w:ascii="Cambria" w:hAnsi="Cambria"/>
                <w:sz w:val="18"/>
                <w:szCs w:val="18"/>
              </w:rPr>
              <w:t>DNN F1 0.9995; GRU F1 0.9985</w:t>
            </w:r>
          </w:p>
        </w:tc>
      </w:tr>
    </w:tbl>
    <w:p w14:paraId="146D1DD4" w14:textId="77777777" w:rsidR="00123686" w:rsidRPr="00400AFF" w:rsidRDefault="00123686" w:rsidP="00400AFF">
      <w:pPr>
        <w:spacing w:line="360" w:lineRule="auto"/>
        <w:rPr>
          <w:rFonts w:ascii="Cambria" w:hAnsi="Cambria"/>
          <w:sz w:val="22"/>
          <w:szCs w:val="22"/>
        </w:rPr>
      </w:pPr>
    </w:p>
    <w:p w14:paraId="7090B724" w14:textId="77777777" w:rsidR="00370BDA" w:rsidRPr="00400AFF" w:rsidRDefault="00370BDA" w:rsidP="00400AFF">
      <w:pPr>
        <w:spacing w:line="360" w:lineRule="auto"/>
        <w:rPr>
          <w:rFonts w:ascii="Cambria" w:hAnsi="Cambria"/>
          <w:sz w:val="22"/>
          <w:szCs w:val="22"/>
        </w:rPr>
      </w:pPr>
    </w:p>
    <w:p w14:paraId="6BFDCD3B" w14:textId="4BEF82E7" w:rsidR="00370BDA" w:rsidRPr="00400AFF" w:rsidRDefault="00370BDA" w:rsidP="00400AFF">
      <w:pPr>
        <w:spacing w:line="360" w:lineRule="auto"/>
        <w:rPr>
          <w:rFonts w:ascii="Cambria" w:hAnsi="Cambria"/>
          <w:b/>
          <w:bCs/>
          <w:sz w:val="22"/>
          <w:szCs w:val="22"/>
        </w:rPr>
      </w:pPr>
      <w:r w:rsidRPr="00400AFF">
        <w:rPr>
          <w:rFonts w:ascii="Cambria" w:hAnsi="Cambria"/>
          <w:b/>
          <w:bCs/>
          <w:sz w:val="22"/>
          <w:szCs w:val="22"/>
        </w:rPr>
        <w:t>3.8 Evaluation Metrics and Analytical Criteria</w:t>
      </w:r>
    </w:p>
    <w:p w14:paraId="30FA7DFE" w14:textId="77777777" w:rsidR="00A0590D" w:rsidRPr="00400AFF" w:rsidRDefault="00A0590D" w:rsidP="00400AFF">
      <w:pPr>
        <w:spacing w:line="360" w:lineRule="auto"/>
        <w:rPr>
          <w:rFonts w:ascii="Cambria" w:hAnsi="Cambria"/>
          <w:sz w:val="22"/>
          <w:szCs w:val="22"/>
        </w:rPr>
      </w:pPr>
      <w:r w:rsidRPr="00400AFF">
        <w:rPr>
          <w:rFonts w:ascii="Cambria" w:hAnsi="Cambria"/>
          <w:sz w:val="22"/>
          <w:szCs w:val="22"/>
        </w:rPr>
        <w:t>The research employed other assessment indicators instead of depending solely on accuracy. This decision was important because SQLi detection is fundamentally security-sensitive: a model that seems accurate overall may nevertheless be operationally deficient if it fails to identify threats or generates excessive false positives.</w:t>
      </w:r>
    </w:p>
    <w:p w14:paraId="2EA0AF78" w14:textId="77777777" w:rsidR="00A0590D" w:rsidRPr="00400AFF" w:rsidRDefault="00A0590D" w:rsidP="00400AFF">
      <w:pPr>
        <w:spacing w:line="360" w:lineRule="auto"/>
        <w:rPr>
          <w:rFonts w:ascii="Cambria" w:hAnsi="Cambria"/>
          <w:sz w:val="22"/>
          <w:szCs w:val="22"/>
        </w:rPr>
      </w:pPr>
    </w:p>
    <w:p w14:paraId="05DB4001" w14:textId="0DE3F808" w:rsidR="00370BDA" w:rsidRPr="00400AFF" w:rsidRDefault="00A0590D" w:rsidP="00400AFF">
      <w:pPr>
        <w:spacing w:line="360" w:lineRule="auto"/>
        <w:rPr>
          <w:rFonts w:ascii="Cambria" w:hAnsi="Cambria"/>
          <w:sz w:val="22"/>
          <w:szCs w:val="22"/>
        </w:rPr>
      </w:pPr>
      <w:r w:rsidRPr="00400AFF">
        <w:rPr>
          <w:rFonts w:ascii="Cambria" w:hAnsi="Cambria"/>
          <w:sz w:val="22"/>
          <w:szCs w:val="22"/>
        </w:rPr>
        <w:t xml:space="preserve">The primary measures employed in the implementation included accuracy, precision, recall, F1-score, weighted precision, weighted recall, weighted F1-score, confusion matrix, and AUC. Precision is crucial as it pertains to the false-alarm burden of the system. Recall was as crucial, </w:t>
      </w:r>
      <w:r w:rsidRPr="00400AFF">
        <w:rPr>
          <w:rFonts w:ascii="Cambria" w:hAnsi="Cambria"/>
          <w:sz w:val="22"/>
          <w:szCs w:val="22"/>
        </w:rPr>
        <w:lastRenderedPageBreak/>
        <w:t xml:space="preserve">as overlooked attacks signify a direct security breach. The F1-score served as the principal criterion for choosing models due to its equilibrium between precision and recall. Weighted averages were maintained due to the unbalanced distribution of the sample, as weighted measures provide a more consistent overall evaluation in these cases. </w:t>
      </w:r>
    </w:p>
    <w:p w14:paraId="1E1092E8" w14:textId="77777777" w:rsidR="002376E6" w:rsidRPr="00400AFF" w:rsidRDefault="002376E6" w:rsidP="00400AFF">
      <w:pPr>
        <w:spacing w:line="360" w:lineRule="auto"/>
        <w:rPr>
          <w:rFonts w:ascii="Cambria" w:hAnsi="Cambria"/>
          <w:sz w:val="22"/>
          <w:szCs w:val="22"/>
        </w:rPr>
      </w:pPr>
    </w:p>
    <w:p w14:paraId="4E710388" w14:textId="0849179A" w:rsidR="002376E6" w:rsidRPr="00400AFF" w:rsidRDefault="002376E6" w:rsidP="00400AFF">
      <w:pPr>
        <w:spacing w:line="360" w:lineRule="auto"/>
        <w:rPr>
          <w:rFonts w:ascii="Cambria" w:hAnsi="Cambria"/>
          <w:sz w:val="22"/>
          <w:szCs w:val="22"/>
        </w:rPr>
      </w:pPr>
      <w:r w:rsidRPr="00400AFF">
        <w:rPr>
          <w:rFonts w:ascii="Cambria" w:hAnsi="Cambria"/>
          <w:noProof/>
          <w:sz w:val="22"/>
          <w:szCs w:val="22"/>
        </w:rPr>
        <w:drawing>
          <wp:inline distT="0" distB="0" distL="0" distR="0" wp14:anchorId="771B2C89" wp14:editId="1163BB90">
            <wp:extent cx="5731510" cy="3566160"/>
            <wp:effectExtent l="0" t="0" r="0" b="2540"/>
            <wp:docPr id="17506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3446" name=""/>
                    <pic:cNvPicPr/>
                  </pic:nvPicPr>
                  <pic:blipFill>
                    <a:blip r:embed="rId9"/>
                    <a:stretch>
                      <a:fillRect/>
                    </a:stretch>
                  </pic:blipFill>
                  <pic:spPr>
                    <a:xfrm>
                      <a:off x="0" y="0"/>
                      <a:ext cx="5731510" cy="3566160"/>
                    </a:xfrm>
                    <a:prstGeom prst="rect">
                      <a:avLst/>
                    </a:prstGeom>
                  </pic:spPr>
                </pic:pic>
              </a:graphicData>
            </a:graphic>
          </wp:inline>
        </w:drawing>
      </w:r>
    </w:p>
    <w:p w14:paraId="2A1BF2B2" w14:textId="2E294457" w:rsidR="002376E6" w:rsidRPr="0061078E" w:rsidRDefault="002376E6" w:rsidP="00400AFF">
      <w:pPr>
        <w:spacing w:line="360" w:lineRule="auto"/>
        <w:rPr>
          <w:rFonts w:ascii="Cambria" w:hAnsi="Cambria"/>
          <w:sz w:val="18"/>
          <w:szCs w:val="18"/>
        </w:rPr>
      </w:pPr>
      <w:r w:rsidRPr="0061078E">
        <w:rPr>
          <w:rFonts w:ascii="Cambria" w:hAnsi="Cambria"/>
          <w:sz w:val="18"/>
          <w:szCs w:val="18"/>
        </w:rPr>
        <w:t>Figure 3.9: Bar chart comparing F1-score, weighted F1 and AUC across models.</w:t>
      </w:r>
    </w:p>
    <w:p w14:paraId="47331AAA" w14:textId="77777777" w:rsidR="00370BDA" w:rsidRPr="00400AFF" w:rsidRDefault="00370BDA" w:rsidP="00400AFF">
      <w:pPr>
        <w:spacing w:line="360" w:lineRule="auto"/>
        <w:rPr>
          <w:rFonts w:ascii="Cambria" w:hAnsi="Cambria"/>
          <w:sz w:val="22"/>
          <w:szCs w:val="22"/>
        </w:rPr>
      </w:pPr>
    </w:p>
    <w:p w14:paraId="644D54D7" w14:textId="77777777" w:rsidR="00A0590D" w:rsidRPr="00400AFF" w:rsidRDefault="00A0590D" w:rsidP="00400AFF">
      <w:pPr>
        <w:spacing w:line="360" w:lineRule="auto"/>
        <w:rPr>
          <w:rFonts w:ascii="Cambria" w:hAnsi="Cambria"/>
          <w:sz w:val="22"/>
          <w:szCs w:val="22"/>
        </w:rPr>
      </w:pPr>
      <w:r w:rsidRPr="00400AFF">
        <w:rPr>
          <w:rFonts w:ascii="Cambria" w:hAnsi="Cambria"/>
          <w:sz w:val="22"/>
          <w:szCs w:val="22"/>
        </w:rPr>
        <w:t>The code generated confusion matrices and ROC curves. These were methodologically advantageous as they allowed the examination of false positives and false negatives, rather than obscuring them within aggregate scores. In a defensive setting, this distinction is significant: an excessively liberal approach increases security risks, whereas an excessively aggressive model hinders legal program usage.</w:t>
      </w:r>
    </w:p>
    <w:p w14:paraId="30FEDD7F" w14:textId="77777777" w:rsidR="00A0590D" w:rsidRPr="00400AFF" w:rsidRDefault="00A0590D" w:rsidP="00400AFF">
      <w:pPr>
        <w:spacing w:line="360" w:lineRule="auto"/>
        <w:rPr>
          <w:rFonts w:ascii="Cambria" w:hAnsi="Cambria"/>
          <w:sz w:val="22"/>
          <w:szCs w:val="22"/>
        </w:rPr>
      </w:pPr>
    </w:p>
    <w:p w14:paraId="76230033" w14:textId="1CC24CDB" w:rsidR="002376E6" w:rsidRPr="00400AFF" w:rsidRDefault="00A0590D" w:rsidP="00400AFF">
      <w:pPr>
        <w:spacing w:line="360" w:lineRule="auto"/>
        <w:rPr>
          <w:rFonts w:ascii="Cambria" w:hAnsi="Cambria"/>
          <w:sz w:val="22"/>
          <w:szCs w:val="22"/>
        </w:rPr>
      </w:pPr>
      <w:r w:rsidRPr="00400AFF">
        <w:rPr>
          <w:rFonts w:ascii="Cambria" w:hAnsi="Cambria"/>
          <w:sz w:val="22"/>
          <w:szCs w:val="22"/>
        </w:rPr>
        <w:t>A methodological insight derived from the current research is that exceptionally high or perfect metrics, especially on sampled subsets of a rule-based dataset, may signify robust separate classes but also necessitate care. Such outcomes may not inherently ensure comparable performance on real-time, noisy, obfuscated, or adversarially designed traffic. Consequently, the deployment phase and middleware logs constituted a crucial supplementary validation layer.</w:t>
      </w:r>
    </w:p>
    <w:p w14:paraId="1B0B309B" w14:textId="77777777" w:rsidR="002376E6" w:rsidRPr="00400AFF" w:rsidRDefault="002376E6" w:rsidP="00400AFF">
      <w:pPr>
        <w:spacing w:line="360" w:lineRule="auto"/>
        <w:rPr>
          <w:rFonts w:ascii="Cambria" w:hAnsi="Cambria"/>
          <w:sz w:val="22"/>
          <w:szCs w:val="22"/>
        </w:rPr>
      </w:pPr>
    </w:p>
    <w:p w14:paraId="1CF77EAA" w14:textId="72FE9E96" w:rsidR="002376E6" w:rsidRPr="00400AFF" w:rsidRDefault="002376E6" w:rsidP="00400AFF">
      <w:pPr>
        <w:spacing w:line="360" w:lineRule="auto"/>
        <w:rPr>
          <w:rFonts w:ascii="Cambria" w:hAnsi="Cambria"/>
          <w:sz w:val="22"/>
          <w:szCs w:val="22"/>
        </w:rPr>
      </w:pPr>
      <w:r w:rsidRPr="00400AFF">
        <w:rPr>
          <w:rFonts w:ascii="Cambria" w:hAnsi="Cambria"/>
          <w:noProof/>
          <w:sz w:val="22"/>
          <w:szCs w:val="22"/>
        </w:rPr>
        <w:drawing>
          <wp:inline distT="0" distB="0" distL="0" distR="0" wp14:anchorId="2D16D502" wp14:editId="3BD8C3C2">
            <wp:extent cx="5731510" cy="4572635"/>
            <wp:effectExtent l="0" t="0" r="0" b="0"/>
            <wp:docPr id="53631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17014" name=""/>
                    <pic:cNvPicPr/>
                  </pic:nvPicPr>
                  <pic:blipFill>
                    <a:blip r:embed="rId10"/>
                    <a:stretch>
                      <a:fillRect/>
                    </a:stretch>
                  </pic:blipFill>
                  <pic:spPr>
                    <a:xfrm>
                      <a:off x="0" y="0"/>
                      <a:ext cx="5731510" cy="4572635"/>
                    </a:xfrm>
                    <a:prstGeom prst="rect">
                      <a:avLst/>
                    </a:prstGeom>
                  </pic:spPr>
                </pic:pic>
              </a:graphicData>
            </a:graphic>
          </wp:inline>
        </w:drawing>
      </w:r>
    </w:p>
    <w:p w14:paraId="4BDF289B" w14:textId="01CAA34E" w:rsidR="002376E6" w:rsidRPr="0061078E" w:rsidRDefault="002376E6" w:rsidP="00400AFF">
      <w:pPr>
        <w:spacing w:line="360" w:lineRule="auto"/>
        <w:rPr>
          <w:rFonts w:ascii="Cambria" w:hAnsi="Cambria"/>
          <w:sz w:val="18"/>
          <w:szCs w:val="18"/>
        </w:rPr>
      </w:pPr>
      <w:r w:rsidRPr="0061078E">
        <w:rPr>
          <w:rFonts w:ascii="Cambria" w:hAnsi="Cambria"/>
          <w:sz w:val="18"/>
          <w:szCs w:val="18"/>
        </w:rPr>
        <w:t>Figure 3.8: ROC curve and precision-recall curve for major candidate models.</w:t>
      </w:r>
    </w:p>
    <w:p w14:paraId="7C1AF887" w14:textId="77777777" w:rsidR="002376E6" w:rsidRPr="00400AFF" w:rsidRDefault="002376E6" w:rsidP="00400AFF">
      <w:pPr>
        <w:spacing w:line="360" w:lineRule="auto"/>
        <w:rPr>
          <w:rFonts w:ascii="Cambria" w:hAnsi="Cambria"/>
          <w:sz w:val="22"/>
          <w:szCs w:val="22"/>
        </w:rPr>
      </w:pPr>
    </w:p>
    <w:p w14:paraId="2F667FF1" w14:textId="7EAE08BB" w:rsidR="00370BDA" w:rsidRPr="00400AFF" w:rsidRDefault="00370BDA" w:rsidP="00400AFF">
      <w:pPr>
        <w:spacing w:line="360" w:lineRule="auto"/>
        <w:rPr>
          <w:rFonts w:ascii="Cambria" w:hAnsi="Cambria"/>
          <w:b/>
          <w:bCs/>
          <w:sz w:val="22"/>
          <w:szCs w:val="22"/>
        </w:rPr>
      </w:pPr>
      <w:r w:rsidRPr="00400AFF">
        <w:rPr>
          <w:rFonts w:ascii="Cambria" w:hAnsi="Cambria"/>
          <w:b/>
          <w:bCs/>
          <w:sz w:val="22"/>
          <w:szCs w:val="22"/>
        </w:rPr>
        <w:t>3.9 Middleware Deployment and Runtime Validation</w:t>
      </w:r>
    </w:p>
    <w:p w14:paraId="19EECAC5" w14:textId="09435514" w:rsidR="009401C3" w:rsidRPr="00400AFF" w:rsidRDefault="00AA0152" w:rsidP="00400AFF">
      <w:pPr>
        <w:spacing w:line="360" w:lineRule="auto"/>
        <w:rPr>
          <w:rFonts w:ascii="Cambria" w:hAnsi="Cambria"/>
          <w:sz w:val="22"/>
          <w:szCs w:val="22"/>
        </w:rPr>
      </w:pPr>
      <w:r w:rsidRPr="00400AFF">
        <w:rPr>
          <w:rFonts w:ascii="Cambria" w:hAnsi="Cambria"/>
          <w:sz w:val="22"/>
          <w:szCs w:val="22"/>
        </w:rPr>
        <w:t>A defining characteristic of the current methodology is that model evaluation extended beyond offline test measures. The optimal model was exported with the necessary preprocessing components for inference, including the TF-IDF vectorizer, numeric scaler, feature column arrangement, and, when relevant, sequence tokeniser. This was essential because runtime detection relies on replicating the identical feature space utilised during training.</w:t>
      </w:r>
    </w:p>
    <w:p w14:paraId="2CCA9BF8" w14:textId="77777777" w:rsidR="009401C3" w:rsidRPr="00400AFF" w:rsidRDefault="009401C3" w:rsidP="00400AFF">
      <w:pPr>
        <w:spacing w:line="360" w:lineRule="auto"/>
        <w:rPr>
          <w:rFonts w:ascii="Cambria" w:hAnsi="Cambria"/>
          <w:sz w:val="22"/>
          <w:szCs w:val="22"/>
        </w:rPr>
      </w:pPr>
    </w:p>
    <w:p w14:paraId="53CCEDFB" w14:textId="77777777" w:rsidR="003A0759" w:rsidRPr="00400AFF" w:rsidRDefault="003A0759" w:rsidP="00400AFF">
      <w:pPr>
        <w:spacing w:line="360" w:lineRule="auto"/>
        <w:rPr>
          <w:rFonts w:ascii="Cambria" w:hAnsi="Cambria"/>
          <w:sz w:val="22"/>
          <w:szCs w:val="22"/>
        </w:rPr>
      </w:pPr>
      <w:r w:rsidRPr="00400AFF">
        <w:rPr>
          <w:rFonts w:ascii="Cambria" w:hAnsi="Cambria"/>
          <w:sz w:val="22"/>
          <w:szCs w:val="22"/>
        </w:rPr>
        <w:t>The implemented middleware functioned in the following manner:</w:t>
      </w:r>
    </w:p>
    <w:p w14:paraId="632890A5" w14:textId="77777777" w:rsidR="003A0759" w:rsidRPr="00400AFF" w:rsidRDefault="003A0759" w:rsidP="00400AFF">
      <w:pPr>
        <w:pStyle w:val="ListParagraph"/>
        <w:numPr>
          <w:ilvl w:val="0"/>
          <w:numId w:val="1"/>
        </w:numPr>
        <w:spacing w:line="360" w:lineRule="auto"/>
        <w:rPr>
          <w:rFonts w:ascii="Cambria" w:hAnsi="Cambria"/>
          <w:sz w:val="22"/>
          <w:szCs w:val="22"/>
        </w:rPr>
      </w:pPr>
      <w:r w:rsidRPr="00400AFF">
        <w:rPr>
          <w:rFonts w:ascii="Cambria" w:hAnsi="Cambria"/>
          <w:sz w:val="22"/>
          <w:szCs w:val="22"/>
        </w:rPr>
        <w:t>A request was received by the Flask API.</w:t>
      </w:r>
    </w:p>
    <w:p w14:paraId="4A7B6DEE" w14:textId="77777777" w:rsidR="003A0759" w:rsidRPr="00400AFF" w:rsidRDefault="003A0759" w:rsidP="00400AFF">
      <w:pPr>
        <w:pStyle w:val="ListParagraph"/>
        <w:numPr>
          <w:ilvl w:val="0"/>
          <w:numId w:val="1"/>
        </w:numPr>
        <w:spacing w:line="360" w:lineRule="auto"/>
        <w:rPr>
          <w:rFonts w:ascii="Cambria" w:hAnsi="Cambria"/>
          <w:sz w:val="22"/>
          <w:szCs w:val="22"/>
        </w:rPr>
      </w:pPr>
      <w:r w:rsidRPr="00400AFF">
        <w:rPr>
          <w:rFonts w:ascii="Cambria" w:hAnsi="Cambria"/>
          <w:sz w:val="22"/>
          <w:szCs w:val="22"/>
        </w:rPr>
        <w:t>Candidate user-defined values were obtained via query parameters, JSON bodies, form data, and path parameters.</w:t>
      </w:r>
    </w:p>
    <w:p w14:paraId="5E02EE54" w14:textId="77777777" w:rsidR="003A0759" w:rsidRPr="00400AFF" w:rsidRDefault="003A0759" w:rsidP="00400AFF">
      <w:pPr>
        <w:pStyle w:val="ListParagraph"/>
        <w:numPr>
          <w:ilvl w:val="0"/>
          <w:numId w:val="1"/>
        </w:numPr>
        <w:spacing w:line="360" w:lineRule="auto"/>
        <w:rPr>
          <w:rFonts w:ascii="Cambria" w:hAnsi="Cambria"/>
          <w:sz w:val="22"/>
          <w:szCs w:val="22"/>
        </w:rPr>
      </w:pPr>
      <w:r w:rsidRPr="00400AFF">
        <w:rPr>
          <w:rFonts w:ascii="Cambria" w:hAnsi="Cambria"/>
          <w:sz w:val="22"/>
          <w:szCs w:val="22"/>
        </w:rPr>
        <w:lastRenderedPageBreak/>
        <w:t>A lightweight heuristic selected candidates, ensuring that only SQL-like or SQL injection-like inputs were submitted for model evaluation.</w:t>
      </w:r>
    </w:p>
    <w:p w14:paraId="46655DF2" w14:textId="77777777" w:rsidR="003A0759" w:rsidRPr="00400AFF" w:rsidRDefault="003A0759" w:rsidP="00400AFF">
      <w:pPr>
        <w:pStyle w:val="ListParagraph"/>
        <w:numPr>
          <w:ilvl w:val="0"/>
          <w:numId w:val="1"/>
        </w:numPr>
        <w:spacing w:line="360" w:lineRule="auto"/>
        <w:rPr>
          <w:rFonts w:ascii="Cambria" w:hAnsi="Cambria"/>
          <w:sz w:val="22"/>
          <w:szCs w:val="22"/>
        </w:rPr>
      </w:pPr>
      <w:r w:rsidRPr="00400AFF">
        <w:rPr>
          <w:rFonts w:ascii="Cambria" w:hAnsi="Cambria"/>
          <w:sz w:val="22"/>
          <w:szCs w:val="22"/>
        </w:rPr>
        <w:t>The chosen model generated a  malicious or benign prediction.</w:t>
      </w:r>
    </w:p>
    <w:p w14:paraId="25EB1CA5" w14:textId="77777777" w:rsidR="003A0759" w:rsidRPr="00400AFF" w:rsidRDefault="003A0759" w:rsidP="00400AFF">
      <w:pPr>
        <w:pStyle w:val="ListParagraph"/>
        <w:numPr>
          <w:ilvl w:val="0"/>
          <w:numId w:val="1"/>
        </w:numPr>
        <w:spacing w:line="360" w:lineRule="auto"/>
        <w:rPr>
          <w:rFonts w:ascii="Cambria" w:hAnsi="Cambria"/>
          <w:sz w:val="22"/>
          <w:szCs w:val="22"/>
        </w:rPr>
      </w:pPr>
      <w:r w:rsidRPr="00400AFF">
        <w:rPr>
          <w:rFonts w:ascii="Cambria" w:hAnsi="Cambria"/>
          <w:sz w:val="22"/>
          <w:szCs w:val="22"/>
        </w:rPr>
        <w:t>A secondary rule-based interpretation step identified the probable attack family, including Union-based, Boolean-based, Time-based, Comment-based, or Stack-queries-based.</w:t>
      </w:r>
    </w:p>
    <w:p w14:paraId="478F3CD9" w14:textId="77777777" w:rsidR="003A0759" w:rsidRPr="00400AFF" w:rsidRDefault="003A0759" w:rsidP="00400AFF">
      <w:pPr>
        <w:pStyle w:val="ListParagraph"/>
        <w:numPr>
          <w:ilvl w:val="0"/>
          <w:numId w:val="1"/>
        </w:numPr>
        <w:spacing w:line="360" w:lineRule="auto"/>
        <w:rPr>
          <w:rFonts w:ascii="Cambria" w:hAnsi="Cambria"/>
          <w:sz w:val="22"/>
          <w:szCs w:val="22"/>
        </w:rPr>
      </w:pPr>
      <w:r w:rsidRPr="00400AFF">
        <w:rPr>
          <w:rFonts w:ascii="Cambria" w:hAnsi="Cambria"/>
          <w:sz w:val="22"/>
          <w:szCs w:val="22"/>
        </w:rPr>
        <w:t>The request was subsequently either permitted to proceed or block, depending on the configured threshold and blocking mode.</w:t>
      </w:r>
    </w:p>
    <w:p w14:paraId="226497A1" w14:textId="0759DBE0" w:rsidR="00370BDA" w:rsidRPr="00400AFF" w:rsidRDefault="003A0759" w:rsidP="00400AFF">
      <w:pPr>
        <w:pStyle w:val="ListParagraph"/>
        <w:numPr>
          <w:ilvl w:val="0"/>
          <w:numId w:val="1"/>
        </w:numPr>
        <w:spacing w:line="360" w:lineRule="auto"/>
        <w:rPr>
          <w:rFonts w:ascii="Cambria" w:hAnsi="Cambria"/>
          <w:sz w:val="22"/>
          <w:szCs w:val="22"/>
        </w:rPr>
      </w:pPr>
      <w:r w:rsidRPr="00400AFF">
        <w:rPr>
          <w:rFonts w:ascii="Cambria" w:hAnsi="Cambria"/>
          <w:sz w:val="22"/>
          <w:szCs w:val="22"/>
        </w:rPr>
        <w:t>Each decision was recorded for subsequent analysis via administrative monitoring endpoints.</w:t>
      </w:r>
    </w:p>
    <w:p w14:paraId="7E508558" w14:textId="77777777" w:rsidR="009401C3" w:rsidRPr="00400AFF" w:rsidRDefault="009401C3" w:rsidP="00400AFF">
      <w:pPr>
        <w:pStyle w:val="ListParagraph"/>
        <w:spacing w:line="360" w:lineRule="auto"/>
        <w:rPr>
          <w:rFonts w:ascii="Cambria" w:hAnsi="Cambria"/>
          <w:sz w:val="22"/>
          <w:szCs w:val="22"/>
        </w:rPr>
      </w:pPr>
    </w:p>
    <w:p w14:paraId="60595D5C" w14:textId="048222CE" w:rsidR="00370BDA" w:rsidRPr="00400AFF" w:rsidRDefault="00370BDA" w:rsidP="00400AFF">
      <w:pPr>
        <w:spacing w:line="360" w:lineRule="auto"/>
        <w:rPr>
          <w:rFonts w:ascii="Cambria" w:hAnsi="Cambria"/>
          <w:sz w:val="22"/>
          <w:szCs w:val="22"/>
        </w:rPr>
      </w:pPr>
      <w:r w:rsidRPr="00400AFF">
        <w:rPr>
          <w:rFonts w:ascii="Cambria" w:hAnsi="Cambria"/>
          <w:sz w:val="22"/>
          <w:szCs w:val="22"/>
        </w:rPr>
        <w:t>This middleware design operationalises the idea proposed by Rosca, Stancu and Popescu (2025), namely that machine learning may function as an additional security layer rather than a substitute for prepared statements, parameterised queries, or ORM-level protection.</w:t>
      </w:r>
    </w:p>
    <w:p w14:paraId="5F5F88E2" w14:textId="05AEA6DE" w:rsidR="00370BDA" w:rsidRPr="00400AFF" w:rsidRDefault="0099191E" w:rsidP="00400AFF">
      <w:pPr>
        <w:spacing w:line="360" w:lineRule="auto"/>
        <w:rPr>
          <w:rFonts w:ascii="Cambria" w:hAnsi="Cambria"/>
          <w:sz w:val="22"/>
          <w:szCs w:val="22"/>
        </w:rPr>
      </w:pPr>
      <w:r w:rsidRPr="00400AFF">
        <w:rPr>
          <w:rFonts w:ascii="Cambria" w:hAnsi="Cambria"/>
          <w:sz w:val="22"/>
          <w:szCs w:val="22"/>
        </w:rPr>
        <w:t>A significant methodological insight arose during runtime testing. Initial middleware experiments generated false positives for benign requests due to the system analysing lengthy HTTP header data, such as `User-Agent`, which did not reflect the training distribution of the model. This issue was later rectified by limiting default scanning to user-controlled request inputs more closely linked to SQL payloads. This refinement is crucial as it demonstrates that application-level assessment can uncover problems not apparent in offline metrics alone.</w:t>
      </w:r>
    </w:p>
    <w:p w14:paraId="6F13269B" w14:textId="77777777" w:rsidR="00370BDA" w:rsidRPr="00400AFF" w:rsidRDefault="00370BDA" w:rsidP="00400AFF">
      <w:pPr>
        <w:spacing w:line="360" w:lineRule="auto"/>
        <w:rPr>
          <w:rFonts w:ascii="Cambria" w:hAnsi="Cambria"/>
          <w:sz w:val="22"/>
          <w:szCs w:val="22"/>
        </w:rPr>
      </w:pPr>
    </w:p>
    <w:p w14:paraId="679E19DF" w14:textId="5A328AE7" w:rsidR="00FF0EF3" w:rsidRPr="00400AFF" w:rsidRDefault="00FF0EF3" w:rsidP="00400AFF">
      <w:pPr>
        <w:spacing w:line="360" w:lineRule="auto"/>
        <w:rPr>
          <w:rFonts w:ascii="Cambria" w:hAnsi="Cambria"/>
          <w:sz w:val="22"/>
          <w:szCs w:val="22"/>
        </w:rPr>
      </w:pPr>
      <w:r w:rsidRPr="00400AFF">
        <w:rPr>
          <w:rFonts w:ascii="Cambria" w:hAnsi="Cambria"/>
          <w:noProof/>
          <w:sz w:val="22"/>
          <w:szCs w:val="22"/>
        </w:rPr>
        <w:drawing>
          <wp:inline distT="0" distB="0" distL="0" distR="0" wp14:anchorId="6007B5A1" wp14:editId="2B6FD83C">
            <wp:extent cx="5730457" cy="2618804"/>
            <wp:effectExtent l="0" t="0" r="0" b="0"/>
            <wp:docPr id="428707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07662" name="Picture 428707662"/>
                    <pic:cNvPicPr/>
                  </pic:nvPicPr>
                  <pic:blipFill rotWithShape="1">
                    <a:blip r:embed="rId11" cstate="print">
                      <a:extLst>
                        <a:ext uri="{28A0092B-C50C-407E-A947-70E740481C1C}">
                          <a14:useLocalDpi xmlns:a14="http://schemas.microsoft.com/office/drawing/2010/main" val="0"/>
                        </a:ext>
                      </a:extLst>
                    </a:blip>
                    <a:srcRect t="8499"/>
                    <a:stretch>
                      <a:fillRect/>
                    </a:stretch>
                  </pic:blipFill>
                  <pic:spPr bwMode="auto">
                    <a:xfrm>
                      <a:off x="0" y="0"/>
                      <a:ext cx="5731510" cy="2619285"/>
                    </a:xfrm>
                    <a:prstGeom prst="rect">
                      <a:avLst/>
                    </a:prstGeom>
                    <a:ln>
                      <a:noFill/>
                    </a:ln>
                    <a:extLst>
                      <a:ext uri="{53640926-AAD7-44D8-BBD7-CCE9431645EC}">
                        <a14:shadowObscured xmlns:a14="http://schemas.microsoft.com/office/drawing/2010/main"/>
                      </a:ext>
                    </a:extLst>
                  </pic:spPr>
                </pic:pic>
              </a:graphicData>
            </a:graphic>
          </wp:inline>
        </w:drawing>
      </w:r>
    </w:p>
    <w:p w14:paraId="37AEE53A" w14:textId="6ABA836F" w:rsidR="00370BDA" w:rsidRPr="0061078E" w:rsidRDefault="00370BDA" w:rsidP="00400AFF">
      <w:pPr>
        <w:spacing w:line="360" w:lineRule="auto"/>
        <w:rPr>
          <w:rFonts w:ascii="Cambria" w:hAnsi="Cambria"/>
          <w:sz w:val="18"/>
          <w:szCs w:val="18"/>
        </w:rPr>
      </w:pPr>
      <w:r w:rsidRPr="0061078E">
        <w:rPr>
          <w:rFonts w:ascii="Cambria" w:hAnsi="Cambria"/>
          <w:sz w:val="18"/>
          <w:szCs w:val="18"/>
        </w:rPr>
        <w:t>Figure 3.3</w:t>
      </w:r>
      <w:r w:rsidR="00FF0EF3" w:rsidRPr="0061078E">
        <w:rPr>
          <w:rFonts w:ascii="Cambria" w:hAnsi="Cambria"/>
          <w:sz w:val="18"/>
          <w:szCs w:val="18"/>
        </w:rPr>
        <w:t xml:space="preserve"> </w:t>
      </w:r>
      <w:r w:rsidRPr="0061078E">
        <w:rPr>
          <w:rFonts w:ascii="Cambria" w:hAnsi="Cambria"/>
          <w:sz w:val="18"/>
          <w:szCs w:val="18"/>
        </w:rPr>
        <w:t>Middleware decision workflow</w:t>
      </w:r>
      <w:r w:rsidR="00FF0EF3" w:rsidRPr="0061078E">
        <w:rPr>
          <w:rFonts w:ascii="Cambria" w:hAnsi="Cambria"/>
          <w:sz w:val="18"/>
          <w:szCs w:val="18"/>
        </w:rPr>
        <w:t xml:space="preserve"> for </w:t>
      </w:r>
      <w:r w:rsidRPr="0061078E">
        <w:rPr>
          <w:rFonts w:ascii="Cambria" w:hAnsi="Cambria"/>
          <w:sz w:val="18"/>
          <w:szCs w:val="18"/>
        </w:rPr>
        <w:t>SQL</w:t>
      </w:r>
      <w:r w:rsidR="00FF0EF3" w:rsidRPr="0061078E">
        <w:rPr>
          <w:rFonts w:ascii="Cambria" w:hAnsi="Cambria"/>
          <w:sz w:val="18"/>
          <w:szCs w:val="18"/>
        </w:rPr>
        <w:t xml:space="preserve"> injecttion detection</w:t>
      </w:r>
    </w:p>
    <w:p w14:paraId="7C4A52BE" w14:textId="77777777" w:rsidR="0061078E" w:rsidRDefault="0061078E" w:rsidP="00400AFF">
      <w:pPr>
        <w:spacing w:line="360" w:lineRule="auto"/>
        <w:rPr>
          <w:rFonts w:ascii="Cambria" w:hAnsi="Cambria"/>
          <w:b/>
          <w:bCs/>
          <w:sz w:val="22"/>
          <w:szCs w:val="22"/>
        </w:rPr>
      </w:pPr>
    </w:p>
    <w:p w14:paraId="532D15FE" w14:textId="65F82903" w:rsidR="00370BDA" w:rsidRPr="00400AFF" w:rsidRDefault="00370BDA" w:rsidP="00400AFF">
      <w:pPr>
        <w:spacing w:line="360" w:lineRule="auto"/>
        <w:rPr>
          <w:rFonts w:ascii="Cambria" w:hAnsi="Cambria"/>
          <w:b/>
          <w:bCs/>
          <w:sz w:val="22"/>
          <w:szCs w:val="22"/>
        </w:rPr>
      </w:pPr>
      <w:r w:rsidRPr="00400AFF">
        <w:rPr>
          <w:rFonts w:ascii="Cambria" w:hAnsi="Cambria"/>
          <w:b/>
          <w:bCs/>
          <w:sz w:val="22"/>
          <w:szCs w:val="22"/>
        </w:rPr>
        <w:lastRenderedPageBreak/>
        <w:t>3.10 Sample-Size Sensitivity Analysis</w:t>
      </w:r>
    </w:p>
    <w:p w14:paraId="1B745E26" w14:textId="10512693" w:rsidR="0099191E" w:rsidRPr="00400AFF" w:rsidRDefault="0099191E" w:rsidP="00400AFF">
      <w:pPr>
        <w:spacing w:line="360" w:lineRule="auto"/>
        <w:rPr>
          <w:rFonts w:ascii="Cambria" w:hAnsi="Cambria"/>
          <w:sz w:val="22"/>
          <w:szCs w:val="22"/>
        </w:rPr>
      </w:pPr>
      <w:r w:rsidRPr="00400AFF">
        <w:rPr>
          <w:rFonts w:ascii="Cambria" w:hAnsi="Cambria"/>
          <w:sz w:val="22"/>
          <w:szCs w:val="22"/>
        </w:rPr>
        <w:t xml:space="preserve">The controlled sample-size experiments constituted a significant methodological sub-study. Their objective was not merely to enhance accuracy, but to investigate how increasing the training sample affected feature-space growth, model stability, and deployment readiness. </w:t>
      </w:r>
    </w:p>
    <w:p w14:paraId="0500C897" w14:textId="14418270" w:rsidR="00370BDA" w:rsidRDefault="0099191E" w:rsidP="00400AFF">
      <w:pPr>
        <w:spacing w:line="360" w:lineRule="auto"/>
        <w:rPr>
          <w:rFonts w:ascii="Cambria" w:hAnsi="Cambria"/>
          <w:sz w:val="22"/>
          <w:szCs w:val="22"/>
        </w:rPr>
      </w:pPr>
      <w:r w:rsidRPr="00400AFF">
        <w:rPr>
          <w:rFonts w:ascii="Cambria" w:hAnsi="Cambria"/>
          <w:sz w:val="22"/>
          <w:szCs w:val="22"/>
        </w:rPr>
        <w:t>The recorded outputs indicate three significant patterns. The TF-IDF feature space increased with sample size, however the rate of expansion diminished for bigger samples, growing from 1,393 features at 5,000 records to 1,760 at 100,000 records. This may suggest that the lexical space starts to settle with a specific volume of data.</w:t>
      </w:r>
    </w:p>
    <w:p w14:paraId="657884B0" w14:textId="77777777" w:rsidR="00400AFF" w:rsidRPr="00400AFF" w:rsidRDefault="00400AFF" w:rsidP="00400AFF">
      <w:pPr>
        <w:spacing w:line="360" w:lineRule="auto"/>
        <w:rPr>
          <w:rFonts w:ascii="Cambria" w:hAnsi="Cambria"/>
          <w:sz w:val="22"/>
          <w:szCs w:val="22"/>
        </w:rPr>
      </w:pPr>
    </w:p>
    <w:p w14:paraId="33128734" w14:textId="3035BC89" w:rsidR="00987F67" w:rsidRPr="00400AFF" w:rsidRDefault="00987F67" w:rsidP="00400AFF">
      <w:pPr>
        <w:spacing w:line="360" w:lineRule="auto"/>
        <w:rPr>
          <w:rFonts w:ascii="Cambria" w:hAnsi="Cambria"/>
          <w:sz w:val="22"/>
          <w:szCs w:val="22"/>
        </w:rPr>
      </w:pPr>
      <w:r w:rsidRPr="00400AFF">
        <w:rPr>
          <w:rFonts w:ascii="Cambria" w:hAnsi="Cambria"/>
          <w:sz w:val="22"/>
          <w:szCs w:val="22"/>
        </w:rPr>
        <w:t>The performance of the Random Forest model enhanced from extremely high to perfect as the sample size increased, while the DNN and GRU models also shown significant improvement. This implies that the SQLi classes within the RbSQLi dataset become more distinct with an increased number of cases. Nonetheless, it may also indicate the rule-based features of the dataset and the significant relationship between technical attributes and known attack syntax.</w:t>
      </w:r>
    </w:p>
    <w:p w14:paraId="52A5D8A2" w14:textId="188E8FF1" w:rsidR="00370BDA" w:rsidRDefault="00987F67" w:rsidP="00400AFF">
      <w:pPr>
        <w:spacing w:line="360" w:lineRule="auto"/>
        <w:rPr>
          <w:rFonts w:ascii="Cambria" w:hAnsi="Cambria"/>
          <w:sz w:val="22"/>
          <w:szCs w:val="22"/>
        </w:rPr>
      </w:pPr>
      <w:r w:rsidRPr="00400AFF">
        <w:rPr>
          <w:rFonts w:ascii="Cambria" w:hAnsi="Cambria"/>
          <w:sz w:val="22"/>
          <w:szCs w:val="22"/>
        </w:rPr>
        <w:t>Lastly, recurrent models did not exhibit uniform improvement with increasing sample size. The LSTM and GRU branches were trained on limited sequence subsets for sustainability, indicating that improvements in the overall `SAMPLE_SIZE` did not accordingly result in equivalent enhancements in sequence-model training exposure. This is methodologically significant, since it explains why the recurrent models sometimes plateaued or exhibited fluctuations despite bigger overall data samples.</w:t>
      </w:r>
    </w:p>
    <w:p w14:paraId="716BDDFB" w14:textId="77777777" w:rsidR="00400AFF" w:rsidRPr="00400AFF" w:rsidRDefault="00400AFF" w:rsidP="00400AFF">
      <w:pPr>
        <w:spacing w:line="360" w:lineRule="auto"/>
        <w:rPr>
          <w:rFonts w:ascii="Cambria" w:hAnsi="Cambria"/>
          <w:sz w:val="22"/>
          <w:szCs w:val="22"/>
        </w:rPr>
      </w:pPr>
    </w:p>
    <w:p w14:paraId="3F74AC3F" w14:textId="07692352" w:rsidR="00370BDA" w:rsidRPr="00400AFF" w:rsidRDefault="00E33244" w:rsidP="00400AFF">
      <w:pPr>
        <w:spacing w:line="360" w:lineRule="auto"/>
        <w:rPr>
          <w:rFonts w:ascii="Cambria" w:hAnsi="Cambria"/>
          <w:sz w:val="22"/>
          <w:szCs w:val="22"/>
        </w:rPr>
      </w:pPr>
      <w:r w:rsidRPr="00400AFF">
        <w:rPr>
          <w:rFonts w:ascii="Cambria" w:hAnsi="Cambria"/>
          <w:sz w:val="22"/>
          <w:szCs w:val="22"/>
        </w:rPr>
        <w:t>These conclusions indicate that future research should assess not only sample size but also model-specific data allocations, calibration, and delay. In other terms, "increased data" does not substantially enhance every model when preprocessing or training constraints vary among model categories.</w:t>
      </w:r>
    </w:p>
    <w:p w14:paraId="7A00CE37" w14:textId="096566E5" w:rsidR="00370BDA" w:rsidRPr="00400AFF" w:rsidRDefault="001749E3" w:rsidP="00400AFF">
      <w:pPr>
        <w:spacing w:line="360" w:lineRule="auto"/>
        <w:rPr>
          <w:rFonts w:ascii="Cambria" w:hAnsi="Cambria"/>
          <w:sz w:val="22"/>
          <w:szCs w:val="22"/>
        </w:rPr>
      </w:pPr>
      <w:r w:rsidRPr="00400AFF">
        <w:rPr>
          <w:rFonts w:ascii="Cambria" w:hAnsi="Cambria"/>
          <w:noProof/>
          <w:sz w:val="22"/>
          <w:szCs w:val="22"/>
        </w:rPr>
        <w:lastRenderedPageBreak/>
        <w:drawing>
          <wp:inline distT="0" distB="0" distL="0" distR="0" wp14:anchorId="12291F8F" wp14:editId="4F7E1129">
            <wp:extent cx="5258070" cy="3124200"/>
            <wp:effectExtent l="0" t="0" r="0" b="0"/>
            <wp:docPr id="179030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00285" name=""/>
                    <pic:cNvPicPr/>
                  </pic:nvPicPr>
                  <pic:blipFill>
                    <a:blip r:embed="rId12"/>
                    <a:stretch>
                      <a:fillRect/>
                    </a:stretch>
                  </pic:blipFill>
                  <pic:spPr>
                    <a:xfrm>
                      <a:off x="0" y="0"/>
                      <a:ext cx="5308184" cy="3153976"/>
                    </a:xfrm>
                    <a:prstGeom prst="rect">
                      <a:avLst/>
                    </a:prstGeom>
                  </pic:spPr>
                </pic:pic>
              </a:graphicData>
            </a:graphic>
          </wp:inline>
        </w:drawing>
      </w:r>
    </w:p>
    <w:p w14:paraId="181DD32C" w14:textId="1FFE7109" w:rsidR="00370BDA" w:rsidRPr="0061078E" w:rsidRDefault="00370BDA" w:rsidP="00400AFF">
      <w:pPr>
        <w:spacing w:line="360" w:lineRule="auto"/>
        <w:rPr>
          <w:rFonts w:ascii="Cambria" w:hAnsi="Cambria"/>
          <w:sz w:val="18"/>
          <w:szCs w:val="18"/>
        </w:rPr>
      </w:pPr>
      <w:r w:rsidRPr="0061078E">
        <w:rPr>
          <w:rFonts w:ascii="Cambria" w:hAnsi="Cambria"/>
          <w:sz w:val="18"/>
          <w:szCs w:val="18"/>
        </w:rPr>
        <w:t>Figure 3.4</w:t>
      </w:r>
      <w:r w:rsidR="001749E3" w:rsidRPr="0061078E">
        <w:rPr>
          <w:rFonts w:ascii="Cambria" w:hAnsi="Cambria"/>
          <w:sz w:val="18"/>
          <w:szCs w:val="18"/>
        </w:rPr>
        <w:t xml:space="preserve"> </w:t>
      </w:r>
      <w:r w:rsidRPr="0061078E">
        <w:rPr>
          <w:rFonts w:ascii="Cambria" w:hAnsi="Cambria"/>
          <w:sz w:val="18"/>
          <w:szCs w:val="18"/>
        </w:rPr>
        <w:t>Line chart showing sample size against test F1-score for Random Forest, DNN, LSTM and GRU.</w:t>
      </w:r>
    </w:p>
    <w:p w14:paraId="787F3306" w14:textId="77777777" w:rsidR="00400AFF" w:rsidRPr="00400AFF" w:rsidRDefault="00400AFF" w:rsidP="00400AFF">
      <w:pPr>
        <w:spacing w:line="360" w:lineRule="auto"/>
        <w:rPr>
          <w:rFonts w:ascii="Cambria" w:hAnsi="Cambria"/>
          <w:sz w:val="22"/>
          <w:szCs w:val="22"/>
        </w:rPr>
      </w:pPr>
    </w:p>
    <w:p w14:paraId="33FDB64B" w14:textId="41B7584F" w:rsidR="00370BDA" w:rsidRPr="00400AFF" w:rsidRDefault="00370BDA" w:rsidP="00400AFF">
      <w:pPr>
        <w:spacing w:line="360" w:lineRule="auto"/>
        <w:rPr>
          <w:rFonts w:ascii="Cambria" w:hAnsi="Cambria"/>
          <w:b/>
          <w:bCs/>
          <w:sz w:val="22"/>
          <w:szCs w:val="22"/>
        </w:rPr>
      </w:pPr>
      <w:r w:rsidRPr="00400AFF">
        <w:rPr>
          <w:rFonts w:ascii="Cambria" w:hAnsi="Cambria"/>
          <w:b/>
          <w:bCs/>
          <w:sz w:val="22"/>
          <w:szCs w:val="22"/>
        </w:rPr>
        <w:t>3.12 Reliability, Validity and Ethical Considerations</w:t>
      </w:r>
    </w:p>
    <w:p w14:paraId="2747255A" w14:textId="7C5575EB" w:rsidR="00370BDA" w:rsidRPr="00400AFF" w:rsidRDefault="00E33244" w:rsidP="00400AFF">
      <w:pPr>
        <w:spacing w:line="360" w:lineRule="auto"/>
        <w:rPr>
          <w:rFonts w:ascii="Cambria" w:hAnsi="Cambria"/>
          <w:sz w:val="22"/>
          <w:szCs w:val="22"/>
        </w:rPr>
      </w:pPr>
      <w:r w:rsidRPr="00400AFF">
        <w:rPr>
          <w:rFonts w:ascii="Cambria" w:hAnsi="Cambria"/>
          <w:sz w:val="22"/>
          <w:szCs w:val="22"/>
        </w:rPr>
        <w:t>Numerous methodological constraints must be recognised. Initially, while the RbSQLi dataset is extensive and functionally beneficial, its rule-based and somewhat synthetic nature may enhance class separability compared to unregulated real-world traffic. Therefore, exceptionally high offline scores must be regarded with caution. The live middleware depends on attack-family inference rules that are applied in place of the binary classifier, indicating that attack-family labelling is interpretative rather than directly learned.  The current solution favoured machine learning and recurrent neural baselines above transformer models, primarily for reasons of tractability and deployment ease.</w:t>
      </w:r>
    </w:p>
    <w:p w14:paraId="6F70B9D2" w14:textId="77777777" w:rsidR="00370BDA" w:rsidRPr="00400AFF" w:rsidRDefault="00370BDA" w:rsidP="00400AFF">
      <w:pPr>
        <w:spacing w:line="360" w:lineRule="auto"/>
        <w:rPr>
          <w:rFonts w:ascii="Cambria" w:hAnsi="Cambria"/>
          <w:sz w:val="22"/>
          <w:szCs w:val="22"/>
        </w:rPr>
      </w:pPr>
    </w:p>
    <w:p w14:paraId="52959C1B" w14:textId="77777777" w:rsidR="00370BDA" w:rsidRPr="00400AFF" w:rsidRDefault="00370BDA" w:rsidP="00400AFF">
      <w:pPr>
        <w:spacing w:line="360" w:lineRule="auto"/>
        <w:rPr>
          <w:rFonts w:ascii="Cambria" w:hAnsi="Cambria"/>
          <w:sz w:val="22"/>
          <w:szCs w:val="22"/>
        </w:rPr>
      </w:pPr>
      <w:r w:rsidRPr="00400AFF">
        <w:rPr>
          <w:rFonts w:ascii="Cambria" w:hAnsi="Cambria"/>
          <w:sz w:val="22"/>
          <w:szCs w:val="22"/>
        </w:rPr>
        <w:t>From an ethical perspective, the dataset choice was appropriate because it avoided directly exposing sensitive production database traffic. This aligns with the privacy-aware reasoning discussed by Rosca, Stancu and Popescu (2025), who argue that synthetic or sanitised query construction may help mitigate data protection concerns in cybersecurity model development.</w:t>
      </w:r>
    </w:p>
    <w:p w14:paraId="5092AA86" w14:textId="77777777" w:rsidR="00370BDA" w:rsidRDefault="00370BDA" w:rsidP="00400AFF">
      <w:pPr>
        <w:spacing w:line="360" w:lineRule="auto"/>
        <w:rPr>
          <w:rFonts w:ascii="Cambria" w:hAnsi="Cambria"/>
          <w:sz w:val="22"/>
          <w:szCs w:val="22"/>
        </w:rPr>
      </w:pPr>
    </w:p>
    <w:p w14:paraId="45FDA2DA" w14:textId="77777777" w:rsidR="0061078E" w:rsidRDefault="0061078E" w:rsidP="00400AFF">
      <w:pPr>
        <w:spacing w:line="360" w:lineRule="auto"/>
        <w:rPr>
          <w:rFonts w:ascii="Cambria" w:hAnsi="Cambria"/>
          <w:sz w:val="22"/>
          <w:szCs w:val="22"/>
        </w:rPr>
      </w:pPr>
    </w:p>
    <w:p w14:paraId="4EEE4F9F" w14:textId="77777777" w:rsidR="0061078E" w:rsidRPr="00400AFF" w:rsidRDefault="0061078E" w:rsidP="00400AFF">
      <w:pPr>
        <w:spacing w:line="360" w:lineRule="auto"/>
        <w:rPr>
          <w:rFonts w:ascii="Cambria" w:hAnsi="Cambria"/>
          <w:sz w:val="22"/>
          <w:szCs w:val="22"/>
        </w:rPr>
      </w:pPr>
    </w:p>
    <w:p w14:paraId="3A9BC9E9" w14:textId="6C8F58B6" w:rsidR="00370BDA" w:rsidRPr="00400AFF" w:rsidRDefault="00370BDA" w:rsidP="00400AFF">
      <w:pPr>
        <w:spacing w:line="360" w:lineRule="auto"/>
        <w:rPr>
          <w:rFonts w:ascii="Cambria" w:hAnsi="Cambria"/>
          <w:b/>
          <w:bCs/>
          <w:sz w:val="22"/>
          <w:szCs w:val="22"/>
        </w:rPr>
      </w:pPr>
      <w:r w:rsidRPr="00400AFF">
        <w:rPr>
          <w:rFonts w:ascii="Cambria" w:hAnsi="Cambria"/>
          <w:b/>
          <w:bCs/>
          <w:sz w:val="22"/>
          <w:szCs w:val="22"/>
        </w:rPr>
        <w:lastRenderedPageBreak/>
        <w:t>3.13 Transformer-Oriented Extension</w:t>
      </w:r>
    </w:p>
    <w:p w14:paraId="059DC72A" w14:textId="6E251740" w:rsidR="00370BDA" w:rsidRPr="00400AFF" w:rsidRDefault="009401C3" w:rsidP="00400AFF">
      <w:pPr>
        <w:spacing w:line="360" w:lineRule="auto"/>
        <w:rPr>
          <w:rFonts w:ascii="Cambria" w:hAnsi="Cambria"/>
          <w:sz w:val="22"/>
          <w:szCs w:val="22"/>
        </w:rPr>
      </w:pPr>
      <w:r w:rsidRPr="00400AFF">
        <w:rPr>
          <w:rFonts w:ascii="Cambria" w:hAnsi="Cambria"/>
          <w:sz w:val="22"/>
          <w:szCs w:val="22"/>
        </w:rPr>
        <w:t>While transformer models were not utilised in the current prototype, they continue to be relevant to the dissertation subject. A transformer-based expansion could interpret SQL strings as structured text sequences and acquire contextual relationships that surpass the manually created indications employed in the existing pipeline. This paradigm could be particularly beneficial for obfuscated  payloads, paraphrased attack strings, and zero-day versions. Nonetheless, in accordance with Mahmood (2025), it is methodologically advisable to compare any transformer with robust classical baselines and to assess not just accuracy but also interpretability, calibration, computing overhead, and deployability in middleware environments.</w:t>
      </w:r>
    </w:p>
    <w:p w14:paraId="10EE4FBB" w14:textId="77777777" w:rsidR="00370BDA" w:rsidRPr="00400AFF" w:rsidRDefault="00370BDA" w:rsidP="00400AFF">
      <w:pPr>
        <w:spacing w:line="360" w:lineRule="auto"/>
        <w:rPr>
          <w:rFonts w:ascii="Cambria" w:hAnsi="Cambria"/>
          <w:sz w:val="22"/>
          <w:szCs w:val="22"/>
        </w:rPr>
      </w:pPr>
    </w:p>
    <w:p w14:paraId="217578A0" w14:textId="77777777" w:rsidR="00370BDA" w:rsidRDefault="00370BDA" w:rsidP="00400AFF">
      <w:pPr>
        <w:spacing w:line="360" w:lineRule="auto"/>
        <w:rPr>
          <w:rFonts w:ascii="Cambria" w:hAnsi="Cambria"/>
          <w:sz w:val="22"/>
          <w:szCs w:val="22"/>
        </w:rPr>
      </w:pPr>
      <w:r w:rsidRPr="00400AFF">
        <w:rPr>
          <w:rFonts w:ascii="Cambria" w:hAnsi="Cambria"/>
          <w:sz w:val="22"/>
          <w:szCs w:val="22"/>
        </w:rPr>
        <w:t>For this reason, the present study may be positioned as a machine learning baseline study with application-layer deployment, while transformer experimentation may be framed as a subsequent comparative phase rather than a missing component.</w:t>
      </w:r>
    </w:p>
    <w:p w14:paraId="47893856" w14:textId="77777777" w:rsidR="00400AFF" w:rsidRPr="00400AFF" w:rsidRDefault="00400AFF" w:rsidP="00400AFF">
      <w:pPr>
        <w:spacing w:line="360" w:lineRule="auto"/>
        <w:rPr>
          <w:rFonts w:ascii="Cambria" w:hAnsi="Cambria"/>
          <w:sz w:val="22"/>
          <w:szCs w:val="22"/>
        </w:rPr>
      </w:pPr>
    </w:p>
    <w:sectPr w:rsidR="00400AFF" w:rsidRPr="00400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B5DC2"/>
    <w:multiLevelType w:val="hybridMultilevel"/>
    <w:tmpl w:val="658C01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4052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BDA"/>
    <w:rsid w:val="00051983"/>
    <w:rsid w:val="000E725F"/>
    <w:rsid w:val="00123686"/>
    <w:rsid w:val="001649F3"/>
    <w:rsid w:val="001749E3"/>
    <w:rsid w:val="001B7B8E"/>
    <w:rsid w:val="001F283E"/>
    <w:rsid w:val="002376E6"/>
    <w:rsid w:val="00321759"/>
    <w:rsid w:val="0033428C"/>
    <w:rsid w:val="003644CD"/>
    <w:rsid w:val="00370BDA"/>
    <w:rsid w:val="003A0759"/>
    <w:rsid w:val="00400AFF"/>
    <w:rsid w:val="004236AE"/>
    <w:rsid w:val="004F5779"/>
    <w:rsid w:val="004F7F46"/>
    <w:rsid w:val="005640F5"/>
    <w:rsid w:val="00572D33"/>
    <w:rsid w:val="0059094C"/>
    <w:rsid w:val="005F4309"/>
    <w:rsid w:val="0061078E"/>
    <w:rsid w:val="006F722D"/>
    <w:rsid w:val="006F7A8E"/>
    <w:rsid w:val="007D44FF"/>
    <w:rsid w:val="009401C3"/>
    <w:rsid w:val="00961732"/>
    <w:rsid w:val="00987F67"/>
    <w:rsid w:val="0099191E"/>
    <w:rsid w:val="00A0590D"/>
    <w:rsid w:val="00A134F9"/>
    <w:rsid w:val="00AA0152"/>
    <w:rsid w:val="00AB23F4"/>
    <w:rsid w:val="00AB6101"/>
    <w:rsid w:val="00BD3E88"/>
    <w:rsid w:val="00C16856"/>
    <w:rsid w:val="00C17DC1"/>
    <w:rsid w:val="00C2476D"/>
    <w:rsid w:val="00C54889"/>
    <w:rsid w:val="00D30863"/>
    <w:rsid w:val="00D667F3"/>
    <w:rsid w:val="00D97EB1"/>
    <w:rsid w:val="00E13005"/>
    <w:rsid w:val="00E33244"/>
    <w:rsid w:val="00F01AE1"/>
    <w:rsid w:val="00FF0EF3"/>
    <w:rsid w:val="00FF60C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0ECD08A7"/>
  <w15:chartTrackingRefBased/>
  <w15:docId w15:val="{AD7771B8-915C-A942-90A0-764BC35D8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B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B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B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BDA"/>
    <w:rPr>
      <w:rFonts w:eastAsiaTheme="majorEastAsia" w:cstheme="majorBidi"/>
      <w:color w:val="272727" w:themeColor="text1" w:themeTint="D8"/>
    </w:rPr>
  </w:style>
  <w:style w:type="paragraph" w:styleId="Title">
    <w:name w:val="Title"/>
    <w:basedOn w:val="Normal"/>
    <w:next w:val="Normal"/>
    <w:link w:val="TitleChar"/>
    <w:uiPriority w:val="10"/>
    <w:qFormat/>
    <w:rsid w:val="00370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BDA"/>
    <w:pPr>
      <w:spacing w:before="160"/>
      <w:jc w:val="center"/>
    </w:pPr>
    <w:rPr>
      <w:i/>
      <w:iCs/>
      <w:color w:val="404040" w:themeColor="text1" w:themeTint="BF"/>
    </w:rPr>
  </w:style>
  <w:style w:type="character" w:customStyle="1" w:styleId="QuoteChar">
    <w:name w:val="Quote Char"/>
    <w:basedOn w:val="DefaultParagraphFont"/>
    <w:link w:val="Quote"/>
    <w:uiPriority w:val="29"/>
    <w:rsid w:val="00370BDA"/>
    <w:rPr>
      <w:i/>
      <w:iCs/>
      <w:color w:val="404040" w:themeColor="text1" w:themeTint="BF"/>
    </w:rPr>
  </w:style>
  <w:style w:type="paragraph" w:styleId="ListParagraph">
    <w:name w:val="List Paragraph"/>
    <w:basedOn w:val="Normal"/>
    <w:uiPriority w:val="34"/>
    <w:qFormat/>
    <w:rsid w:val="00370BDA"/>
    <w:pPr>
      <w:ind w:left="720"/>
      <w:contextualSpacing/>
    </w:pPr>
  </w:style>
  <w:style w:type="character" w:styleId="IntenseEmphasis">
    <w:name w:val="Intense Emphasis"/>
    <w:basedOn w:val="DefaultParagraphFont"/>
    <w:uiPriority w:val="21"/>
    <w:qFormat/>
    <w:rsid w:val="00370BDA"/>
    <w:rPr>
      <w:i/>
      <w:iCs/>
      <w:color w:val="0F4761" w:themeColor="accent1" w:themeShade="BF"/>
    </w:rPr>
  </w:style>
  <w:style w:type="paragraph" w:styleId="IntenseQuote">
    <w:name w:val="Intense Quote"/>
    <w:basedOn w:val="Normal"/>
    <w:next w:val="Normal"/>
    <w:link w:val="IntenseQuoteChar"/>
    <w:uiPriority w:val="30"/>
    <w:qFormat/>
    <w:rsid w:val="00370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BDA"/>
    <w:rPr>
      <w:i/>
      <w:iCs/>
      <w:color w:val="0F4761" w:themeColor="accent1" w:themeShade="BF"/>
    </w:rPr>
  </w:style>
  <w:style w:type="character" w:styleId="IntenseReference">
    <w:name w:val="Intense Reference"/>
    <w:basedOn w:val="DefaultParagraphFont"/>
    <w:uiPriority w:val="32"/>
    <w:qFormat/>
    <w:rsid w:val="00370BDA"/>
    <w:rPr>
      <w:b/>
      <w:bCs/>
      <w:smallCaps/>
      <w:color w:val="0F4761" w:themeColor="accent1" w:themeShade="BF"/>
      <w:spacing w:val="5"/>
    </w:rPr>
  </w:style>
  <w:style w:type="paragraph" w:styleId="NormalWeb">
    <w:name w:val="Normal (Web)"/>
    <w:basedOn w:val="Normal"/>
    <w:uiPriority w:val="99"/>
    <w:semiHidden/>
    <w:unhideWhenUsed/>
    <w:rsid w:val="0059094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9094C"/>
    <w:rPr>
      <w:b/>
      <w:bCs/>
    </w:rPr>
  </w:style>
  <w:style w:type="table" w:styleId="TableGrid">
    <w:name w:val="Table Grid"/>
    <w:basedOn w:val="TableNormal"/>
    <w:uiPriority w:val="39"/>
    <w:rsid w:val="005909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96173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9617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96173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617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9617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6173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4">
    <w:name w:val="Grid Table 1 Light Accent 4"/>
    <w:basedOn w:val="TableNormal"/>
    <w:uiPriority w:val="46"/>
    <w:rsid w:val="0096173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PlainTable2">
    <w:name w:val="Plain Table 2"/>
    <w:basedOn w:val="TableNormal"/>
    <w:uiPriority w:val="42"/>
    <w:rsid w:val="0096173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
    <w:name w:val="List Table 1 Light"/>
    <w:basedOn w:val="TableNormal"/>
    <w:uiPriority w:val="46"/>
    <w:rsid w:val="0096173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825FAC-F641-EC47-B3E1-5EEF8F5A2C9B}">
  <we:reference id="wa200000368" version="1.0.0.0" store="en-US" storeType="OMEX"/>
  <we:alternateReferences>
    <we:reference id="wa200000368" version="1.0.0.0" store="en-US" storeType="OMEX"/>
  </we:alternateReferences>
  <we:properties>
    <we:property name="documentId" value="&quot;ba41c86d19bcf98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596</TotalTime>
  <Pages>15</Pages>
  <Words>3431</Words>
  <Characters>19563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Okechukwu Eze</dc:creator>
  <cp:keywords/>
  <dc:description/>
  <cp:lastModifiedBy>Okechukwu Eze</cp:lastModifiedBy>
  <cp:revision>7</cp:revision>
  <dcterms:created xsi:type="dcterms:W3CDTF">2026-05-05T17:25:00Z</dcterms:created>
  <dcterms:modified xsi:type="dcterms:W3CDTF">2026-05-31T20:39:00Z</dcterms:modified>
</cp:coreProperties>
</file>